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F3F2" w14:textId="77777777" w:rsidR="00D256C8" w:rsidRPr="00795698" w:rsidRDefault="00D256C8" w:rsidP="00D256C8">
      <w:pPr>
        <w:pStyle w:val="TEKSTIIIII"/>
        <w:jc w:val="center"/>
        <w:rPr>
          <w:b/>
          <w:lang w:val="sq-AL"/>
        </w:rPr>
      </w:pPr>
      <w:r w:rsidRPr="00795698">
        <w:rPr>
          <w:b/>
          <w:lang w:val="sq-AL"/>
        </w:rPr>
        <w:t>VENDIM</w:t>
      </w:r>
    </w:p>
    <w:p w14:paraId="5FEEF3F3" w14:textId="77777777" w:rsidR="00D256C8" w:rsidRPr="00795698" w:rsidRDefault="00D256C8" w:rsidP="00D256C8">
      <w:pPr>
        <w:pStyle w:val="TEKSTIIIII"/>
        <w:jc w:val="center"/>
        <w:rPr>
          <w:b/>
          <w:lang w:val="sq-AL"/>
        </w:rPr>
      </w:pPr>
      <w:r w:rsidRPr="00795698">
        <w:rPr>
          <w:b/>
          <w:lang w:val="sq-AL"/>
        </w:rPr>
        <w:t>Nr.</w:t>
      </w:r>
      <w:r w:rsidR="008F74CE" w:rsidRPr="00795698">
        <w:rPr>
          <w:b/>
          <w:lang w:val="sq-AL"/>
        </w:rPr>
        <w:t xml:space="preserve"> 81</w:t>
      </w:r>
      <w:r w:rsidRPr="00795698">
        <w:rPr>
          <w:b/>
          <w:lang w:val="sq-AL"/>
        </w:rPr>
        <w:t>, datë</w:t>
      </w:r>
      <w:r w:rsidR="008F74CE" w:rsidRPr="00795698">
        <w:rPr>
          <w:b/>
          <w:lang w:val="sq-AL"/>
        </w:rPr>
        <w:t xml:space="preserve"> 14.2.2023</w:t>
      </w:r>
    </w:p>
    <w:p w14:paraId="5FEEF3F4" w14:textId="77777777" w:rsidR="00D256C8" w:rsidRPr="00795698" w:rsidRDefault="00D256C8" w:rsidP="00D256C8">
      <w:pPr>
        <w:pStyle w:val="TEKSTIIIII"/>
        <w:jc w:val="center"/>
        <w:rPr>
          <w:b/>
          <w:lang w:val="sq-AL"/>
        </w:rPr>
      </w:pPr>
    </w:p>
    <w:p w14:paraId="5FEEF3F5" w14:textId="5C1EAB6F" w:rsidR="00D256C8" w:rsidRPr="00795698" w:rsidRDefault="00D256C8" w:rsidP="00D256C8">
      <w:pPr>
        <w:pStyle w:val="TEKSTIIIII"/>
        <w:jc w:val="center"/>
        <w:rPr>
          <w:b/>
          <w:lang w:val="sq-AL"/>
        </w:rPr>
      </w:pPr>
      <w:r w:rsidRPr="00795698">
        <w:rPr>
          <w:b/>
          <w:lang w:val="sq-AL"/>
        </w:rPr>
        <w:t>PËR</w:t>
      </w:r>
      <w:r w:rsidR="007C064A" w:rsidRPr="00795698">
        <w:rPr>
          <w:b/>
          <w:lang w:val="sq-AL"/>
        </w:rPr>
        <w:t xml:space="preserve"> </w:t>
      </w:r>
      <w:r w:rsidRPr="00795698">
        <w:rPr>
          <w:b/>
          <w:lang w:val="sq-AL"/>
        </w:rPr>
        <w:t>MIRATIMIN E STRATEGJISË NDËRSEKTORIALE</w:t>
      </w:r>
      <w:r w:rsidR="007C064A" w:rsidRPr="00795698">
        <w:rPr>
          <w:b/>
          <w:lang w:val="sq-AL"/>
        </w:rPr>
        <w:t xml:space="preserve"> </w:t>
      </w:r>
      <w:r w:rsidRPr="00795698">
        <w:rPr>
          <w:b/>
          <w:lang w:val="sq-AL"/>
        </w:rPr>
        <w:t>PËR PARANDALIMIN E EKSTREMIZMIT TË DHUNSHËM DHE LUFTËN KUNDËR TERRORIZMIT 2023–2025 DHE TË PLANEVE TË VEPRIMIT 2023–2025</w:t>
      </w:r>
    </w:p>
    <w:p w14:paraId="5FEEF3F6" w14:textId="77777777" w:rsidR="00D256C8" w:rsidRPr="00795698" w:rsidRDefault="00D256C8" w:rsidP="00D256C8">
      <w:pPr>
        <w:pStyle w:val="TEKSTIIIII"/>
        <w:rPr>
          <w:lang w:val="sq-AL"/>
        </w:rPr>
      </w:pPr>
    </w:p>
    <w:p w14:paraId="5FEEF3F7" w14:textId="77777777" w:rsidR="00D256C8" w:rsidRPr="00795698" w:rsidRDefault="00D256C8" w:rsidP="00D256C8">
      <w:pPr>
        <w:pStyle w:val="TEKSTIIIII"/>
        <w:rPr>
          <w:lang w:val="sq-AL"/>
        </w:rPr>
      </w:pPr>
      <w:r w:rsidRPr="00795698">
        <w:rPr>
          <w:lang w:val="sq-AL"/>
        </w:rPr>
        <w:t>Në mbështetje të nenit 100 të Kushtetutës, me propozimin e ministrit të Brendshëm, Këshilli i Ministrave</w:t>
      </w:r>
    </w:p>
    <w:p w14:paraId="5FEEF3F8" w14:textId="77777777" w:rsidR="00D256C8" w:rsidRPr="00795698" w:rsidRDefault="00D256C8" w:rsidP="00D256C8">
      <w:pPr>
        <w:pStyle w:val="TEKSTIIIII"/>
        <w:rPr>
          <w:lang w:val="sq-AL"/>
        </w:rPr>
      </w:pPr>
    </w:p>
    <w:p w14:paraId="5FEEF3F9" w14:textId="77777777" w:rsidR="00D256C8" w:rsidRPr="00795698" w:rsidRDefault="00D256C8" w:rsidP="00D256C8">
      <w:pPr>
        <w:pStyle w:val="TEKSTIIIII"/>
        <w:jc w:val="center"/>
        <w:rPr>
          <w:lang w:val="sq-AL"/>
        </w:rPr>
      </w:pPr>
      <w:r w:rsidRPr="00795698">
        <w:rPr>
          <w:lang w:val="sq-AL"/>
        </w:rPr>
        <w:t>VENDOSI:</w:t>
      </w:r>
    </w:p>
    <w:p w14:paraId="5FEEF3FA" w14:textId="77777777" w:rsidR="00D256C8" w:rsidRPr="00795698" w:rsidRDefault="00D256C8" w:rsidP="00D256C8">
      <w:pPr>
        <w:pStyle w:val="TEKSTIIIII"/>
        <w:rPr>
          <w:lang w:val="sq-AL"/>
        </w:rPr>
      </w:pPr>
    </w:p>
    <w:p w14:paraId="5FEEF3FB" w14:textId="340EDAD5" w:rsidR="00D256C8" w:rsidRPr="00795698" w:rsidRDefault="00D256C8" w:rsidP="00D256C8">
      <w:pPr>
        <w:pStyle w:val="TEKSTIIIII"/>
        <w:rPr>
          <w:lang w:val="sq-AL"/>
        </w:rPr>
      </w:pPr>
      <w:r w:rsidRPr="00795698">
        <w:rPr>
          <w:lang w:val="sq-AL"/>
        </w:rPr>
        <w:t xml:space="preserve">1. Miratimin e Strategjisë Ndërsektoriale </w:t>
      </w:r>
      <w:bookmarkStart w:id="0" w:name="_Hlk122289271"/>
      <w:r w:rsidRPr="00795698">
        <w:rPr>
          <w:lang w:val="sq-AL"/>
        </w:rPr>
        <w:t xml:space="preserve">për Parandalimin e Ekstremizmit të Dhunshëm </w:t>
      </w:r>
      <w:bookmarkEnd w:id="0"/>
      <w:r w:rsidRPr="00795698">
        <w:rPr>
          <w:lang w:val="sq-AL"/>
        </w:rPr>
        <w:t>dhe Luftën kundër Terrorizmit 2023</w:t>
      </w:r>
      <w:r w:rsidR="00403CB5" w:rsidRPr="00795698">
        <w:rPr>
          <w:lang w:val="sq-AL"/>
        </w:rPr>
        <w:t>–</w:t>
      </w:r>
      <w:r w:rsidRPr="00795698">
        <w:rPr>
          <w:lang w:val="sq-AL"/>
        </w:rPr>
        <w:t xml:space="preserve">2025 dhe të planeve të veprimit </w:t>
      </w:r>
      <w:r w:rsidR="006249E3" w:rsidRPr="00795698">
        <w:rPr>
          <w:lang w:val="sq-AL"/>
        </w:rPr>
        <w:t>2023–2025</w:t>
      </w:r>
      <w:r w:rsidRPr="00795698">
        <w:rPr>
          <w:lang w:val="sq-AL"/>
        </w:rPr>
        <w:t>, që i bashkëlidhen këtij vendimi.</w:t>
      </w:r>
    </w:p>
    <w:p w14:paraId="5FEEF3FC" w14:textId="60DA27C0" w:rsidR="00D256C8" w:rsidRPr="00795698" w:rsidRDefault="00D256C8" w:rsidP="00D256C8">
      <w:pPr>
        <w:pStyle w:val="TEKSTIIIII"/>
        <w:rPr>
          <w:lang w:val="sq-AL"/>
        </w:rPr>
      </w:pPr>
      <w:r w:rsidRPr="00795698">
        <w:rPr>
          <w:lang w:val="sq-AL"/>
        </w:rPr>
        <w:t>2. Vendimi nr.</w:t>
      </w:r>
      <w:r w:rsidR="00203C47" w:rsidRPr="00795698">
        <w:rPr>
          <w:lang w:val="sq-AL"/>
        </w:rPr>
        <w:t xml:space="preserve"> </w:t>
      </w:r>
      <w:r w:rsidRPr="00795698">
        <w:rPr>
          <w:lang w:val="sq-AL"/>
        </w:rPr>
        <w:t xml:space="preserve">930, datë 18.11.2015, i Këshillit të Ministrave, “Për miratimin e Strategjisë Kombëtare për Luftën </w:t>
      </w:r>
      <w:r w:rsidR="00203C47" w:rsidRPr="00795698">
        <w:rPr>
          <w:lang w:val="sq-AL"/>
        </w:rPr>
        <w:t>k</w:t>
      </w:r>
      <w:r w:rsidRPr="00795698">
        <w:rPr>
          <w:lang w:val="sq-AL"/>
        </w:rPr>
        <w:t>undër Ekstremizmit të Dhunshëm dhe Planit të Veprimit”, dhe vendimi nr.</w:t>
      </w:r>
      <w:r w:rsidR="00403CB5" w:rsidRPr="00795698">
        <w:rPr>
          <w:lang w:val="sq-AL"/>
        </w:rPr>
        <w:t xml:space="preserve"> </w:t>
      </w:r>
      <w:r w:rsidRPr="00795698">
        <w:rPr>
          <w:lang w:val="sq-AL"/>
        </w:rPr>
        <w:t xml:space="preserve">1137, datë 16.12.2020, i Këshillit të Ministrave, “Për miratimin e Strategjisë Ndërsektoriale të Luftës </w:t>
      </w:r>
      <w:r w:rsidR="009C4DC2" w:rsidRPr="00795698">
        <w:rPr>
          <w:lang w:val="sq-AL"/>
        </w:rPr>
        <w:t>k</w:t>
      </w:r>
      <w:r w:rsidRPr="00795698">
        <w:rPr>
          <w:lang w:val="sq-AL"/>
        </w:rPr>
        <w:t>undër Terrorizmit, 2021</w:t>
      </w:r>
      <w:r w:rsidR="00403CB5" w:rsidRPr="00795698">
        <w:rPr>
          <w:lang w:val="sq-AL"/>
        </w:rPr>
        <w:t>–</w:t>
      </w:r>
      <w:r w:rsidRPr="00795698">
        <w:rPr>
          <w:lang w:val="sq-AL"/>
        </w:rPr>
        <w:t>2025 dhe planit të veprimit 2021</w:t>
      </w:r>
      <w:r w:rsidR="00203C47" w:rsidRPr="00795698">
        <w:rPr>
          <w:lang w:val="sq-AL"/>
        </w:rPr>
        <w:t>–</w:t>
      </w:r>
      <w:r w:rsidRPr="00795698">
        <w:rPr>
          <w:lang w:val="sq-AL"/>
        </w:rPr>
        <w:t xml:space="preserve">2023”, shfuqizohen. </w:t>
      </w:r>
    </w:p>
    <w:p w14:paraId="5FEEF3FD" w14:textId="77777777" w:rsidR="00D256C8" w:rsidRPr="00795698" w:rsidRDefault="00D256C8" w:rsidP="00D256C8">
      <w:pPr>
        <w:pStyle w:val="TEKSTIIIII"/>
        <w:rPr>
          <w:lang w:val="sq-AL"/>
        </w:rPr>
      </w:pPr>
      <w:r w:rsidRPr="00795698">
        <w:rPr>
          <w:lang w:val="sq-AL"/>
        </w:rPr>
        <w:t xml:space="preserve">3. Ngarkohen Ministria e Brendshme, ministritë dhe institucionet përgjegjëse, të përmendura në tekstin e kësaj strategjie dhe planeve të veprimit, për zbatimin e këtij vendimi. </w:t>
      </w:r>
    </w:p>
    <w:p w14:paraId="5FEEF3FE" w14:textId="77777777" w:rsidR="00D256C8" w:rsidRPr="00795698" w:rsidRDefault="00D256C8" w:rsidP="00D256C8">
      <w:pPr>
        <w:pStyle w:val="TEKSTIIIII"/>
        <w:rPr>
          <w:lang w:val="sq-AL"/>
        </w:rPr>
      </w:pPr>
      <w:r w:rsidRPr="00795698">
        <w:rPr>
          <w:lang w:val="sq-AL"/>
        </w:rPr>
        <w:t>Ky vendim hyn në fuqi pas botimit në Fletoren Zyrtare.</w:t>
      </w:r>
    </w:p>
    <w:p w14:paraId="5FEEF3FF" w14:textId="77777777" w:rsidR="00D256C8" w:rsidRPr="00795698" w:rsidRDefault="00D256C8" w:rsidP="00D256C8">
      <w:pPr>
        <w:pStyle w:val="TEKSTIIIII"/>
        <w:rPr>
          <w:lang w:val="sq-AL"/>
        </w:rPr>
      </w:pPr>
    </w:p>
    <w:p w14:paraId="5FEEF400" w14:textId="77777777" w:rsidR="00D256C8" w:rsidRPr="00795698" w:rsidRDefault="00D256C8" w:rsidP="00D256C8">
      <w:pPr>
        <w:pStyle w:val="TEKSTIIIII"/>
        <w:jc w:val="right"/>
        <w:rPr>
          <w:lang w:val="sq-AL"/>
        </w:rPr>
      </w:pPr>
      <w:r w:rsidRPr="00795698">
        <w:rPr>
          <w:lang w:val="sq-AL"/>
        </w:rPr>
        <w:t>ZËVENDËSKRYEMINISTËR</w:t>
      </w:r>
    </w:p>
    <w:p w14:paraId="5FEEF401" w14:textId="77777777" w:rsidR="00D256C8" w:rsidRPr="00795698" w:rsidRDefault="00D256C8" w:rsidP="00D256C8">
      <w:pPr>
        <w:pStyle w:val="TEKSTIIIII"/>
        <w:jc w:val="right"/>
        <w:rPr>
          <w:b/>
          <w:lang w:val="sq-AL"/>
        </w:rPr>
      </w:pPr>
      <w:r w:rsidRPr="00795698">
        <w:rPr>
          <w:b/>
          <w:lang w:val="sq-AL"/>
        </w:rPr>
        <w:t>Belinda Balluku</w:t>
      </w:r>
    </w:p>
    <w:p w14:paraId="5FEEF402" w14:textId="77777777" w:rsidR="00505A1A" w:rsidRPr="00795698" w:rsidRDefault="00505A1A" w:rsidP="00505A1A">
      <w:pPr>
        <w:pStyle w:val="NoSpacing"/>
        <w:jc w:val="center"/>
        <w:rPr>
          <w:rFonts w:ascii="Garamond" w:hAnsi="Garamond"/>
          <w:color w:val="000000" w:themeColor="text1"/>
          <w:lang w:val="sq-AL"/>
        </w:rPr>
      </w:pPr>
    </w:p>
    <w:p w14:paraId="7A5B7C83" w14:textId="77777777" w:rsidR="00403CB5" w:rsidRPr="00795698" w:rsidRDefault="00505A1A" w:rsidP="00505A1A">
      <w:pPr>
        <w:pStyle w:val="NoSpacing"/>
        <w:jc w:val="center"/>
        <w:rPr>
          <w:rFonts w:ascii="Garamond" w:hAnsi="Garamond"/>
          <w:color w:val="000000" w:themeColor="text1"/>
          <w:szCs w:val="80"/>
          <w:lang w:val="sq-AL"/>
        </w:rPr>
      </w:pPr>
      <w:r w:rsidRPr="00795698">
        <w:rPr>
          <w:rFonts w:ascii="Garamond" w:hAnsi="Garamond"/>
          <w:color w:val="000000" w:themeColor="text1"/>
          <w:lang w:val="sq-AL"/>
        </w:rPr>
        <w:t xml:space="preserve">STRATEGJIA NDËRSEKTORIALE </w:t>
      </w:r>
    </w:p>
    <w:p w14:paraId="5FEEF403" w14:textId="63C93D50" w:rsidR="00505A1A" w:rsidRPr="00795698" w:rsidRDefault="00505A1A" w:rsidP="00505A1A">
      <w:pPr>
        <w:pStyle w:val="NoSpacing"/>
        <w:jc w:val="center"/>
        <w:rPr>
          <w:rFonts w:ascii="Garamond" w:hAnsi="Garamond"/>
          <w:color w:val="000000" w:themeColor="text1"/>
          <w:lang w:val="sq-AL"/>
        </w:rPr>
      </w:pPr>
      <w:r w:rsidRPr="00795698">
        <w:rPr>
          <w:rFonts w:ascii="Garamond" w:hAnsi="Garamond"/>
          <w:color w:val="000000" w:themeColor="text1"/>
          <w:lang w:val="sq-AL"/>
        </w:rPr>
        <w:t>PËR PARANDALIMIN E EKSTREMIZMIT TË DHUNSHËM DHE LUFTËN</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KUNDËR TERRORIZMIT DHE PLANET E VEPRIMIT</w:t>
      </w:r>
    </w:p>
    <w:p w14:paraId="5FEEF404" w14:textId="5C4D601C" w:rsidR="0084704E" w:rsidRPr="00795698" w:rsidRDefault="0084704E" w:rsidP="0084704E">
      <w:pPr>
        <w:jc w:val="center"/>
        <w:rPr>
          <w:rFonts w:ascii="Garamond" w:hAnsi="Garamond"/>
          <w:color w:val="000000" w:themeColor="text1"/>
        </w:rPr>
      </w:pPr>
      <w:r w:rsidRPr="00795698">
        <w:rPr>
          <w:rFonts w:ascii="Garamond" w:hAnsi="Garamond"/>
          <w:color w:val="000000" w:themeColor="text1"/>
        </w:rPr>
        <w:t>2023</w:t>
      </w:r>
      <w:r w:rsidR="00403CB5" w:rsidRPr="00795698">
        <w:rPr>
          <w:rFonts w:ascii="Garamond" w:hAnsi="Garamond"/>
          <w:color w:val="000000" w:themeColor="text1"/>
        </w:rPr>
        <w:t>–</w:t>
      </w:r>
      <w:r w:rsidRPr="00795698">
        <w:rPr>
          <w:rFonts w:ascii="Garamond" w:hAnsi="Garamond"/>
          <w:color w:val="000000" w:themeColor="text1"/>
        </w:rPr>
        <w:t>2025</w:t>
      </w:r>
    </w:p>
    <w:p w14:paraId="5FEEF405" w14:textId="77777777" w:rsidR="002F5804" w:rsidRPr="00795698" w:rsidRDefault="002F5804" w:rsidP="002F5804">
      <w:pPr>
        <w:pStyle w:val="NoSpacing"/>
        <w:jc w:val="both"/>
        <w:rPr>
          <w:rFonts w:ascii="Garamond" w:hAnsi="Garamond"/>
          <w:color w:val="000000" w:themeColor="text1"/>
          <w:lang w:val="sq-AL"/>
        </w:rPr>
      </w:pPr>
    </w:p>
    <w:p w14:paraId="5FEEF406"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PËRMBAJTJA</w:t>
      </w:r>
    </w:p>
    <w:p w14:paraId="5FEEF407"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Lista e shkurtimeve</w:t>
      </w:r>
    </w:p>
    <w:p w14:paraId="5FEEF408" w14:textId="22AAE3B9" w:rsidR="002F5804"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Përkufizime</w:t>
      </w:r>
    </w:p>
    <w:p w14:paraId="10EEFD9C" w14:textId="77B0C4F4" w:rsidR="00F37036" w:rsidRPr="00795698" w:rsidRDefault="00F37036" w:rsidP="00FE2E55">
      <w:pPr>
        <w:pStyle w:val="NoSpacing"/>
        <w:ind w:firstLine="284"/>
        <w:jc w:val="both"/>
        <w:rPr>
          <w:rFonts w:ascii="Garamond" w:hAnsi="Garamond"/>
          <w:color w:val="000000" w:themeColor="text1"/>
          <w:lang w:val="sq-AL"/>
        </w:rPr>
      </w:pPr>
      <w:r>
        <w:rPr>
          <w:rFonts w:ascii="Garamond" w:hAnsi="Garamond"/>
          <w:color w:val="000000" w:themeColor="text1"/>
          <w:lang w:val="sq-AL"/>
        </w:rPr>
        <w:t>PJESA I: KONTEKSTI STRATEGJIK</w:t>
      </w:r>
    </w:p>
    <w:p w14:paraId="5FEEF409"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Hyrje</w:t>
      </w:r>
    </w:p>
    <w:p w14:paraId="5FEEF40A" w14:textId="33A0BE7E"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Strategjisë Ndërsektoriale për parandalimin e ekstremizmit të dhunshëm dhe luftën kundër terrorizmit 2021</w:t>
      </w:r>
      <w:r w:rsidR="00203C47" w:rsidRPr="00795698">
        <w:rPr>
          <w:rFonts w:ascii="Garamond" w:hAnsi="Garamond"/>
          <w:color w:val="000000" w:themeColor="text1"/>
          <w:lang w:val="sq-AL"/>
        </w:rPr>
        <w:t>–</w:t>
      </w:r>
      <w:r w:rsidRPr="00795698">
        <w:rPr>
          <w:rFonts w:ascii="Garamond" w:hAnsi="Garamond"/>
          <w:color w:val="000000" w:themeColor="text1"/>
          <w:lang w:val="sq-AL"/>
        </w:rPr>
        <w:t xml:space="preserve">2025 dhe lidhja me </w:t>
      </w:r>
      <w:r w:rsidR="00403CB5" w:rsidRPr="00795698">
        <w:rPr>
          <w:rFonts w:ascii="Garamond" w:hAnsi="Garamond"/>
          <w:color w:val="000000" w:themeColor="text1"/>
          <w:szCs w:val="80"/>
          <w:lang w:val="sq-AL"/>
        </w:rPr>
        <w:t>dokumente</w:t>
      </w:r>
      <w:r w:rsidRPr="00795698">
        <w:rPr>
          <w:rFonts w:ascii="Garamond" w:hAnsi="Garamond"/>
          <w:color w:val="000000" w:themeColor="text1"/>
          <w:szCs w:val="80"/>
          <w:lang w:val="sq-AL"/>
        </w:rPr>
        <w:t xml:space="preserve"> strategjik</w:t>
      </w:r>
      <w:r w:rsidR="00403CB5" w:rsidRPr="00795698">
        <w:rPr>
          <w:rFonts w:ascii="Garamond" w:hAnsi="Garamond"/>
          <w:color w:val="000000" w:themeColor="text1"/>
          <w:szCs w:val="80"/>
          <w:lang w:val="sq-AL"/>
        </w:rPr>
        <w:t>e</w:t>
      </w:r>
      <w:r w:rsidRPr="00795698">
        <w:rPr>
          <w:rFonts w:ascii="Garamond" w:hAnsi="Garamond"/>
          <w:color w:val="000000" w:themeColor="text1"/>
          <w:szCs w:val="80"/>
          <w:lang w:val="sq-AL"/>
        </w:rPr>
        <w:t xml:space="preserve"> kombëtar</w:t>
      </w:r>
      <w:r w:rsidR="00403CB5" w:rsidRPr="00795698">
        <w:rPr>
          <w:rFonts w:ascii="Garamond" w:hAnsi="Garamond"/>
          <w:color w:val="000000" w:themeColor="text1"/>
          <w:szCs w:val="80"/>
          <w:lang w:val="sq-AL"/>
        </w:rPr>
        <w:t>e</w:t>
      </w:r>
      <w:r w:rsidRPr="00795698">
        <w:rPr>
          <w:rFonts w:ascii="Garamond" w:hAnsi="Garamond"/>
          <w:color w:val="000000" w:themeColor="text1"/>
          <w:szCs w:val="80"/>
          <w:lang w:val="sq-AL"/>
        </w:rPr>
        <w:t xml:space="preserve"> dhe ndërkombëtar</w:t>
      </w:r>
      <w:r w:rsidR="00403CB5" w:rsidRPr="00795698">
        <w:rPr>
          <w:rFonts w:ascii="Garamond" w:hAnsi="Garamond"/>
          <w:color w:val="000000" w:themeColor="text1"/>
          <w:szCs w:val="80"/>
          <w:lang w:val="sq-AL"/>
        </w:rPr>
        <w:t>e</w:t>
      </w:r>
    </w:p>
    <w:p w14:paraId="5FEEF40B"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Metodologjia</w:t>
      </w:r>
    </w:p>
    <w:p w14:paraId="5FEEF40C"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1.1 Kuadri ligjor dhe institucional, arritjet, mësimet</w:t>
      </w:r>
    </w:p>
    <w:p w14:paraId="5FEEF40D" w14:textId="6374FB50"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1.1.1</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Kuadri</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ligjor</w:t>
      </w:r>
    </w:p>
    <w:p w14:paraId="5FEEF40E"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1.1.2 Instr</w:t>
      </w:r>
      <w:r w:rsidR="00FE2E55" w:rsidRPr="00795698">
        <w:rPr>
          <w:rFonts w:ascii="Garamond" w:hAnsi="Garamond"/>
          <w:color w:val="000000" w:themeColor="text1"/>
          <w:lang w:val="sq-AL"/>
        </w:rPr>
        <w:t>umentet ligjore ndërkombëtare</w:t>
      </w:r>
    </w:p>
    <w:p w14:paraId="5FEEF40F"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1.1.2.1 Konventat </w:t>
      </w:r>
      <w:r w:rsidR="00FE2E55" w:rsidRPr="00795698">
        <w:rPr>
          <w:rFonts w:ascii="Garamond" w:hAnsi="Garamond"/>
          <w:color w:val="000000" w:themeColor="text1"/>
          <w:lang w:val="sq-AL"/>
        </w:rPr>
        <w:t>dhe protokollet ndërkombëtare</w:t>
      </w:r>
    </w:p>
    <w:p w14:paraId="5FEEF410" w14:textId="38B8AF41"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1.1.2.2 Marrëveshje </w:t>
      </w:r>
      <w:r w:rsidRPr="00795698">
        <w:rPr>
          <w:rFonts w:ascii="Garamond" w:hAnsi="Garamond"/>
          <w:color w:val="000000" w:themeColor="text1"/>
          <w:szCs w:val="80"/>
          <w:lang w:val="sq-AL"/>
        </w:rPr>
        <w:t>dypalëshe</w:t>
      </w:r>
      <w:r w:rsidRPr="00795698">
        <w:rPr>
          <w:rFonts w:ascii="Garamond" w:hAnsi="Garamond"/>
          <w:color w:val="000000" w:themeColor="text1"/>
          <w:lang w:val="sq-AL"/>
        </w:rPr>
        <w:t xml:space="preserve"> në fushë</w:t>
      </w:r>
      <w:r w:rsidR="00FE2E55" w:rsidRPr="00795698">
        <w:rPr>
          <w:rFonts w:ascii="Garamond" w:hAnsi="Garamond"/>
          <w:color w:val="000000" w:themeColor="text1"/>
          <w:lang w:val="sq-AL"/>
        </w:rPr>
        <w:t>n e luftës kundër terrorizmit</w:t>
      </w:r>
    </w:p>
    <w:p w14:paraId="5FEEF411" w14:textId="77777777" w:rsidR="00FE2E55"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1.1.2 Kuadri institucional</w:t>
      </w:r>
    </w:p>
    <w:p w14:paraId="5FEEF412" w14:textId="77777777" w:rsidR="00FE2E55"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2.1 Arritjet dhe mësimet</w:t>
      </w:r>
    </w:p>
    <w:p w14:paraId="5FEEF413" w14:textId="77777777"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2.2.1 Analiza e situatës</w:t>
      </w:r>
    </w:p>
    <w:p w14:paraId="5FEEF414"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2.2.2 Faktorët e riskut dhe kërcënimet nga ekstremizmi i dhunsh</w:t>
      </w:r>
      <w:r w:rsidR="00FE2E55" w:rsidRPr="00795698">
        <w:rPr>
          <w:rFonts w:ascii="Garamond" w:hAnsi="Garamond"/>
          <w:color w:val="000000" w:themeColor="text1"/>
          <w:lang w:val="sq-AL"/>
        </w:rPr>
        <w:t>ëm dhe terrorizmi në Shqipëri</w:t>
      </w:r>
      <w:r w:rsidR="00FE2E55" w:rsidRPr="00795698">
        <w:rPr>
          <w:rFonts w:ascii="Garamond" w:hAnsi="Garamond"/>
          <w:color w:val="000000" w:themeColor="text1"/>
          <w:lang w:val="sq-AL"/>
        </w:rPr>
        <w:tab/>
      </w:r>
    </w:p>
    <w:p w14:paraId="5FEEF415" w14:textId="77777777"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lastRenderedPageBreak/>
        <w:t>2.2.3 Dënimet</w:t>
      </w:r>
    </w:p>
    <w:p w14:paraId="5FEEF416"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2.2.4 Masat e marra</w:t>
      </w:r>
      <w:r w:rsidR="00FE2E55" w:rsidRPr="00795698">
        <w:rPr>
          <w:rFonts w:ascii="Garamond" w:hAnsi="Garamond"/>
          <w:color w:val="000000" w:themeColor="text1"/>
          <w:lang w:val="sq-AL"/>
        </w:rPr>
        <w:t xml:space="preserve"> në luftën kundër terrorizmit</w:t>
      </w:r>
    </w:p>
    <w:p w14:paraId="5FEEF417" w14:textId="77777777"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2.2.5 Financimi i terrorizmit</w:t>
      </w:r>
    </w:p>
    <w:p w14:paraId="5FEEF418"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2.2.6 Të dhëna nga raporte ndërkombëtare për situatën e Shqipërisë në lidhje me ekstremizm</w:t>
      </w:r>
      <w:r w:rsidR="00FE2E55" w:rsidRPr="00795698">
        <w:rPr>
          <w:rFonts w:ascii="Garamond" w:hAnsi="Garamond"/>
          <w:color w:val="000000" w:themeColor="text1"/>
          <w:lang w:val="sq-AL"/>
        </w:rPr>
        <w:t>in e dhunshëm dhe terrorizmin</w:t>
      </w:r>
    </w:p>
    <w:p w14:paraId="5FEEF419"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2.2.7 Drejtimet kryesore që do t</w:t>
      </w:r>
      <w:r w:rsidR="00FE2E55" w:rsidRPr="00795698">
        <w:rPr>
          <w:rFonts w:ascii="Garamond" w:hAnsi="Garamond"/>
          <w:color w:val="000000" w:themeColor="text1"/>
          <w:lang w:val="sq-AL"/>
        </w:rPr>
        <w:t>ë trajtohen në këtë strategji</w:t>
      </w:r>
    </w:p>
    <w:p w14:paraId="5FEEF41A" w14:textId="7D7549E7"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3.1 Vizioni</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i</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Strategjisë</w:t>
      </w:r>
    </w:p>
    <w:p w14:paraId="5FEEF41B" w14:textId="77777777"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3.1.1 Vizioni</w:t>
      </w:r>
    </w:p>
    <w:p w14:paraId="5FEEF41C" w14:textId="77777777"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3.1.2 Misioni</w:t>
      </w:r>
    </w:p>
    <w:p w14:paraId="5FEEF41D"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3.1.3 Indikatorët e impaktit dhe </w:t>
      </w:r>
      <w:r w:rsidR="00FE2E55" w:rsidRPr="00795698">
        <w:rPr>
          <w:rFonts w:ascii="Garamond" w:hAnsi="Garamond"/>
          <w:color w:val="000000" w:themeColor="text1"/>
          <w:lang w:val="sq-AL"/>
        </w:rPr>
        <w:t>indikatorët e rezultatit</w:t>
      </w:r>
      <w:r w:rsidR="00FE2E55" w:rsidRPr="00795698">
        <w:rPr>
          <w:rFonts w:ascii="Garamond" w:hAnsi="Garamond"/>
          <w:color w:val="000000" w:themeColor="text1"/>
          <w:lang w:val="sq-AL"/>
        </w:rPr>
        <w:tab/>
      </w:r>
    </w:p>
    <w:p w14:paraId="5FEEF41E" w14:textId="1FC61367" w:rsidR="002F5804" w:rsidRPr="00795698" w:rsidRDefault="002F5804" w:rsidP="00FE2E55">
      <w:pPr>
        <w:pStyle w:val="NoSpacing"/>
        <w:ind w:firstLine="284"/>
        <w:jc w:val="both"/>
        <w:rPr>
          <w:rFonts w:ascii="Garamond" w:hAnsi="Garamond"/>
          <w:color w:val="000000" w:themeColor="text1"/>
          <w:lang w:val="sq-AL"/>
        </w:rPr>
      </w:pPr>
      <w:r w:rsidRPr="0083536D">
        <w:rPr>
          <w:rFonts w:ascii="Garamond" w:hAnsi="Garamond"/>
          <w:color w:val="000000" w:themeColor="text1"/>
          <w:lang w:val="sq-AL"/>
        </w:rPr>
        <w:t>PJESA II</w:t>
      </w:r>
      <w:r w:rsidR="00692F54" w:rsidRPr="0083536D">
        <w:rPr>
          <w:rFonts w:ascii="Garamond" w:hAnsi="Garamond"/>
          <w:color w:val="000000" w:themeColor="text1"/>
          <w:lang w:val="sq-AL"/>
        </w:rPr>
        <w:t>.</w:t>
      </w:r>
      <w:r w:rsidRPr="00795698">
        <w:rPr>
          <w:rFonts w:ascii="Garamond" w:hAnsi="Garamond"/>
          <w:color w:val="000000" w:themeColor="text1"/>
          <w:lang w:val="sq-AL"/>
        </w:rPr>
        <w:t xml:space="preserve"> QËLLIMI I STRATEG</w:t>
      </w:r>
      <w:r w:rsidR="00FE2E55" w:rsidRPr="00795698">
        <w:rPr>
          <w:rFonts w:ascii="Garamond" w:hAnsi="Garamond"/>
          <w:color w:val="000000" w:themeColor="text1"/>
          <w:lang w:val="sq-AL"/>
        </w:rPr>
        <w:t>JISË DHE OBJEKTIVAT SPECIFIKE</w:t>
      </w:r>
    </w:p>
    <w:p w14:paraId="5FEEF41F" w14:textId="34F2F80A"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QASJA 1</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PARANDALIMI I EKSTREMIZMI</w:t>
      </w:r>
      <w:r w:rsidR="00FE2E55" w:rsidRPr="00795698">
        <w:rPr>
          <w:rFonts w:ascii="Garamond" w:hAnsi="Garamond"/>
          <w:color w:val="000000" w:themeColor="text1"/>
          <w:lang w:val="sq-AL"/>
        </w:rPr>
        <w:t>T TË DHUNSHËM DHE TERRORIZMIT</w:t>
      </w:r>
      <w:r w:rsidR="00FE2E55" w:rsidRPr="00795698">
        <w:rPr>
          <w:rFonts w:ascii="Garamond" w:hAnsi="Garamond"/>
          <w:color w:val="000000" w:themeColor="text1"/>
          <w:lang w:val="sq-AL"/>
        </w:rPr>
        <w:tab/>
      </w:r>
    </w:p>
    <w:p w14:paraId="5FEEF420"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1: MBAJTJA E KËRCËNIMIT</w:t>
      </w:r>
      <w:r w:rsidR="00FE2E55" w:rsidRPr="00795698">
        <w:rPr>
          <w:rFonts w:ascii="Garamond" w:hAnsi="Garamond"/>
          <w:color w:val="000000" w:themeColor="text1"/>
          <w:lang w:val="sq-AL"/>
        </w:rPr>
        <w:t xml:space="preserve"> TERRORIST NË NIVEL “TË ULËT”</w:t>
      </w:r>
      <w:r w:rsidR="00FE2E55" w:rsidRPr="00795698">
        <w:rPr>
          <w:rFonts w:ascii="Garamond" w:hAnsi="Garamond"/>
          <w:color w:val="000000" w:themeColor="text1"/>
          <w:lang w:val="sq-AL"/>
        </w:rPr>
        <w:tab/>
      </w:r>
    </w:p>
    <w:p w14:paraId="5FEEF421"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1.1: P</w:t>
      </w:r>
      <w:r w:rsidR="00FE2E55" w:rsidRPr="00795698">
        <w:rPr>
          <w:rFonts w:ascii="Garamond" w:hAnsi="Garamond"/>
          <w:color w:val="000000" w:themeColor="text1"/>
          <w:lang w:val="sq-AL"/>
        </w:rPr>
        <w:t>arandalimi i terrorizmit</w:t>
      </w:r>
    </w:p>
    <w:p w14:paraId="5FEEF422"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1.2: Parandalim</w:t>
      </w:r>
      <w:r w:rsidR="00FE2E55" w:rsidRPr="00795698">
        <w:rPr>
          <w:rFonts w:ascii="Garamond" w:hAnsi="Garamond"/>
          <w:color w:val="000000" w:themeColor="text1"/>
          <w:lang w:val="sq-AL"/>
        </w:rPr>
        <w:t>i i financimit të terrorizmit</w:t>
      </w:r>
    </w:p>
    <w:p w14:paraId="5FEEF423" w14:textId="52AD4588"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1.3: Intensifikimi i masave për ndjekjen dhe monitorimin e situatës lidhur me shtetasit</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shqiptarë LHT që mund të kthehen nga zonat e konfliktit Siri/Irak, si dhe çdo individi të dyshuar për</w:t>
      </w:r>
      <w:r w:rsidR="00FE2E55" w:rsidRPr="00795698">
        <w:rPr>
          <w:rFonts w:ascii="Garamond" w:hAnsi="Garamond"/>
          <w:color w:val="000000" w:themeColor="text1"/>
          <w:lang w:val="sq-AL"/>
        </w:rPr>
        <w:t xml:space="preserve"> vepra me</w:t>
      </w:r>
      <w:r w:rsidR="007C064A" w:rsidRPr="00795698">
        <w:rPr>
          <w:rFonts w:ascii="Garamond" w:hAnsi="Garamond"/>
          <w:color w:val="000000" w:themeColor="text1"/>
          <w:lang w:val="sq-AL"/>
        </w:rPr>
        <w:t xml:space="preserve"> </w:t>
      </w:r>
      <w:r w:rsidR="00FE2E55" w:rsidRPr="00795698">
        <w:rPr>
          <w:rFonts w:ascii="Garamond" w:hAnsi="Garamond"/>
          <w:color w:val="000000" w:themeColor="text1"/>
          <w:lang w:val="sq-AL"/>
        </w:rPr>
        <w:t>qëllime terroriste</w:t>
      </w:r>
    </w:p>
    <w:p w14:paraId="5FEEF424"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1.4: Forcimi i bashkëpunimit dhe koordinimit të agjencive inteligjente, ligjzbatuese për parandalimin e ekstremizmit të dhunshëm dhe në luftën kundër terrorizmit në vend dhe m</w:t>
      </w:r>
      <w:r w:rsidR="00FE2E55" w:rsidRPr="00795698">
        <w:rPr>
          <w:rFonts w:ascii="Garamond" w:hAnsi="Garamond"/>
          <w:color w:val="000000" w:themeColor="text1"/>
          <w:lang w:val="sq-AL"/>
        </w:rPr>
        <w:t>e shërbime homologe/partnere</w:t>
      </w:r>
    </w:p>
    <w:p w14:paraId="5FEEF425" w14:textId="15E0ADD4"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2</w:t>
      </w:r>
      <w:r w:rsidR="00985056" w:rsidRPr="00795698">
        <w:rPr>
          <w:rFonts w:ascii="Garamond" w:hAnsi="Garamond"/>
          <w:color w:val="000000" w:themeColor="text1"/>
          <w:lang w:val="sq-AL"/>
        </w:rPr>
        <w:t>.</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NDËRPRERJA E AKTIVITETEVE NË FAQET DHE PLATFORMAT DI</w:t>
      </w:r>
      <w:r w:rsidR="00203C47" w:rsidRPr="00795698">
        <w:rPr>
          <w:rFonts w:ascii="Garamond" w:hAnsi="Garamond"/>
          <w:color w:val="000000" w:themeColor="text1"/>
          <w:lang w:val="sq-AL"/>
        </w:rPr>
        <w:t>GJ</w:t>
      </w:r>
      <w:r w:rsidRPr="00795698">
        <w:rPr>
          <w:rFonts w:ascii="Garamond" w:hAnsi="Garamond"/>
          <w:color w:val="000000" w:themeColor="text1"/>
          <w:lang w:val="sq-AL"/>
        </w:rPr>
        <w:t>ITALE QË TËRH</w:t>
      </w:r>
      <w:r w:rsidR="00FE2E55" w:rsidRPr="00795698">
        <w:rPr>
          <w:rFonts w:ascii="Garamond" w:hAnsi="Garamond"/>
          <w:color w:val="000000" w:themeColor="text1"/>
          <w:lang w:val="sq-AL"/>
        </w:rPr>
        <w:t>EQIN</w:t>
      </w:r>
      <w:r w:rsidR="007C064A" w:rsidRPr="00795698">
        <w:rPr>
          <w:rFonts w:ascii="Garamond" w:hAnsi="Garamond"/>
          <w:color w:val="000000" w:themeColor="text1"/>
          <w:lang w:val="sq-AL"/>
        </w:rPr>
        <w:t xml:space="preserve"> </w:t>
      </w:r>
      <w:r w:rsidR="00FE2E55" w:rsidRPr="00795698">
        <w:rPr>
          <w:rFonts w:ascii="Garamond" w:hAnsi="Garamond"/>
          <w:color w:val="000000" w:themeColor="text1"/>
          <w:lang w:val="sq-AL"/>
        </w:rPr>
        <w:t>INDIVIDË NË TERRORIZËM.</w:t>
      </w:r>
    </w:p>
    <w:p w14:paraId="5FEEF426"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2.1: Parandalimi i radik</w:t>
      </w:r>
      <w:r w:rsidR="00FE2E55" w:rsidRPr="00795698">
        <w:rPr>
          <w:rFonts w:ascii="Garamond" w:hAnsi="Garamond"/>
          <w:color w:val="000000" w:themeColor="text1"/>
          <w:lang w:val="sq-AL"/>
        </w:rPr>
        <w:t>alizimit nëpërmjet internetit</w:t>
      </w:r>
    </w:p>
    <w:p w14:paraId="5FEEF427"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specifik 2.2: Rritja e prezencës së strukturave të antiterrorit në mjedisin virtual përmes kontrollit dhe monitorimit të hapësirave </w:t>
      </w:r>
      <w:r w:rsidR="00FE2E55" w:rsidRPr="00795698">
        <w:rPr>
          <w:rFonts w:ascii="Garamond" w:hAnsi="Garamond"/>
          <w:color w:val="000000" w:themeColor="text1"/>
          <w:lang w:val="sq-AL"/>
        </w:rPr>
        <w:t>virtuale përfshirë darknet-in</w:t>
      </w:r>
    </w:p>
    <w:p w14:paraId="5FEEF428"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2.3: Parandalimi i radikalizimit dhe rekrutimeve terroriste duke rritur bashkëpunimin bilateral, rajonal dhe ndërkombëtar dhe me prodhuesit e aplikacioneve onlin</w:t>
      </w:r>
      <w:r w:rsidR="00FE2E55" w:rsidRPr="00795698">
        <w:rPr>
          <w:rFonts w:ascii="Garamond" w:hAnsi="Garamond"/>
          <w:color w:val="000000" w:themeColor="text1"/>
          <w:lang w:val="sq-AL"/>
        </w:rPr>
        <w:t>e</w:t>
      </w:r>
    </w:p>
    <w:p w14:paraId="5FEEF429"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QËLLIMI I POLITIKËS 3: NJOHJA E KËRCËNIMEVE TË TERRORIZMIT NË VENDIN TONË PËRMES IDENTIFIKIMIT TË HERSHËM TË GRUPEVE TË </w:t>
      </w:r>
      <w:r w:rsidR="00FE2E55" w:rsidRPr="00795698">
        <w:rPr>
          <w:rFonts w:ascii="Garamond" w:hAnsi="Garamond"/>
          <w:color w:val="000000" w:themeColor="text1"/>
          <w:lang w:val="sq-AL"/>
        </w:rPr>
        <w:t>SYNUARA DHE METODAVE RADIKALE</w:t>
      </w:r>
    </w:p>
    <w:p w14:paraId="5FEEF42A"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3.1: Vlerësimi dhe analizimi i faktorëve që çojnë në radikalizim dhe ekstremizë</w:t>
      </w:r>
      <w:r w:rsidR="00FE2E55" w:rsidRPr="00795698">
        <w:rPr>
          <w:rFonts w:ascii="Garamond" w:hAnsi="Garamond"/>
          <w:color w:val="000000" w:themeColor="text1"/>
          <w:lang w:val="sq-AL"/>
        </w:rPr>
        <w:t>m të dhunshëm</w:t>
      </w:r>
    </w:p>
    <w:p w14:paraId="5FEEF42B" w14:textId="394AE3F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4: ZGJERIMI I</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KAPACITETEVE OPERACIONALE TË POLICISË DHE KAPACITETEVE TË IN</w:t>
      </w:r>
      <w:r w:rsidR="00FE2E55" w:rsidRPr="00795698">
        <w:rPr>
          <w:rFonts w:ascii="Garamond" w:hAnsi="Garamond"/>
          <w:color w:val="000000" w:themeColor="text1"/>
          <w:lang w:val="sq-AL"/>
        </w:rPr>
        <w:t>STITUCIONEVE TË INTELIGJENCËS</w:t>
      </w:r>
    </w:p>
    <w:p w14:paraId="5FEEF42C"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4.1: Rritja e parandalimit nëpërmjet zhvillimit të vlerësimeve të riskut, analizave dhe kërkimeve për r</w:t>
      </w:r>
      <w:r w:rsidR="00FE2E55" w:rsidRPr="00795698">
        <w:rPr>
          <w:rFonts w:ascii="Garamond" w:hAnsi="Garamond"/>
          <w:color w:val="000000" w:themeColor="text1"/>
          <w:lang w:val="sq-AL"/>
        </w:rPr>
        <w:t>adikalizimin dhe terrorizmin.</w:t>
      </w:r>
    </w:p>
    <w:p w14:paraId="5FEEF42D"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5: ZHVIL</w:t>
      </w:r>
      <w:r w:rsidR="00FE2E55" w:rsidRPr="00795698">
        <w:rPr>
          <w:rFonts w:ascii="Garamond" w:hAnsi="Garamond"/>
          <w:color w:val="000000" w:themeColor="text1"/>
          <w:lang w:val="sq-AL"/>
        </w:rPr>
        <w:t>LIMI I KOMUNIKIMIT STRATEGJIK</w:t>
      </w:r>
    </w:p>
    <w:p w14:paraId="5FEEF42E"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5.1: Shkëmbimi i përvojës dhe ek</w:t>
      </w:r>
      <w:r w:rsidR="00FE2E55" w:rsidRPr="00795698">
        <w:rPr>
          <w:rFonts w:ascii="Garamond" w:hAnsi="Garamond"/>
          <w:color w:val="000000" w:themeColor="text1"/>
          <w:lang w:val="sq-AL"/>
        </w:rPr>
        <w:t>spertizës me vendet e rajonit</w:t>
      </w:r>
    </w:p>
    <w:p w14:paraId="5FEEF42F"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5.2: Krijimi i një rrjeti komunikimi të vazhdueshëm për shkëmbimin e informacioneve mes institucioneve dhe strukturave të përfshira me qëllim krijimin e mekanizmave për ndërgjegjësimin mbi terrorizmin</w:t>
      </w:r>
      <w:r w:rsidR="00FE2E55" w:rsidRPr="00795698">
        <w:rPr>
          <w:rFonts w:ascii="Garamond" w:hAnsi="Garamond"/>
          <w:color w:val="000000" w:themeColor="text1"/>
          <w:lang w:val="sq-AL"/>
        </w:rPr>
        <w:t xml:space="preserve"> dhe ekstremizmin e dhunshëm.</w:t>
      </w:r>
    </w:p>
    <w:p w14:paraId="5FEEF430" w14:textId="06544C7F"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w:t>
      </w:r>
      <w:r w:rsidR="00203C47" w:rsidRPr="00795698">
        <w:rPr>
          <w:rFonts w:ascii="Garamond" w:hAnsi="Garamond"/>
          <w:color w:val="000000" w:themeColor="text1"/>
          <w:lang w:val="sq-AL"/>
        </w:rPr>
        <w:t>s</w:t>
      </w:r>
      <w:r w:rsidRPr="00795698">
        <w:rPr>
          <w:rFonts w:ascii="Garamond" w:hAnsi="Garamond"/>
          <w:color w:val="000000" w:themeColor="text1"/>
          <w:lang w:val="sq-AL"/>
        </w:rPr>
        <w:t xml:space="preserve">pecifik 5.3: Komunikimi strategjik dhe kundërnarrativa online e ekstremizmit </w:t>
      </w:r>
      <w:r w:rsidR="00FE2E55" w:rsidRPr="00795698">
        <w:rPr>
          <w:rFonts w:ascii="Garamond" w:hAnsi="Garamond"/>
          <w:color w:val="000000" w:themeColor="text1"/>
          <w:lang w:val="sq-AL"/>
        </w:rPr>
        <w:t>të dhunshëm</w:t>
      </w:r>
      <w:r w:rsidR="007C064A" w:rsidRPr="00795698">
        <w:rPr>
          <w:rFonts w:ascii="Garamond" w:hAnsi="Garamond"/>
          <w:color w:val="000000" w:themeColor="text1"/>
          <w:lang w:val="sq-AL"/>
        </w:rPr>
        <w:t xml:space="preserve"> </w:t>
      </w:r>
      <w:r w:rsidR="00FE2E55" w:rsidRPr="00795698">
        <w:rPr>
          <w:rFonts w:ascii="Garamond" w:hAnsi="Garamond"/>
          <w:color w:val="000000" w:themeColor="text1"/>
          <w:lang w:val="sq-AL"/>
        </w:rPr>
        <w:t>dhe radikalizmit</w:t>
      </w:r>
    </w:p>
    <w:p w14:paraId="5FEEF431" w14:textId="275728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QASJA 2</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HETIMI I VEPRAVE TË TERRORIZMIT, ZBULIMI DHE GODITJA E TERRORISTËVE/GRUPEVE TERRORISTE DUKE </w:t>
      </w:r>
      <w:r w:rsidR="007D3437" w:rsidRPr="00795698">
        <w:rPr>
          <w:rFonts w:ascii="Garamond" w:hAnsi="Garamond"/>
          <w:color w:val="000000" w:themeColor="text1"/>
          <w:lang w:val="sq-AL"/>
        </w:rPr>
        <w:t>ELIMINUAR</w:t>
      </w:r>
      <w:r w:rsidR="00FE2E55" w:rsidRPr="00795698">
        <w:rPr>
          <w:rFonts w:ascii="Garamond" w:hAnsi="Garamond"/>
          <w:color w:val="000000" w:themeColor="text1"/>
          <w:lang w:val="sq-AL"/>
        </w:rPr>
        <w:t xml:space="preserve"> KËRCËNIMET E TERRORIZMIT</w:t>
      </w:r>
    </w:p>
    <w:p w14:paraId="5FEEF432" w14:textId="169BB279"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lastRenderedPageBreak/>
        <w:t>QËLLIMI I POLITIKËS 6: IDENTIFIKIMI, HETIMI, ZBULIMI</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 xml:space="preserve">E VEPRAVE PENALE NË FUSHËN E TERRORIZMIT DHE FINANCIMIT TË TIJ DHE GODITJA E </w:t>
      </w:r>
      <w:r w:rsidR="00FE2E55" w:rsidRPr="00795698">
        <w:rPr>
          <w:rFonts w:ascii="Garamond" w:hAnsi="Garamond"/>
          <w:color w:val="000000" w:themeColor="text1"/>
          <w:lang w:val="sq-AL"/>
        </w:rPr>
        <w:t>INDIVIDËVE GRUPEVE TERRORISTE</w:t>
      </w:r>
    </w:p>
    <w:p w14:paraId="5FEEF433"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6.1: Hetimi i te</w:t>
      </w:r>
      <w:r w:rsidR="00FE2E55" w:rsidRPr="00795698">
        <w:rPr>
          <w:rFonts w:ascii="Garamond" w:hAnsi="Garamond"/>
          <w:color w:val="000000" w:themeColor="text1"/>
          <w:lang w:val="sq-AL"/>
        </w:rPr>
        <w:t>rrorizmit dhe burimeve të tij</w:t>
      </w:r>
    </w:p>
    <w:p w14:paraId="5FEEF434"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specifik 6.2: Bashkëpunimi dhe koordinimi me agjencitë inteligjente e ligjzbatuese dhe institucione që kanë detyrime </w:t>
      </w:r>
      <w:r w:rsidR="00FE2E55" w:rsidRPr="00795698">
        <w:rPr>
          <w:rFonts w:ascii="Garamond" w:hAnsi="Garamond"/>
          <w:color w:val="000000" w:themeColor="text1"/>
          <w:lang w:val="sq-AL"/>
        </w:rPr>
        <w:t>në luftën kundër terrorizmit.</w:t>
      </w:r>
    </w:p>
    <w:p w14:paraId="5FEEF435" w14:textId="0BCAFDA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6.3 Përmirësimi dhe rritja e kapaciteteve njerëzore, profesionale</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e logjistike të</w:t>
      </w:r>
      <w:r w:rsidR="00FE2E55" w:rsidRPr="00795698">
        <w:rPr>
          <w:rFonts w:ascii="Garamond" w:hAnsi="Garamond"/>
          <w:color w:val="000000" w:themeColor="text1"/>
          <w:lang w:val="sq-AL"/>
        </w:rPr>
        <w:t xml:space="preserve"> strukturave të antiterrorit.</w:t>
      </w:r>
    </w:p>
    <w:p w14:paraId="5FEEF436"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7: PËRMIRËSIMI I SISTEMEVE TË MBLEDHJES, RUAJTJES, ANALIZIMIT DHE S</w:t>
      </w:r>
      <w:r w:rsidR="00FE2E55" w:rsidRPr="00795698">
        <w:rPr>
          <w:rFonts w:ascii="Garamond" w:hAnsi="Garamond"/>
          <w:color w:val="000000" w:themeColor="text1"/>
          <w:lang w:val="sq-AL"/>
        </w:rPr>
        <w:t>HPËRNDARJES SË INFORMACIONIT.</w:t>
      </w:r>
    </w:p>
    <w:p w14:paraId="5FEEF437" w14:textId="3CA8C721"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7.1: Krijimi i një sistemi të sigurt të komunikimit për transmetimin e informacionit ndërmjet strukturave të përfshira</w:t>
      </w:r>
      <w:r w:rsidR="00FE2E55" w:rsidRPr="00795698">
        <w:rPr>
          <w:rFonts w:ascii="Garamond" w:hAnsi="Garamond"/>
          <w:color w:val="000000" w:themeColor="text1"/>
          <w:lang w:val="sq-AL"/>
        </w:rPr>
        <w:t xml:space="preserve"> në luftën kundër terrorizmit</w:t>
      </w:r>
    </w:p>
    <w:p w14:paraId="5FEEF438"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7.2: Vlerësimi periodik i nivelit të rrezikut/kërcënimit të faktorëve dhe fenomeneve që prodhojnë radikalizëm apo ekstremizë</w:t>
      </w:r>
      <w:r w:rsidR="00FE2E55" w:rsidRPr="00795698">
        <w:rPr>
          <w:rFonts w:ascii="Garamond" w:hAnsi="Garamond"/>
          <w:color w:val="000000" w:themeColor="text1"/>
          <w:lang w:val="sq-AL"/>
        </w:rPr>
        <w:t>m, si derivate të terrorizmit</w:t>
      </w:r>
    </w:p>
    <w:p w14:paraId="5FEEF439"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7.3 Bashkëpunimi dhe shkëmbimi i informacionit me agjencitë inteligjente dhe ligjzbatuese në vend dhe ato të huaja me përgjegjësi në luftën kundër terrorizmit për përcaktimin e nivelit të kërcënimit terrorist në rrafshin ndërkombëtar modus operandi dh</w:t>
      </w:r>
      <w:r w:rsidR="00FE2E55" w:rsidRPr="00795698">
        <w:rPr>
          <w:rFonts w:ascii="Garamond" w:hAnsi="Garamond"/>
          <w:color w:val="000000" w:themeColor="text1"/>
          <w:lang w:val="sq-AL"/>
        </w:rPr>
        <w:t>e ndikimit të tij në Shqipëri</w:t>
      </w:r>
    </w:p>
    <w:p w14:paraId="5FEEF43A"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7.4: Sigurimi i informacionit për terrorizmin, ekstremizmin e dhunshëm dhe radikalizimin, sabotazhin dhe Armët e Dëmtimit në Masë dhe informimi i institucioneve vendimarrëse, politikëbërëse, institucioneve dhe strukturave të tjera kompetente/përgjegjëse shtetërore dhe të zbatimit të lig</w:t>
      </w:r>
      <w:r w:rsidR="00FE2E55" w:rsidRPr="00795698">
        <w:rPr>
          <w:rFonts w:ascii="Garamond" w:hAnsi="Garamond"/>
          <w:color w:val="000000" w:themeColor="text1"/>
          <w:lang w:val="sq-AL"/>
        </w:rPr>
        <w:t>jit</w:t>
      </w:r>
    </w:p>
    <w:p w14:paraId="5FEEF43B"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7.5: Konsolidimi dhe forcimi i bashkëpunimit me: strukturat e specializuara të Policisë së Shtetit; institucionet e sistemit të sigurisë kombëtare; shërbimet inteligjente t</w:t>
      </w:r>
      <w:r w:rsidR="00FE2E55" w:rsidRPr="00795698">
        <w:rPr>
          <w:rFonts w:ascii="Garamond" w:hAnsi="Garamond"/>
          <w:color w:val="000000" w:themeColor="text1"/>
          <w:lang w:val="sq-AL"/>
        </w:rPr>
        <w:t>ë vendeve aleate dhe partnere</w:t>
      </w:r>
    </w:p>
    <w:p w14:paraId="5FEEF43C" w14:textId="13E329EF"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QASJA 3</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REAGIMI, REHABIL</w:t>
      </w:r>
      <w:r w:rsidR="00FE2E55" w:rsidRPr="00795698">
        <w:rPr>
          <w:rFonts w:ascii="Garamond" w:hAnsi="Garamond"/>
          <w:color w:val="000000" w:themeColor="text1"/>
          <w:lang w:val="sq-AL"/>
        </w:rPr>
        <w:t>ITIMI DHE RIINTEGRIMI</w:t>
      </w:r>
    </w:p>
    <w:p w14:paraId="5FEEF43D" w14:textId="35033802"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QËLLIMI I POLITIKËS 8: REAGIM NËPËRMJET FORCIMIT TË KAPACITETEVE TË INSTITUCIONEVE </w:t>
      </w:r>
      <w:r w:rsidR="007D3437" w:rsidRPr="00795698">
        <w:rPr>
          <w:rFonts w:ascii="Garamond" w:hAnsi="Garamond"/>
          <w:color w:val="000000" w:themeColor="text1"/>
          <w:lang w:val="sq-AL"/>
        </w:rPr>
        <w:t>PËRKATËSE</w:t>
      </w:r>
      <w:r w:rsidRPr="00795698">
        <w:rPr>
          <w:rFonts w:ascii="Garamond" w:hAnsi="Garamond"/>
          <w:color w:val="000000" w:themeColor="text1"/>
          <w:lang w:val="sq-AL"/>
        </w:rPr>
        <w:t xml:space="preserve"> PËR T</w:t>
      </w:r>
      <w:r w:rsidR="0041767D" w:rsidRPr="00795698">
        <w:rPr>
          <w:rFonts w:ascii="Garamond" w:hAnsi="Garamond"/>
          <w:color w:val="000000" w:themeColor="text1"/>
          <w:lang w:val="sq-AL"/>
        </w:rPr>
        <w:t>’</w:t>
      </w:r>
      <w:r w:rsidRPr="00795698">
        <w:rPr>
          <w:rFonts w:ascii="Garamond" w:hAnsi="Garamond"/>
          <w:color w:val="000000" w:themeColor="text1"/>
          <w:lang w:val="sq-AL"/>
        </w:rPr>
        <w:t xml:space="preserve">IU </w:t>
      </w:r>
      <w:r w:rsidR="00FE2E55" w:rsidRPr="00795698">
        <w:rPr>
          <w:rFonts w:ascii="Garamond" w:hAnsi="Garamond"/>
          <w:color w:val="000000" w:themeColor="text1"/>
          <w:lang w:val="sq-AL"/>
        </w:rPr>
        <w:t>PËRGJIGJUR SULMEVE TERRORISTE</w:t>
      </w:r>
      <w:r w:rsidR="00FE2E55" w:rsidRPr="00795698">
        <w:rPr>
          <w:rFonts w:ascii="Garamond" w:hAnsi="Garamond"/>
          <w:color w:val="000000" w:themeColor="text1"/>
          <w:lang w:val="sq-AL"/>
        </w:rPr>
        <w:tab/>
      </w:r>
    </w:p>
    <w:p w14:paraId="5FEEF43E"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8.1: Konsolidimi i kapaciteteve të mbrojtjes civile, në nivelin qendror dhe a</w:t>
      </w:r>
      <w:r w:rsidR="00FE2E55" w:rsidRPr="00795698">
        <w:rPr>
          <w:rFonts w:ascii="Garamond" w:hAnsi="Garamond"/>
          <w:color w:val="000000" w:themeColor="text1"/>
          <w:lang w:val="sq-AL"/>
        </w:rPr>
        <w:t>të lokal</w:t>
      </w:r>
    </w:p>
    <w:p w14:paraId="5FEEF43F"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9: REAGIM NËPËRMJET REDUKTIMIT DHE LEHTËSIMIT TË PASOJAVE TË FENOMENEVE TË RADIKALIZMIT, EKSTREMIZMI</w:t>
      </w:r>
      <w:r w:rsidR="00FE2E55" w:rsidRPr="00795698">
        <w:rPr>
          <w:rFonts w:ascii="Garamond" w:hAnsi="Garamond"/>
          <w:color w:val="000000" w:themeColor="text1"/>
          <w:lang w:val="sq-AL"/>
        </w:rPr>
        <w:t>T TË DHUNSHËM DHE TERRORIZMIT</w:t>
      </w:r>
    </w:p>
    <w:p w14:paraId="5FEEF440" w14:textId="73309840"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specifik 9.1: Ngritja </w:t>
      </w:r>
      <w:r w:rsidR="00FE2E55" w:rsidRPr="00795698">
        <w:rPr>
          <w:rFonts w:ascii="Garamond" w:hAnsi="Garamond"/>
          <w:color w:val="000000" w:themeColor="text1"/>
          <w:lang w:val="sq-AL"/>
        </w:rPr>
        <w:t>e kapaciteteve për menaxhimin e</w:t>
      </w:r>
      <w:r w:rsidRPr="00795698">
        <w:rPr>
          <w:rFonts w:ascii="Garamond" w:hAnsi="Garamond"/>
          <w:color w:val="000000" w:themeColor="text1"/>
          <w:lang w:val="sq-AL"/>
        </w:rPr>
        <w:t xml:space="preserve"> dhënies së ndihmës viktimave të</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terrori</w:t>
      </w:r>
      <w:r w:rsidR="00FE2E55" w:rsidRPr="00795698">
        <w:rPr>
          <w:rFonts w:ascii="Garamond" w:hAnsi="Garamond"/>
          <w:color w:val="000000" w:themeColor="text1"/>
          <w:lang w:val="sq-AL"/>
        </w:rPr>
        <w:t>zmit sipas konventës evropiane</w:t>
      </w:r>
      <w:r w:rsidRPr="00795698">
        <w:rPr>
          <w:rFonts w:ascii="Garamond" w:hAnsi="Garamond"/>
          <w:color w:val="000000" w:themeColor="text1"/>
          <w:lang w:val="sq-AL"/>
        </w:rPr>
        <w:t xml:space="preserve"> për kompensim</w:t>
      </w:r>
      <w:r w:rsidR="00FE2E55" w:rsidRPr="00795698">
        <w:rPr>
          <w:rFonts w:ascii="Garamond" w:hAnsi="Garamond"/>
          <w:color w:val="000000" w:themeColor="text1"/>
          <w:lang w:val="sq-AL"/>
        </w:rPr>
        <w:t>in e viktimave të terrorizmit</w:t>
      </w:r>
    </w:p>
    <w:p w14:paraId="5FEEF441" w14:textId="1069716B"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w:t>
      </w:r>
      <w:r w:rsidR="007D3437" w:rsidRPr="00795698">
        <w:rPr>
          <w:rFonts w:ascii="Garamond" w:hAnsi="Garamond"/>
          <w:color w:val="000000" w:themeColor="text1"/>
          <w:lang w:val="sq-AL"/>
        </w:rPr>
        <w:t>s</w:t>
      </w:r>
      <w:r w:rsidRPr="00795698">
        <w:rPr>
          <w:rFonts w:ascii="Garamond" w:hAnsi="Garamond"/>
          <w:color w:val="000000" w:themeColor="text1"/>
          <w:lang w:val="sq-AL"/>
        </w:rPr>
        <w:t xml:space="preserve">pecifik 9.2: Përmirësim i </w:t>
      </w:r>
      <w:r w:rsidR="007D3437" w:rsidRPr="00795698">
        <w:rPr>
          <w:rFonts w:ascii="Garamond" w:hAnsi="Garamond"/>
          <w:color w:val="000000" w:themeColor="text1"/>
          <w:lang w:val="sq-AL"/>
        </w:rPr>
        <w:t>infrastrukturës</w:t>
      </w:r>
      <w:r w:rsidRPr="00795698">
        <w:rPr>
          <w:rFonts w:ascii="Garamond" w:hAnsi="Garamond"/>
          <w:color w:val="000000" w:themeColor="text1"/>
          <w:lang w:val="sq-AL"/>
        </w:rPr>
        <w:t xml:space="preserve"> dhe ngritja e kapaciteteve të institucioneve publike rehabilitimin dhe riintegrimin për personat e radikalizuar ose të kt</w:t>
      </w:r>
      <w:r w:rsidR="00FE2E55" w:rsidRPr="00795698">
        <w:rPr>
          <w:rFonts w:ascii="Garamond" w:hAnsi="Garamond"/>
          <w:color w:val="000000" w:themeColor="text1"/>
          <w:lang w:val="sq-AL"/>
        </w:rPr>
        <w:t>hyerit nga zonat e konfliktit</w:t>
      </w:r>
    </w:p>
    <w:p w14:paraId="5FEEF442" w14:textId="22096350"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w:t>
      </w:r>
      <w:r w:rsidR="007D3437" w:rsidRPr="00795698">
        <w:rPr>
          <w:rFonts w:ascii="Garamond" w:hAnsi="Garamond"/>
          <w:color w:val="000000" w:themeColor="text1"/>
          <w:lang w:val="sq-AL"/>
        </w:rPr>
        <w:t>s</w:t>
      </w:r>
      <w:r w:rsidRPr="00795698">
        <w:rPr>
          <w:rFonts w:ascii="Garamond" w:hAnsi="Garamond"/>
          <w:color w:val="000000" w:themeColor="text1"/>
          <w:lang w:val="sq-AL"/>
        </w:rPr>
        <w:t>pecifik 9.3: Fuqizimi ekonomik i personave të radikalizuar dhe familjeve t</w:t>
      </w:r>
      <w:r w:rsidR="007265E9" w:rsidRPr="00795698">
        <w:rPr>
          <w:rFonts w:ascii="Garamond" w:hAnsi="Garamond"/>
          <w:color w:val="000000" w:themeColor="text1"/>
          <w:lang w:val="sq-AL"/>
        </w:rPr>
        <w:t>ë</w:t>
      </w:r>
      <w:r w:rsidRPr="00795698">
        <w:rPr>
          <w:rFonts w:ascii="Garamond" w:hAnsi="Garamond"/>
          <w:color w:val="000000" w:themeColor="text1"/>
          <w:lang w:val="sq-AL"/>
        </w:rPr>
        <w:t xml:space="preserve"> kthyera nga vendet e luftës përmes integrimit dhe harmonizimit të ndërhyrjeve</w:t>
      </w:r>
      <w:r w:rsidR="00FE2E55" w:rsidRPr="00795698">
        <w:rPr>
          <w:rFonts w:ascii="Garamond" w:hAnsi="Garamond"/>
          <w:color w:val="000000" w:themeColor="text1"/>
          <w:lang w:val="sq-AL"/>
        </w:rPr>
        <w:t xml:space="preserve"> për kualifikime dhe punësim</w:t>
      </w:r>
    </w:p>
    <w:p w14:paraId="5FEEF443" w14:textId="02CF4CEA"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 xml:space="preserve">Objektivi </w:t>
      </w:r>
      <w:r w:rsidR="007D3437" w:rsidRPr="00795698">
        <w:rPr>
          <w:rFonts w:ascii="Garamond" w:hAnsi="Garamond"/>
          <w:color w:val="000000" w:themeColor="text1"/>
          <w:lang w:val="sq-AL"/>
        </w:rPr>
        <w:t>s</w:t>
      </w:r>
      <w:r w:rsidRPr="00795698">
        <w:rPr>
          <w:rFonts w:ascii="Garamond" w:hAnsi="Garamond"/>
          <w:color w:val="000000" w:themeColor="text1"/>
          <w:lang w:val="sq-AL"/>
        </w:rPr>
        <w:t>pecifik 9.4: Rritja e aksesit të personave të riintegruar</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dhe të kthyer nga vendet e luftës në</w:t>
      </w:r>
      <w:r w:rsidR="00FE2E55" w:rsidRPr="00795698">
        <w:rPr>
          <w:rFonts w:ascii="Garamond" w:hAnsi="Garamond"/>
          <w:color w:val="000000" w:themeColor="text1"/>
          <w:lang w:val="sq-AL"/>
        </w:rPr>
        <w:t xml:space="preserve"> programet e strehimit social</w:t>
      </w:r>
      <w:r w:rsidR="00FE2E55" w:rsidRPr="00795698">
        <w:rPr>
          <w:rFonts w:ascii="Garamond" w:hAnsi="Garamond"/>
          <w:color w:val="000000" w:themeColor="text1"/>
          <w:lang w:val="sq-AL"/>
        </w:rPr>
        <w:tab/>
      </w:r>
    </w:p>
    <w:p w14:paraId="5FEEF444"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10: PËRGATITJA PËR MENAXHIMIN E INCIDENTEVE TERRORISTE QË PËRFSHIJNË PËRDORIMIN E MATERIALEVE KIMIKE, BIOLOGJIKE, RADIOLOGJIKE, BËRT</w:t>
      </w:r>
      <w:r w:rsidR="00FE2E55" w:rsidRPr="00795698">
        <w:rPr>
          <w:rFonts w:ascii="Garamond" w:hAnsi="Garamond"/>
          <w:color w:val="000000" w:themeColor="text1"/>
          <w:lang w:val="sq-AL"/>
        </w:rPr>
        <w:t>HAMORE DHE EKSPLOZIVE (CBRNE)</w:t>
      </w:r>
    </w:p>
    <w:p w14:paraId="5FEEF445"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10.1: Reagimi i shpejtë sipas protokolleve ndërkombëtare ndaj incidenteve terroriste që përfshijnë përdorimin e materialeve kimike, biologjike, radiologjike, bërt</w:t>
      </w:r>
      <w:r w:rsidR="00FE2E55" w:rsidRPr="00795698">
        <w:rPr>
          <w:rFonts w:ascii="Garamond" w:hAnsi="Garamond"/>
          <w:color w:val="000000" w:themeColor="text1"/>
          <w:lang w:val="sq-AL"/>
        </w:rPr>
        <w:t>hamore dhe eksplozive (CBRNE)</w:t>
      </w:r>
    </w:p>
    <w:p w14:paraId="5FEEF446" w14:textId="1CD5F3C5"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lastRenderedPageBreak/>
        <w:t>QASJA 4</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MBROJTJA</w:t>
      </w:r>
    </w:p>
    <w:p w14:paraId="5FEEF447"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11: RRITJA E NIVELIT TË SIGURISË NË FUSHËN E TRANSPORTIT, TREGTISË, SHKËMBIMIT TË MA</w:t>
      </w:r>
      <w:r w:rsidR="00FE2E55" w:rsidRPr="00795698">
        <w:rPr>
          <w:rFonts w:ascii="Garamond" w:hAnsi="Garamond"/>
          <w:color w:val="000000" w:themeColor="text1"/>
          <w:lang w:val="sq-AL"/>
        </w:rPr>
        <w:t>LLRAVE DHE SHËRBIMEVE</w:t>
      </w:r>
    </w:p>
    <w:p w14:paraId="5FEEF448" w14:textId="05033726"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11.1: Reduktimi i</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rreziqeve që rrjedhin nga transferimet e ndaluara të mjeteve dhe materialeve që mund të përdoren për të kry</w:t>
      </w:r>
      <w:r w:rsidR="00FE2E55" w:rsidRPr="00795698">
        <w:rPr>
          <w:rFonts w:ascii="Garamond" w:hAnsi="Garamond"/>
          <w:color w:val="000000" w:themeColor="text1"/>
          <w:lang w:val="sq-AL"/>
        </w:rPr>
        <w:t>er një sulm apo akt terrorist</w:t>
      </w:r>
    </w:p>
    <w:p w14:paraId="5FEEF449"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11.2: Rritja e aftësive për të zbuluar aktivitetin terrorist duke përfshirë kontrollin dhe mbrojtjen e materialeve kimike, biologjike, radiologjike, bë</w:t>
      </w:r>
      <w:r w:rsidR="00FE2E55" w:rsidRPr="00795698">
        <w:rPr>
          <w:rFonts w:ascii="Garamond" w:hAnsi="Garamond"/>
          <w:color w:val="000000" w:themeColor="text1"/>
          <w:lang w:val="sq-AL"/>
        </w:rPr>
        <w:t xml:space="preserve">rthamore dhe eksplozive (CBRNE) </w:t>
      </w:r>
      <w:r w:rsidRPr="00795698">
        <w:rPr>
          <w:rFonts w:ascii="Garamond" w:hAnsi="Garamond"/>
          <w:color w:val="000000" w:themeColor="text1"/>
          <w:lang w:val="sq-AL"/>
        </w:rPr>
        <w:t>QËLLIMI I POLITIKËS 12: RRITJA E NIVELIT TË RUAJTJES DHE MBROJTJES S</w:t>
      </w:r>
      <w:r w:rsidR="00FE2E55" w:rsidRPr="00795698">
        <w:rPr>
          <w:rFonts w:ascii="Garamond" w:hAnsi="Garamond"/>
          <w:color w:val="000000" w:themeColor="text1"/>
          <w:lang w:val="sq-AL"/>
        </w:rPr>
        <w:t>Ë INFRASTRUKTURËS KRITIKE</w:t>
      </w:r>
    </w:p>
    <w:p w14:paraId="5FEEF44A"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12.1: Hartimi i planeve të bashkëpunimit midis strukturave ligjzbatuese dhe institucioneve përgjegjëse që kanë në administrim infrastrukturën kritike të vendit për parandalimin e akteve të mundshme terroriste</w:t>
      </w:r>
    </w:p>
    <w:p w14:paraId="5FEEF44B" w14:textId="620C89BA"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QËLLIMI I POLITIKËS 13: MBROJTJA NGA KËRCËNIMET TERRO</w:t>
      </w:r>
      <w:r w:rsidR="002F35AA" w:rsidRPr="00795698">
        <w:rPr>
          <w:rFonts w:ascii="Garamond" w:hAnsi="Garamond"/>
          <w:color w:val="000000" w:themeColor="text1"/>
          <w:lang w:val="sq-AL"/>
        </w:rPr>
        <w:t xml:space="preserve">RISTE QË </w:t>
      </w:r>
      <w:r w:rsidR="0041767D" w:rsidRPr="00795698">
        <w:rPr>
          <w:rFonts w:ascii="Garamond" w:hAnsi="Garamond"/>
          <w:color w:val="000000" w:themeColor="text1"/>
          <w:lang w:val="sq-AL"/>
        </w:rPr>
        <w:t>CENOJNË</w:t>
      </w:r>
      <w:r w:rsidR="002F35AA" w:rsidRPr="00795698">
        <w:rPr>
          <w:rFonts w:ascii="Garamond" w:hAnsi="Garamond"/>
          <w:color w:val="000000" w:themeColor="text1"/>
          <w:lang w:val="sq-AL"/>
        </w:rPr>
        <w:t xml:space="preserve"> VENDDISLOKIMET</w:t>
      </w:r>
      <w:r w:rsidRPr="00795698">
        <w:rPr>
          <w:rFonts w:ascii="Garamond" w:hAnsi="Garamond"/>
          <w:color w:val="000000" w:themeColor="text1"/>
          <w:lang w:val="sq-AL"/>
        </w:rPr>
        <w:t>/INFRASTRUKTURËN, PAJISJET KRITIKE DHE SIST</w:t>
      </w:r>
      <w:r w:rsidR="00FE2E55" w:rsidRPr="00795698">
        <w:rPr>
          <w:rFonts w:ascii="Garamond" w:hAnsi="Garamond"/>
          <w:color w:val="000000" w:themeColor="text1"/>
          <w:lang w:val="sq-AL"/>
        </w:rPr>
        <w:t>EMET E MBROJTJES DHE FARSH-</w:t>
      </w:r>
      <w:r w:rsidR="0041767D" w:rsidRPr="00795698">
        <w:rPr>
          <w:rFonts w:ascii="Garamond" w:hAnsi="Garamond"/>
          <w:color w:val="000000" w:themeColor="text1"/>
          <w:lang w:val="sq-AL"/>
        </w:rPr>
        <w:t>së</w:t>
      </w:r>
    </w:p>
    <w:p w14:paraId="5FEEF44C"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Objektivi specifik 13.1: Identifikimi i nevojave dhe standardeve të mbrojtjes nga kërcënime</w:t>
      </w:r>
      <w:r w:rsidR="00FE2E55" w:rsidRPr="00795698">
        <w:rPr>
          <w:rFonts w:ascii="Garamond" w:hAnsi="Garamond"/>
          <w:color w:val="000000" w:themeColor="text1"/>
          <w:lang w:val="sq-AL"/>
        </w:rPr>
        <w:t>t terroriste</w:t>
      </w:r>
    </w:p>
    <w:p w14:paraId="5FEEF44D" w14:textId="77777777" w:rsidR="002F5804" w:rsidRPr="00795698" w:rsidRDefault="002F5804" w:rsidP="00BA71A1">
      <w:pPr>
        <w:pStyle w:val="TEKSTIIIII"/>
        <w:rPr>
          <w:lang w:val="sq-AL"/>
        </w:rPr>
      </w:pPr>
      <w:r w:rsidRPr="00795698">
        <w:rPr>
          <w:lang w:val="sq-AL"/>
        </w:rPr>
        <w:t xml:space="preserve">Objektivi specifik 13.2: Konsolidimi i kapaciteteve informative </w:t>
      </w:r>
      <w:r w:rsidR="00FE2E55" w:rsidRPr="00795698">
        <w:rPr>
          <w:lang w:val="sq-AL"/>
        </w:rPr>
        <w:t>dhe profesionale-operacionale</w:t>
      </w:r>
    </w:p>
    <w:p w14:paraId="5FEEF44E" w14:textId="6D2B7C08" w:rsidR="002F5804" w:rsidRPr="00795698" w:rsidRDefault="00FE2E55"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PJESA III</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MASAT PRIORITARE</w:t>
      </w:r>
    </w:p>
    <w:p w14:paraId="5FEEF44F" w14:textId="5FBE2F74"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PJESA IV</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ZBATIMI, PËRGJEGJËSIA E INSTITUCIONEVE, LLOGARIDHË</w:t>
      </w:r>
      <w:r w:rsidR="00FE2E55" w:rsidRPr="00795698">
        <w:rPr>
          <w:rFonts w:ascii="Garamond" w:hAnsi="Garamond"/>
          <w:color w:val="000000" w:themeColor="text1"/>
          <w:lang w:val="sq-AL"/>
        </w:rPr>
        <w:t>NIA, RAPORTIMI DHE MONITORIMI</w:t>
      </w:r>
    </w:p>
    <w:p w14:paraId="5FEEF450" w14:textId="77777777"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4.1 Implementimi/zb</w:t>
      </w:r>
      <w:r w:rsidR="00FE2E55" w:rsidRPr="00795698">
        <w:rPr>
          <w:rFonts w:ascii="Garamond" w:hAnsi="Garamond"/>
          <w:color w:val="000000" w:themeColor="text1"/>
          <w:lang w:val="sq-AL"/>
        </w:rPr>
        <w:t>atimi i strategjisë</w:t>
      </w:r>
      <w:r w:rsidR="002F35AA" w:rsidRPr="00795698">
        <w:rPr>
          <w:rFonts w:ascii="Garamond" w:hAnsi="Garamond"/>
          <w:color w:val="000000" w:themeColor="text1"/>
          <w:lang w:val="sq-AL"/>
        </w:rPr>
        <w:t xml:space="preserve"> </w:t>
      </w:r>
    </w:p>
    <w:p w14:paraId="5FEEF451" w14:textId="0538AC92"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4.2</w:t>
      </w:r>
      <w:r w:rsidR="007C064A" w:rsidRPr="00795698">
        <w:rPr>
          <w:rFonts w:ascii="Garamond" w:hAnsi="Garamond"/>
          <w:color w:val="000000" w:themeColor="text1"/>
          <w:lang w:val="sq-AL"/>
        </w:rPr>
        <w:t xml:space="preserve"> </w:t>
      </w:r>
      <w:r w:rsidRPr="00795698">
        <w:rPr>
          <w:rFonts w:ascii="Garamond" w:hAnsi="Garamond"/>
          <w:color w:val="000000" w:themeColor="text1"/>
          <w:lang w:val="sq-AL"/>
        </w:rPr>
        <w:t xml:space="preserve">Përgjegjësia </w:t>
      </w:r>
      <w:r w:rsidR="002F35AA" w:rsidRPr="00795698">
        <w:rPr>
          <w:rFonts w:ascii="Garamond" w:hAnsi="Garamond"/>
          <w:color w:val="000000" w:themeColor="text1"/>
          <w:lang w:val="sq-AL"/>
        </w:rPr>
        <w:t>dhe angazhimet institucionale</w:t>
      </w:r>
    </w:p>
    <w:p w14:paraId="5FEEF452" w14:textId="10E23E86"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4.</w:t>
      </w:r>
      <w:r w:rsidR="00FE2E55" w:rsidRPr="00795698">
        <w:rPr>
          <w:rFonts w:ascii="Garamond" w:hAnsi="Garamond"/>
          <w:color w:val="000000" w:themeColor="text1"/>
          <w:lang w:val="sq-AL"/>
        </w:rPr>
        <w:t xml:space="preserve">3 Llogaridhënia dhe </w:t>
      </w:r>
      <w:r w:rsidR="0041767D" w:rsidRPr="00795698">
        <w:rPr>
          <w:rFonts w:ascii="Garamond" w:hAnsi="Garamond"/>
          <w:color w:val="000000" w:themeColor="text1"/>
          <w:lang w:val="sq-AL"/>
        </w:rPr>
        <w:t>r</w:t>
      </w:r>
      <w:r w:rsidR="00FE2E55" w:rsidRPr="00795698">
        <w:rPr>
          <w:rFonts w:ascii="Garamond" w:hAnsi="Garamond"/>
          <w:color w:val="000000" w:themeColor="text1"/>
          <w:lang w:val="sq-AL"/>
        </w:rPr>
        <w:t>aportimi</w:t>
      </w:r>
    </w:p>
    <w:p w14:paraId="5FEEF453" w14:textId="76548978" w:rsidR="002F5804" w:rsidRPr="00795698" w:rsidRDefault="002F5804" w:rsidP="00FE2E55">
      <w:pPr>
        <w:pStyle w:val="NoSpacing"/>
        <w:ind w:firstLine="284"/>
        <w:jc w:val="both"/>
        <w:rPr>
          <w:rFonts w:ascii="Garamond" w:hAnsi="Garamond"/>
          <w:color w:val="000000" w:themeColor="text1"/>
          <w:lang w:val="sq-AL"/>
        </w:rPr>
      </w:pPr>
      <w:r w:rsidRPr="00795698">
        <w:rPr>
          <w:rFonts w:ascii="Garamond" w:hAnsi="Garamond"/>
          <w:color w:val="000000" w:themeColor="text1"/>
          <w:lang w:val="sq-AL"/>
        </w:rPr>
        <w:t>PJESA V</w:t>
      </w:r>
      <w:r w:rsidR="00985056" w:rsidRPr="00795698">
        <w:rPr>
          <w:rFonts w:ascii="Garamond" w:hAnsi="Garamond"/>
          <w:color w:val="000000" w:themeColor="text1"/>
          <w:lang w:val="sq-AL"/>
        </w:rPr>
        <w:t>.</w:t>
      </w:r>
      <w:r w:rsidRPr="00795698">
        <w:rPr>
          <w:rFonts w:ascii="Garamond" w:hAnsi="Garamond"/>
          <w:color w:val="000000" w:themeColor="text1"/>
          <w:lang w:val="sq-AL"/>
        </w:rPr>
        <w:t xml:space="preserve"> PLANET E VEPRIMIT DHE B</w:t>
      </w:r>
      <w:r w:rsidR="00985056" w:rsidRPr="00795698">
        <w:rPr>
          <w:rFonts w:ascii="Garamond" w:hAnsi="Garamond"/>
          <w:color w:val="000000" w:themeColor="text1"/>
          <w:lang w:val="sq-AL"/>
        </w:rPr>
        <w:t>URIMET FINANCIARE PË</w:t>
      </w:r>
      <w:r w:rsidR="00FE2E55" w:rsidRPr="00795698">
        <w:rPr>
          <w:rFonts w:ascii="Garamond" w:hAnsi="Garamond"/>
          <w:color w:val="000000" w:themeColor="text1"/>
          <w:lang w:val="sq-AL"/>
        </w:rPr>
        <w:t>R ZBATIM</w:t>
      </w:r>
    </w:p>
    <w:p w14:paraId="5FEEF454" w14:textId="77777777" w:rsidR="00FE2E55" w:rsidRPr="00795698" w:rsidRDefault="00FE2E55" w:rsidP="00FE2E55">
      <w:pPr>
        <w:pStyle w:val="NoSpacing"/>
        <w:ind w:firstLine="284"/>
        <w:jc w:val="both"/>
        <w:rPr>
          <w:rFonts w:ascii="Garamond" w:hAnsi="Garamond"/>
          <w:color w:val="000000" w:themeColor="text1"/>
          <w:lang w:val="sq-AL"/>
        </w:rPr>
      </w:pPr>
    </w:p>
    <w:p w14:paraId="5FEEF456" w14:textId="160C8262" w:rsidR="00BA71A1" w:rsidRPr="00795698" w:rsidRDefault="00BA71A1" w:rsidP="00BA71A1">
      <w:pPr>
        <w:pStyle w:val="TEKSTIIIII"/>
        <w:rPr>
          <w:lang w:val="sq-AL"/>
        </w:rPr>
      </w:pPr>
      <w:bookmarkStart w:id="1" w:name="_Toc108644248"/>
      <w:bookmarkStart w:id="2" w:name="_Toc465185411"/>
      <w:r w:rsidRPr="00795698">
        <w:rPr>
          <w:lang w:val="sq-AL"/>
        </w:rPr>
        <w:t>LISTA E SHKURTIMEVE</w:t>
      </w:r>
      <w:bookmarkEnd w:id="1"/>
      <w:r w:rsidRPr="00795698">
        <w:rPr>
          <w:lang w:val="sq-AL"/>
        </w:rPr>
        <w:t xml:space="preserve"> </w:t>
      </w:r>
      <w:bookmarkEnd w:id="2"/>
    </w:p>
    <w:p w14:paraId="5FEEF457" w14:textId="59BE154B" w:rsidR="00BA71A1" w:rsidRPr="00795698" w:rsidRDefault="009A15B3" w:rsidP="00BA71A1">
      <w:pPr>
        <w:pStyle w:val="TEKSTIIIII"/>
        <w:rPr>
          <w:lang w:val="sq-AL"/>
        </w:rPr>
      </w:pPr>
      <w:r w:rsidRPr="00795698">
        <w:rPr>
          <w:lang w:val="sq-AL"/>
        </w:rPr>
        <w:t>AAC</w:t>
      </w:r>
      <w:r w:rsidRPr="00795698">
        <w:rPr>
          <w:lang w:val="sq-AL"/>
        </w:rPr>
        <w:tab/>
      </w:r>
      <w:r w:rsidR="00BA71A1" w:rsidRPr="00795698">
        <w:rPr>
          <w:lang w:val="sq-AL"/>
        </w:rPr>
        <w:t>Autoriteti i Aviacionit Civil</w:t>
      </w:r>
    </w:p>
    <w:p w14:paraId="5FEEF458" w14:textId="7FA8F6C0" w:rsidR="00BA71A1" w:rsidRPr="00795698" w:rsidRDefault="009A15B3" w:rsidP="00BA71A1">
      <w:pPr>
        <w:pStyle w:val="TEKSTIIIII"/>
        <w:rPr>
          <w:lang w:val="sq-AL"/>
        </w:rPr>
      </w:pPr>
      <w:r w:rsidRPr="00795698">
        <w:rPr>
          <w:lang w:val="sq-AL"/>
        </w:rPr>
        <w:t>AAPSK</w:t>
      </w:r>
      <w:r w:rsidRPr="00795698">
        <w:rPr>
          <w:lang w:val="sq-AL"/>
        </w:rPr>
        <w:tab/>
      </w:r>
      <w:r w:rsidR="00BA71A1" w:rsidRPr="00795698">
        <w:rPr>
          <w:lang w:val="sq-AL"/>
        </w:rPr>
        <w:t>Agjencia e Administrimit të Aseteve të Sekuestruara dhe Konfiskuara</w:t>
      </w:r>
    </w:p>
    <w:p w14:paraId="5FEEF459" w14:textId="31B4C470" w:rsidR="00BA71A1" w:rsidRPr="00795698" w:rsidRDefault="009A15B3" w:rsidP="00BA71A1">
      <w:pPr>
        <w:pStyle w:val="TEKSTIIIII"/>
        <w:rPr>
          <w:lang w:val="sq-AL"/>
        </w:rPr>
      </w:pPr>
      <w:r w:rsidRPr="00795698">
        <w:rPr>
          <w:lang w:val="sq-AL"/>
        </w:rPr>
        <w:t>ADM</w:t>
      </w:r>
      <w:r w:rsidRPr="00795698">
        <w:rPr>
          <w:lang w:val="sq-AL"/>
        </w:rPr>
        <w:tab/>
      </w:r>
      <w:r w:rsidR="00BA71A1" w:rsidRPr="00795698">
        <w:rPr>
          <w:lang w:val="sq-AL"/>
        </w:rPr>
        <w:t>Armë të Dëmtimit në Masë</w:t>
      </w:r>
    </w:p>
    <w:p w14:paraId="5FEEF45A" w14:textId="113CBA1C" w:rsidR="00BA71A1" w:rsidRPr="00795698" w:rsidRDefault="009A15B3" w:rsidP="00BA71A1">
      <w:pPr>
        <w:pStyle w:val="TEKSTIIIII"/>
        <w:rPr>
          <w:lang w:val="sq-AL"/>
        </w:rPr>
      </w:pPr>
      <w:r w:rsidRPr="00795698">
        <w:rPr>
          <w:lang w:val="sq-AL"/>
        </w:rPr>
        <w:t>AISM</w:t>
      </w:r>
      <w:r w:rsidRPr="00795698">
        <w:rPr>
          <w:lang w:val="sq-AL"/>
        </w:rPr>
        <w:tab/>
      </w:r>
      <w:r w:rsidR="00BA71A1" w:rsidRPr="00795698">
        <w:rPr>
          <w:lang w:val="sq-AL"/>
        </w:rPr>
        <w:t>Agjencia e Inteligjencës</w:t>
      </w:r>
      <w:r w:rsidR="007C064A" w:rsidRPr="00795698">
        <w:rPr>
          <w:lang w:val="sq-AL"/>
        </w:rPr>
        <w:t xml:space="preserve"> </w:t>
      </w:r>
      <w:r w:rsidR="00BA71A1" w:rsidRPr="00795698">
        <w:rPr>
          <w:lang w:val="sq-AL"/>
        </w:rPr>
        <w:t>dhe Sigurisë së Mbrojtjes</w:t>
      </w:r>
    </w:p>
    <w:p w14:paraId="5FEEF45B" w14:textId="14F97BFB" w:rsidR="00BA71A1" w:rsidRPr="00795698" w:rsidRDefault="009A15B3" w:rsidP="00BA71A1">
      <w:pPr>
        <w:pStyle w:val="TEKSTIIIII"/>
        <w:rPr>
          <w:lang w:val="sq-AL"/>
        </w:rPr>
      </w:pPr>
      <w:r w:rsidRPr="00795698">
        <w:rPr>
          <w:lang w:val="sq-AL"/>
        </w:rPr>
        <w:t>AKSHE</w:t>
      </w:r>
      <w:r w:rsidRPr="00795698">
        <w:rPr>
          <w:lang w:val="sq-AL"/>
        </w:rPr>
        <w:tab/>
      </w:r>
      <w:r w:rsidR="00BA71A1" w:rsidRPr="00795698">
        <w:rPr>
          <w:lang w:val="sq-AL"/>
        </w:rPr>
        <w:t xml:space="preserve">Autoriteti i Kontrollit Shtetëror të Eksporteve </w:t>
      </w:r>
    </w:p>
    <w:p w14:paraId="5FEEF45C" w14:textId="2D9FC4A1" w:rsidR="00BA71A1" w:rsidRPr="00795698" w:rsidRDefault="00BA71A1" w:rsidP="00BA71A1">
      <w:pPr>
        <w:pStyle w:val="TEKSTIIIII"/>
        <w:rPr>
          <w:lang w:val="sq-AL"/>
        </w:rPr>
      </w:pPr>
      <w:r w:rsidRPr="00795698">
        <w:rPr>
          <w:lang w:val="sq-AL"/>
        </w:rPr>
        <w:t>AKEP</w:t>
      </w:r>
      <w:r w:rsidR="007C064A" w:rsidRPr="00795698">
        <w:rPr>
          <w:lang w:val="sq-AL"/>
        </w:rPr>
        <w:t xml:space="preserve">   </w:t>
      </w:r>
      <w:r w:rsidRPr="00795698">
        <w:rPr>
          <w:lang w:val="sq-AL"/>
        </w:rPr>
        <w:t xml:space="preserve"> </w:t>
      </w:r>
      <w:r w:rsidRPr="00795698">
        <w:rPr>
          <w:lang w:val="sq-AL"/>
        </w:rPr>
        <w:tab/>
        <w:t>Autoriteti i Komunikimeve Elektronike dhe Postare</w:t>
      </w:r>
      <w:r w:rsidR="007C064A" w:rsidRPr="00795698">
        <w:rPr>
          <w:lang w:val="sq-AL"/>
        </w:rPr>
        <w:t xml:space="preserve"> </w:t>
      </w:r>
    </w:p>
    <w:p w14:paraId="5FEEF45D" w14:textId="7DAB9866" w:rsidR="00BA71A1" w:rsidRPr="00795698" w:rsidRDefault="00BA71A1" w:rsidP="00BA71A1">
      <w:pPr>
        <w:pStyle w:val="TEKSTIIIII"/>
        <w:rPr>
          <w:lang w:val="sq-AL"/>
        </w:rPr>
      </w:pPr>
      <w:r w:rsidRPr="00795698">
        <w:rPr>
          <w:lang w:val="sq-AL"/>
        </w:rPr>
        <w:t>AKMC</w:t>
      </w:r>
      <w:r w:rsidR="007C064A" w:rsidRPr="00795698">
        <w:rPr>
          <w:lang w:val="sq-AL"/>
        </w:rPr>
        <w:t xml:space="preserve">   </w:t>
      </w:r>
      <w:r w:rsidRPr="00795698">
        <w:rPr>
          <w:lang w:val="sq-AL"/>
        </w:rPr>
        <w:tab/>
        <w:t>Agjencia Kombëtare e Mbrojtjes Civile</w:t>
      </w:r>
    </w:p>
    <w:p w14:paraId="5FEEF45E" w14:textId="6392EA52" w:rsidR="00BA71A1" w:rsidRPr="00795698" w:rsidRDefault="009A15B3" w:rsidP="00BA71A1">
      <w:pPr>
        <w:pStyle w:val="TEKSTIIIII"/>
        <w:rPr>
          <w:lang w:val="sq-AL"/>
        </w:rPr>
      </w:pPr>
      <w:r w:rsidRPr="00795698">
        <w:rPr>
          <w:lang w:val="sq-AL"/>
        </w:rPr>
        <w:t>BSH</w:t>
      </w:r>
      <w:r w:rsidRPr="00795698">
        <w:rPr>
          <w:lang w:val="sq-AL"/>
        </w:rPr>
        <w:tab/>
      </w:r>
      <w:r w:rsidR="00BA71A1" w:rsidRPr="00795698">
        <w:rPr>
          <w:lang w:val="sq-AL"/>
        </w:rPr>
        <w:t>Banka e Shqipërisë</w:t>
      </w:r>
    </w:p>
    <w:p w14:paraId="5FEEF45F" w14:textId="2C026505" w:rsidR="00BA71A1" w:rsidRPr="00795698" w:rsidRDefault="00BA71A1" w:rsidP="00BA71A1">
      <w:pPr>
        <w:pStyle w:val="TEKSTIIIII"/>
        <w:rPr>
          <w:lang w:val="sq-AL"/>
        </w:rPr>
      </w:pPr>
      <w:r w:rsidRPr="00795698">
        <w:rPr>
          <w:lang w:val="sq-AL"/>
        </w:rPr>
        <w:t>CBRN</w:t>
      </w:r>
      <w:r w:rsidR="007C064A" w:rsidRPr="00795698">
        <w:rPr>
          <w:lang w:val="sq-AL"/>
        </w:rPr>
        <w:t xml:space="preserve">   </w:t>
      </w:r>
      <w:r w:rsidRPr="00795698">
        <w:rPr>
          <w:lang w:val="sq-AL"/>
        </w:rPr>
        <w:t xml:space="preserve"> </w:t>
      </w:r>
      <w:r w:rsidRPr="00795698">
        <w:rPr>
          <w:lang w:val="sq-AL"/>
        </w:rPr>
        <w:tab/>
        <w:t>Armë të Shkatërrimit në Masë</w:t>
      </w:r>
    </w:p>
    <w:p w14:paraId="5FEEF460" w14:textId="130AA281" w:rsidR="00BA71A1" w:rsidRPr="00795698" w:rsidRDefault="00BA71A1" w:rsidP="00BA71A1">
      <w:pPr>
        <w:pStyle w:val="TEKSTIIIII"/>
        <w:rPr>
          <w:lang w:val="sq-AL"/>
        </w:rPr>
      </w:pPr>
      <w:r w:rsidRPr="00795698">
        <w:rPr>
          <w:lang w:val="sq-AL"/>
        </w:rPr>
        <w:t>QKEDH</w:t>
      </w:r>
      <w:r w:rsidR="007C064A" w:rsidRPr="00795698">
        <w:rPr>
          <w:lang w:val="sq-AL"/>
        </w:rPr>
        <w:t xml:space="preserve">   </w:t>
      </w:r>
      <w:r w:rsidRPr="00795698">
        <w:rPr>
          <w:lang w:val="sq-AL"/>
        </w:rPr>
        <w:tab/>
        <w:t xml:space="preserve">Qendra për Koordinimin </w:t>
      </w:r>
      <w:r w:rsidR="0041767D" w:rsidRPr="00795698">
        <w:rPr>
          <w:lang w:val="sq-AL"/>
        </w:rPr>
        <w:t>kundër</w:t>
      </w:r>
      <w:r w:rsidRPr="00795698">
        <w:rPr>
          <w:lang w:val="sq-AL"/>
        </w:rPr>
        <w:t xml:space="preserve"> Ekstremizmit të Dhunshëm</w:t>
      </w:r>
    </w:p>
    <w:p w14:paraId="5FEEF461" w14:textId="6B325089" w:rsidR="00BA71A1" w:rsidRPr="00795698" w:rsidRDefault="009A15B3" w:rsidP="00BA71A1">
      <w:pPr>
        <w:pStyle w:val="TEKSTIIIII"/>
        <w:rPr>
          <w:lang w:val="sq-AL"/>
        </w:rPr>
      </w:pPr>
      <w:r w:rsidRPr="00795698">
        <w:rPr>
          <w:lang w:val="sq-AL"/>
        </w:rPr>
        <w:t>DPB</w:t>
      </w:r>
      <w:r w:rsidRPr="00795698">
        <w:rPr>
          <w:lang w:val="sq-AL"/>
        </w:rPr>
        <w:tab/>
        <w:t xml:space="preserve"> </w:t>
      </w:r>
      <w:r w:rsidR="00BA71A1" w:rsidRPr="00795698">
        <w:rPr>
          <w:lang w:val="sq-AL"/>
        </w:rPr>
        <w:t>Drejtoria e Përgjithshme e Burgjeve</w:t>
      </w:r>
    </w:p>
    <w:p w14:paraId="5FEEF462" w14:textId="6D37DD04" w:rsidR="00BA71A1" w:rsidRPr="00795698" w:rsidRDefault="009A15B3" w:rsidP="00BA71A1">
      <w:pPr>
        <w:pStyle w:val="TEKSTIIIII"/>
        <w:rPr>
          <w:lang w:val="sq-AL"/>
        </w:rPr>
      </w:pPr>
      <w:r w:rsidRPr="00795698">
        <w:rPr>
          <w:lang w:val="sq-AL"/>
        </w:rPr>
        <w:t>DPD</w:t>
      </w:r>
      <w:r w:rsidRPr="00795698">
        <w:rPr>
          <w:lang w:val="sq-AL"/>
        </w:rPr>
        <w:tab/>
        <w:t xml:space="preserve"> </w:t>
      </w:r>
      <w:r w:rsidR="00BA71A1" w:rsidRPr="00795698">
        <w:rPr>
          <w:lang w:val="sq-AL"/>
        </w:rPr>
        <w:t>Drejtoria e Përgjithshme e Doganave</w:t>
      </w:r>
    </w:p>
    <w:p w14:paraId="5FEEF463" w14:textId="537F1379" w:rsidR="00BA71A1" w:rsidRPr="00795698" w:rsidRDefault="009A15B3" w:rsidP="00BA71A1">
      <w:pPr>
        <w:pStyle w:val="TEKSTIIIII"/>
        <w:rPr>
          <w:lang w:val="sq-AL"/>
        </w:rPr>
      </w:pPr>
      <w:r w:rsidRPr="00795698">
        <w:rPr>
          <w:lang w:val="sq-AL"/>
        </w:rPr>
        <w:t xml:space="preserve">DAT </w:t>
      </w:r>
      <w:r w:rsidRPr="00795698">
        <w:rPr>
          <w:lang w:val="sq-AL"/>
        </w:rPr>
        <w:tab/>
      </w:r>
      <w:r w:rsidR="00BA71A1" w:rsidRPr="00795698">
        <w:rPr>
          <w:lang w:val="sq-AL"/>
        </w:rPr>
        <w:t>Drejtoria e Antiterrorit</w:t>
      </w:r>
    </w:p>
    <w:p w14:paraId="5FEEF464" w14:textId="1CC60EE9" w:rsidR="00BA71A1" w:rsidRPr="00795698" w:rsidRDefault="009A15B3" w:rsidP="00BA71A1">
      <w:pPr>
        <w:pStyle w:val="TEKSTIIIII"/>
        <w:rPr>
          <w:lang w:val="sq-AL"/>
        </w:rPr>
      </w:pPr>
      <w:r w:rsidRPr="00795698">
        <w:rPr>
          <w:lang w:val="sq-AL"/>
        </w:rPr>
        <w:t xml:space="preserve">DIH </w:t>
      </w:r>
      <w:r w:rsidRPr="00795698">
        <w:rPr>
          <w:lang w:val="sq-AL"/>
        </w:rPr>
        <w:tab/>
      </w:r>
      <w:r w:rsidR="00BA71A1" w:rsidRPr="00795698">
        <w:rPr>
          <w:lang w:val="sq-AL"/>
        </w:rPr>
        <w:t xml:space="preserve">Drejtoria e Inspektimit Hekurudhor </w:t>
      </w:r>
    </w:p>
    <w:p w14:paraId="5FEEF465" w14:textId="524F10E7" w:rsidR="00BA71A1" w:rsidRPr="00795698" w:rsidRDefault="009A15B3" w:rsidP="00BA71A1">
      <w:pPr>
        <w:pStyle w:val="TEKSTIIIII"/>
        <w:rPr>
          <w:lang w:val="sq-AL"/>
        </w:rPr>
      </w:pPr>
      <w:r w:rsidRPr="00795698">
        <w:rPr>
          <w:lang w:val="sq-AL"/>
        </w:rPr>
        <w:t>DKEF</w:t>
      </w:r>
      <w:r w:rsidRPr="00795698">
        <w:rPr>
          <w:lang w:val="sq-AL"/>
        </w:rPr>
        <w:tab/>
      </w:r>
      <w:r w:rsidR="00BA71A1" w:rsidRPr="00795698">
        <w:rPr>
          <w:lang w:val="sq-AL"/>
        </w:rPr>
        <w:t>Drejtoria e Krimit</w:t>
      </w:r>
      <w:r w:rsidR="007C064A" w:rsidRPr="00795698">
        <w:rPr>
          <w:lang w:val="sq-AL"/>
        </w:rPr>
        <w:t xml:space="preserve"> </w:t>
      </w:r>
      <w:r w:rsidR="00BA71A1" w:rsidRPr="00795698">
        <w:rPr>
          <w:lang w:val="sq-AL"/>
        </w:rPr>
        <w:t xml:space="preserve">Ekonomiko Financiar </w:t>
      </w:r>
    </w:p>
    <w:p w14:paraId="5FEEF466" w14:textId="7668A9F9" w:rsidR="00BA71A1" w:rsidRPr="00795698" w:rsidRDefault="009A15B3" w:rsidP="00BA71A1">
      <w:pPr>
        <w:pStyle w:val="TEKSTIIIII"/>
        <w:rPr>
          <w:lang w:val="sq-AL"/>
        </w:rPr>
      </w:pPr>
      <w:r w:rsidRPr="00795698">
        <w:rPr>
          <w:lang w:val="sq-AL"/>
        </w:rPr>
        <w:t>DPD</w:t>
      </w:r>
      <w:r w:rsidRPr="00795698">
        <w:rPr>
          <w:lang w:val="sq-AL"/>
        </w:rPr>
        <w:tab/>
      </w:r>
      <w:r w:rsidR="00BA71A1" w:rsidRPr="00795698">
        <w:rPr>
          <w:lang w:val="sq-AL"/>
        </w:rPr>
        <w:t>Drejtoria e Përgjithshme e Doganave</w:t>
      </w:r>
    </w:p>
    <w:p w14:paraId="5FEEF467" w14:textId="38AB7494" w:rsidR="00BA71A1" w:rsidRPr="00795698" w:rsidRDefault="009A15B3" w:rsidP="00BA71A1">
      <w:pPr>
        <w:pStyle w:val="TEKSTIIIII"/>
        <w:rPr>
          <w:lang w:val="sq-AL"/>
        </w:rPr>
      </w:pPr>
      <w:r w:rsidRPr="00795698">
        <w:rPr>
          <w:lang w:val="sq-AL"/>
        </w:rPr>
        <w:t>DPKM</w:t>
      </w:r>
      <w:r w:rsidRPr="00795698">
        <w:rPr>
          <w:lang w:val="sq-AL"/>
        </w:rPr>
        <w:tab/>
      </w:r>
      <w:r w:rsidR="00BA71A1" w:rsidRPr="00795698">
        <w:rPr>
          <w:lang w:val="sq-AL"/>
        </w:rPr>
        <w:t>Drejtoria e Përgjithshme e Kufirit dhe</w:t>
      </w:r>
      <w:r w:rsidR="007C064A" w:rsidRPr="00795698">
        <w:rPr>
          <w:lang w:val="sq-AL"/>
        </w:rPr>
        <w:t xml:space="preserve"> </w:t>
      </w:r>
      <w:r w:rsidR="00BA71A1" w:rsidRPr="00795698">
        <w:rPr>
          <w:lang w:val="sq-AL"/>
        </w:rPr>
        <w:t>Migracionit</w:t>
      </w:r>
    </w:p>
    <w:p w14:paraId="5FEEF468" w14:textId="457515A8" w:rsidR="00BA71A1" w:rsidRPr="00795698" w:rsidRDefault="009A15B3" w:rsidP="00BA71A1">
      <w:pPr>
        <w:pStyle w:val="TEKSTIIIII"/>
        <w:rPr>
          <w:lang w:val="sq-AL"/>
        </w:rPr>
      </w:pPr>
      <w:r w:rsidRPr="00795698">
        <w:rPr>
          <w:lang w:val="sq-AL"/>
        </w:rPr>
        <w:t>DPKOKR</w:t>
      </w:r>
      <w:r w:rsidRPr="00795698">
        <w:rPr>
          <w:lang w:val="sq-AL"/>
        </w:rPr>
        <w:tab/>
      </w:r>
      <w:r w:rsidR="00BA71A1" w:rsidRPr="00795698">
        <w:rPr>
          <w:lang w:val="sq-AL"/>
        </w:rPr>
        <w:t>Drejtoria e Përgjithshme për Hetimin e Krimit të Organizuar dhe Krimeve të</w:t>
      </w:r>
      <w:r w:rsidR="007C064A" w:rsidRPr="00795698">
        <w:rPr>
          <w:lang w:val="sq-AL"/>
        </w:rPr>
        <w:t xml:space="preserve"> </w:t>
      </w:r>
      <w:r w:rsidR="00BA71A1" w:rsidRPr="00795698">
        <w:rPr>
          <w:lang w:val="sq-AL"/>
        </w:rPr>
        <w:t>Rënda</w:t>
      </w:r>
    </w:p>
    <w:p w14:paraId="5FEEF469" w14:textId="43D4CAB7" w:rsidR="00BA71A1" w:rsidRPr="00795698" w:rsidRDefault="009A15B3" w:rsidP="00BA71A1">
      <w:pPr>
        <w:pStyle w:val="TEKSTIIIII"/>
        <w:rPr>
          <w:lang w:val="sq-AL"/>
        </w:rPr>
      </w:pPr>
      <w:r w:rsidRPr="00795698">
        <w:rPr>
          <w:lang w:val="sq-AL"/>
        </w:rPr>
        <w:t>DPPPP</w:t>
      </w:r>
      <w:r w:rsidRPr="00795698">
        <w:rPr>
          <w:lang w:val="sq-AL"/>
        </w:rPr>
        <w:tab/>
      </w:r>
      <w:r w:rsidR="00BA71A1" w:rsidRPr="00795698">
        <w:rPr>
          <w:lang w:val="sq-AL"/>
        </w:rPr>
        <w:t>Drejtoria e Përgjithshme e Parandalimit të Pastrimit të Parave</w:t>
      </w:r>
    </w:p>
    <w:p w14:paraId="5FEEF46A" w14:textId="03E5E861" w:rsidR="00BA71A1" w:rsidRPr="00795698" w:rsidRDefault="00BA71A1" w:rsidP="00BA71A1">
      <w:pPr>
        <w:pStyle w:val="TEKSTIIIII"/>
        <w:rPr>
          <w:lang w:val="sq-AL"/>
        </w:rPr>
      </w:pPr>
      <w:r w:rsidRPr="00795698">
        <w:rPr>
          <w:lang w:val="sq-AL"/>
        </w:rPr>
        <w:t>DPRSP</w:t>
      </w:r>
      <w:r w:rsidR="007C064A" w:rsidRPr="00795698">
        <w:rPr>
          <w:lang w:val="sq-AL"/>
        </w:rPr>
        <w:t xml:space="preserve"> </w:t>
      </w:r>
      <w:r w:rsidR="009A15B3" w:rsidRPr="00795698">
        <w:rPr>
          <w:lang w:val="sq-AL"/>
        </w:rPr>
        <w:tab/>
      </w:r>
      <w:r w:rsidRPr="00795698">
        <w:rPr>
          <w:lang w:val="sq-AL"/>
        </w:rPr>
        <w:t>Drejtoria e Përgjithshme e Rendit dhe për Sigurinë Publike</w:t>
      </w:r>
    </w:p>
    <w:p w14:paraId="5FEEF46B" w14:textId="6327AD7F" w:rsidR="00BA71A1" w:rsidRPr="00795698" w:rsidRDefault="009A15B3" w:rsidP="00BA71A1">
      <w:pPr>
        <w:pStyle w:val="TEKSTIIIII"/>
        <w:rPr>
          <w:lang w:val="sq-AL"/>
        </w:rPr>
      </w:pPr>
      <w:r w:rsidRPr="00795698">
        <w:rPr>
          <w:lang w:val="sq-AL"/>
        </w:rPr>
        <w:t>DPPSH</w:t>
      </w:r>
      <w:r w:rsidRPr="00795698">
        <w:rPr>
          <w:lang w:val="sq-AL"/>
        </w:rPr>
        <w:tab/>
      </w:r>
      <w:r w:rsidR="00BA71A1" w:rsidRPr="00795698">
        <w:rPr>
          <w:lang w:val="sq-AL"/>
        </w:rPr>
        <w:t>Drejtoria e Përgjithshme e Policisë se Shtetit</w:t>
      </w:r>
    </w:p>
    <w:p w14:paraId="5FEEF46C" w14:textId="69BF1279" w:rsidR="00BA71A1" w:rsidRPr="00795698" w:rsidRDefault="009A15B3" w:rsidP="00BA71A1">
      <w:pPr>
        <w:pStyle w:val="TEKSTIIIII"/>
        <w:rPr>
          <w:lang w:val="sq-AL"/>
        </w:rPr>
      </w:pPr>
      <w:r w:rsidRPr="00795698">
        <w:rPr>
          <w:lang w:val="sq-AL"/>
        </w:rPr>
        <w:lastRenderedPageBreak/>
        <w:t xml:space="preserve">DPSHTRR </w:t>
      </w:r>
      <w:r w:rsidRPr="00795698">
        <w:rPr>
          <w:lang w:val="sq-AL"/>
        </w:rPr>
        <w:tab/>
      </w:r>
      <w:r w:rsidR="00BA71A1" w:rsidRPr="00795698">
        <w:rPr>
          <w:lang w:val="sq-AL"/>
        </w:rPr>
        <w:t>Drejtoria e Përgjithshme e Shërbimeve të Transportit Rrugor</w:t>
      </w:r>
    </w:p>
    <w:p w14:paraId="5FEEF46D" w14:textId="15E09F0F" w:rsidR="00BA71A1" w:rsidRPr="00795698" w:rsidRDefault="009A15B3" w:rsidP="00BA71A1">
      <w:pPr>
        <w:pStyle w:val="TEKSTIIIII"/>
        <w:rPr>
          <w:lang w:val="sq-AL"/>
        </w:rPr>
      </w:pPr>
      <w:r w:rsidRPr="00795698">
        <w:rPr>
          <w:lang w:val="sq-AL"/>
        </w:rPr>
        <w:t>DPT</w:t>
      </w:r>
      <w:r w:rsidRPr="00795698">
        <w:rPr>
          <w:lang w:val="sq-AL"/>
        </w:rPr>
        <w:tab/>
      </w:r>
      <w:r w:rsidR="00BA71A1" w:rsidRPr="00795698">
        <w:rPr>
          <w:lang w:val="sq-AL"/>
        </w:rPr>
        <w:t xml:space="preserve">Drejtoria e Përgjithshme e Tatimeve </w:t>
      </w:r>
    </w:p>
    <w:p w14:paraId="5FEEF46E" w14:textId="4AF3DAA6" w:rsidR="00BA71A1" w:rsidRPr="00795698" w:rsidRDefault="009A15B3" w:rsidP="00BA71A1">
      <w:pPr>
        <w:pStyle w:val="TEKSTIIIII"/>
        <w:rPr>
          <w:lang w:val="sq-AL"/>
        </w:rPr>
      </w:pPr>
      <w:r w:rsidRPr="00795698">
        <w:rPr>
          <w:lang w:val="sq-AL"/>
        </w:rPr>
        <w:t>FA</w:t>
      </w:r>
      <w:r w:rsidRPr="00795698">
        <w:rPr>
          <w:lang w:val="sq-AL"/>
        </w:rPr>
        <w:tab/>
      </w:r>
      <w:r w:rsidRPr="00795698">
        <w:rPr>
          <w:lang w:val="sq-AL"/>
        </w:rPr>
        <w:tab/>
      </w:r>
      <w:r w:rsidR="00BA71A1" w:rsidRPr="00795698">
        <w:rPr>
          <w:lang w:val="sq-AL"/>
        </w:rPr>
        <w:t>Forcat</w:t>
      </w:r>
      <w:r w:rsidR="007C064A" w:rsidRPr="00795698">
        <w:rPr>
          <w:lang w:val="sq-AL"/>
        </w:rPr>
        <w:t xml:space="preserve"> </w:t>
      </w:r>
      <w:r w:rsidR="00BA71A1" w:rsidRPr="00795698">
        <w:rPr>
          <w:lang w:val="sq-AL"/>
        </w:rPr>
        <w:t xml:space="preserve">e Armatosura </w:t>
      </w:r>
    </w:p>
    <w:p w14:paraId="5FEEF46F" w14:textId="1A018B26" w:rsidR="00BA71A1" w:rsidRPr="00795698" w:rsidRDefault="009A15B3" w:rsidP="00BA71A1">
      <w:pPr>
        <w:pStyle w:val="TEKSTIIIII"/>
        <w:rPr>
          <w:lang w:val="sq-AL"/>
        </w:rPr>
      </w:pPr>
      <w:r w:rsidRPr="00795698">
        <w:rPr>
          <w:lang w:val="sq-AL"/>
        </w:rPr>
        <w:t>FSP</w:t>
      </w:r>
      <w:r w:rsidRPr="00795698">
        <w:rPr>
          <w:lang w:val="sq-AL"/>
        </w:rPr>
        <w:tab/>
      </w:r>
      <w:r w:rsidRPr="00795698">
        <w:rPr>
          <w:lang w:val="sq-AL"/>
        </w:rPr>
        <w:tab/>
      </w:r>
      <w:r w:rsidR="00BA71A1" w:rsidRPr="00795698">
        <w:rPr>
          <w:lang w:val="sq-AL"/>
        </w:rPr>
        <w:t>Forca e Sigurisë Portuale</w:t>
      </w:r>
    </w:p>
    <w:p w14:paraId="5FEEF470" w14:textId="71D29638" w:rsidR="00BA71A1" w:rsidRPr="00795698" w:rsidRDefault="009A15B3" w:rsidP="00BA71A1">
      <w:pPr>
        <w:pStyle w:val="TEKSTIIIII"/>
        <w:rPr>
          <w:lang w:val="sq-AL"/>
        </w:rPr>
      </w:pPr>
      <w:r w:rsidRPr="00795698">
        <w:rPr>
          <w:lang w:val="sq-AL"/>
        </w:rPr>
        <w:t>IFB</w:t>
      </w:r>
      <w:r w:rsidRPr="00795698">
        <w:rPr>
          <w:lang w:val="sq-AL"/>
        </w:rPr>
        <w:tab/>
      </w:r>
      <w:r w:rsidRPr="00795698">
        <w:rPr>
          <w:lang w:val="sq-AL"/>
        </w:rPr>
        <w:tab/>
      </w:r>
      <w:r w:rsidR="00BA71A1" w:rsidRPr="00795698">
        <w:rPr>
          <w:lang w:val="sq-AL"/>
        </w:rPr>
        <w:t>Instituti i Fizikës Bërthamore</w:t>
      </w:r>
    </w:p>
    <w:p w14:paraId="5FEEF471" w14:textId="5E36F93A" w:rsidR="00BA71A1" w:rsidRPr="00795698" w:rsidRDefault="009A15B3" w:rsidP="00BA71A1">
      <w:pPr>
        <w:pStyle w:val="TEKSTIIIII"/>
        <w:rPr>
          <w:lang w:val="sq-AL"/>
        </w:rPr>
      </w:pPr>
      <w:r w:rsidRPr="00795698">
        <w:rPr>
          <w:lang w:val="sq-AL"/>
        </w:rPr>
        <w:t>ISIL</w:t>
      </w:r>
      <w:r w:rsidRPr="00795698">
        <w:rPr>
          <w:lang w:val="sq-AL"/>
        </w:rPr>
        <w:tab/>
      </w:r>
      <w:r w:rsidRPr="00795698">
        <w:rPr>
          <w:lang w:val="sq-AL"/>
        </w:rPr>
        <w:tab/>
      </w:r>
      <w:r w:rsidR="00BA71A1" w:rsidRPr="00795698">
        <w:rPr>
          <w:lang w:val="sq-AL"/>
        </w:rPr>
        <w:t>Shteti Islamik i Irakut edhe Levantit</w:t>
      </w:r>
    </w:p>
    <w:p w14:paraId="5FEEF472" w14:textId="7E295506" w:rsidR="00BA71A1" w:rsidRPr="00795698" w:rsidRDefault="009A15B3" w:rsidP="00BA71A1">
      <w:pPr>
        <w:pStyle w:val="TEKSTIIIII"/>
        <w:rPr>
          <w:lang w:val="sq-AL"/>
        </w:rPr>
      </w:pPr>
      <w:r w:rsidRPr="00795698">
        <w:rPr>
          <w:lang w:val="sq-AL"/>
        </w:rPr>
        <w:t xml:space="preserve">FAj </w:t>
      </w:r>
      <w:r w:rsidRPr="00795698">
        <w:rPr>
          <w:lang w:val="sq-AL"/>
        </w:rPr>
        <w:tab/>
      </w:r>
      <w:r w:rsidRPr="00795698">
        <w:rPr>
          <w:lang w:val="sq-AL"/>
        </w:rPr>
        <w:tab/>
      </w:r>
      <w:r w:rsidR="00BA71A1" w:rsidRPr="00795698">
        <w:rPr>
          <w:lang w:val="sq-AL"/>
        </w:rPr>
        <w:t>Komanda e Forcës Ajrore</w:t>
      </w:r>
    </w:p>
    <w:p w14:paraId="5FEEF473" w14:textId="792E1DB4" w:rsidR="00BA71A1" w:rsidRPr="00795698" w:rsidRDefault="00BA71A1" w:rsidP="00BA71A1">
      <w:pPr>
        <w:pStyle w:val="TEKSTIIIII"/>
        <w:rPr>
          <w:lang w:val="sq-AL"/>
        </w:rPr>
      </w:pPr>
      <w:r w:rsidRPr="00795698">
        <w:rPr>
          <w:lang w:val="sq-AL"/>
        </w:rPr>
        <w:t>KFD</w:t>
      </w:r>
      <w:r w:rsidR="007C064A" w:rsidRPr="00795698">
        <w:rPr>
          <w:lang w:val="sq-AL"/>
        </w:rPr>
        <w:t xml:space="preserve">    </w:t>
      </w:r>
      <w:r w:rsidRPr="00795698">
        <w:rPr>
          <w:lang w:val="sq-AL"/>
        </w:rPr>
        <w:tab/>
        <w:t>Komanda e Forcës Detare</w:t>
      </w:r>
    </w:p>
    <w:p w14:paraId="5FEEF474" w14:textId="7BB79566" w:rsidR="00BA71A1" w:rsidRPr="00795698" w:rsidRDefault="009A15B3" w:rsidP="00BA71A1">
      <w:pPr>
        <w:pStyle w:val="TEKSTIIIII"/>
        <w:rPr>
          <w:lang w:val="sq-AL"/>
        </w:rPr>
      </w:pPr>
      <w:r w:rsidRPr="00795698">
        <w:rPr>
          <w:lang w:val="sq-AL"/>
        </w:rPr>
        <w:t>KM</w:t>
      </w:r>
      <w:r w:rsidRPr="00795698">
        <w:rPr>
          <w:lang w:val="sq-AL"/>
        </w:rPr>
        <w:tab/>
      </w:r>
      <w:r w:rsidRPr="00795698">
        <w:rPr>
          <w:lang w:val="sq-AL"/>
        </w:rPr>
        <w:tab/>
      </w:r>
      <w:r w:rsidR="00BA71A1" w:rsidRPr="00795698">
        <w:rPr>
          <w:lang w:val="sq-AL"/>
        </w:rPr>
        <w:t xml:space="preserve">Këshilli i Ministrave </w:t>
      </w:r>
    </w:p>
    <w:p w14:paraId="5FEEF475" w14:textId="7C8F2C35" w:rsidR="00BA71A1" w:rsidRPr="00795698" w:rsidRDefault="009A15B3" w:rsidP="00BA71A1">
      <w:pPr>
        <w:pStyle w:val="TEKSTIIIII"/>
        <w:rPr>
          <w:lang w:val="sq-AL"/>
        </w:rPr>
      </w:pPr>
      <w:r w:rsidRPr="00795698">
        <w:rPr>
          <w:lang w:val="sq-AL"/>
        </w:rPr>
        <w:t>KMR</w:t>
      </w:r>
      <w:r w:rsidRPr="00795698">
        <w:rPr>
          <w:lang w:val="sq-AL"/>
        </w:rPr>
        <w:tab/>
      </w:r>
      <w:r w:rsidR="00BA71A1" w:rsidRPr="00795698">
        <w:rPr>
          <w:lang w:val="sq-AL"/>
        </w:rPr>
        <w:t>Komisioni i Mbrojtjes nga Rrezatimet</w:t>
      </w:r>
    </w:p>
    <w:p w14:paraId="5FEEF476" w14:textId="61CA0ECC" w:rsidR="00BA71A1" w:rsidRPr="00795698" w:rsidRDefault="009A15B3" w:rsidP="00BA71A1">
      <w:pPr>
        <w:pStyle w:val="TEKSTIIIII"/>
        <w:rPr>
          <w:lang w:val="sq-AL"/>
        </w:rPr>
      </w:pPr>
      <w:r w:rsidRPr="00795698">
        <w:rPr>
          <w:lang w:val="sq-AL"/>
        </w:rPr>
        <w:t>MAS</w:t>
      </w:r>
      <w:r w:rsidRPr="00795698">
        <w:rPr>
          <w:lang w:val="sq-AL"/>
        </w:rPr>
        <w:tab/>
      </w:r>
      <w:r w:rsidR="00BA71A1" w:rsidRPr="00795698">
        <w:rPr>
          <w:lang w:val="sq-AL"/>
        </w:rPr>
        <w:t xml:space="preserve">Ministria e Arsimit dhe Sportit </w:t>
      </w:r>
    </w:p>
    <w:p w14:paraId="5FEEF477" w14:textId="553B11C3" w:rsidR="00BA71A1" w:rsidRPr="00795698" w:rsidRDefault="009A15B3" w:rsidP="00BA71A1">
      <w:pPr>
        <w:pStyle w:val="TEKSTIIIII"/>
        <w:rPr>
          <w:lang w:val="sq-AL"/>
        </w:rPr>
      </w:pPr>
      <w:r w:rsidRPr="00795698">
        <w:rPr>
          <w:lang w:val="sq-AL"/>
        </w:rPr>
        <w:t>MBZHR</w:t>
      </w:r>
      <w:r w:rsidRPr="00795698">
        <w:rPr>
          <w:lang w:val="sq-AL"/>
        </w:rPr>
        <w:tab/>
      </w:r>
      <w:r w:rsidR="00BA71A1" w:rsidRPr="00795698">
        <w:rPr>
          <w:lang w:val="sq-AL"/>
        </w:rPr>
        <w:t xml:space="preserve">Ministria e Bujqësisë dhe Zhvillimit Rural </w:t>
      </w:r>
    </w:p>
    <w:p w14:paraId="5FEEF478" w14:textId="708F8AC8" w:rsidR="00BA71A1" w:rsidRPr="00795698" w:rsidRDefault="009A15B3" w:rsidP="00BA71A1">
      <w:pPr>
        <w:pStyle w:val="TEKSTIIIII"/>
        <w:rPr>
          <w:lang w:val="sq-AL"/>
        </w:rPr>
      </w:pPr>
      <w:r w:rsidRPr="00795698">
        <w:rPr>
          <w:lang w:val="sq-AL"/>
        </w:rPr>
        <w:t>MD</w:t>
      </w:r>
      <w:r w:rsidRPr="00795698">
        <w:rPr>
          <w:lang w:val="sq-AL"/>
        </w:rPr>
        <w:tab/>
      </w:r>
      <w:r w:rsidRPr="00795698">
        <w:rPr>
          <w:lang w:val="sq-AL"/>
        </w:rPr>
        <w:tab/>
      </w:r>
      <w:r w:rsidR="00BA71A1" w:rsidRPr="00795698">
        <w:rPr>
          <w:lang w:val="sq-AL"/>
        </w:rPr>
        <w:t>Ministra e Drejtësisë</w:t>
      </w:r>
    </w:p>
    <w:p w14:paraId="5FEEF479" w14:textId="2923E7C6" w:rsidR="00BA71A1" w:rsidRPr="00795698" w:rsidRDefault="00BA71A1" w:rsidP="00BA71A1">
      <w:pPr>
        <w:pStyle w:val="TEKSTIIIII"/>
        <w:rPr>
          <w:lang w:val="sq-AL"/>
        </w:rPr>
      </w:pPr>
      <w:r w:rsidRPr="00795698">
        <w:rPr>
          <w:lang w:val="sq-AL"/>
        </w:rPr>
        <w:t>ME</w:t>
      </w:r>
      <w:r w:rsidR="007C064A" w:rsidRPr="00795698">
        <w:rPr>
          <w:lang w:val="sq-AL"/>
        </w:rPr>
        <w:t xml:space="preserve">  </w:t>
      </w:r>
      <w:r w:rsidR="009A15B3" w:rsidRPr="00795698">
        <w:rPr>
          <w:lang w:val="sq-AL"/>
        </w:rPr>
        <w:tab/>
      </w:r>
      <w:r w:rsidRPr="00795698">
        <w:rPr>
          <w:lang w:val="sq-AL"/>
        </w:rPr>
        <w:t>Ministria</w:t>
      </w:r>
      <w:r w:rsidR="007C064A" w:rsidRPr="00795698">
        <w:rPr>
          <w:lang w:val="sq-AL"/>
        </w:rPr>
        <w:t xml:space="preserve"> </w:t>
      </w:r>
      <w:r w:rsidRPr="00795698">
        <w:rPr>
          <w:lang w:val="sq-AL"/>
        </w:rPr>
        <w:t>e Energjisë dhe Industrisë</w:t>
      </w:r>
    </w:p>
    <w:p w14:paraId="5FEEF47A" w14:textId="6D4D52D2" w:rsidR="00BA71A1" w:rsidRPr="00795698" w:rsidRDefault="009A15B3" w:rsidP="00BA71A1">
      <w:pPr>
        <w:pStyle w:val="TEKSTIIIII"/>
        <w:rPr>
          <w:lang w:val="sq-AL"/>
        </w:rPr>
      </w:pPr>
      <w:r w:rsidRPr="00795698">
        <w:rPr>
          <w:lang w:val="sq-AL"/>
        </w:rPr>
        <w:t xml:space="preserve">MFE </w:t>
      </w:r>
      <w:r w:rsidRPr="00795698">
        <w:rPr>
          <w:lang w:val="sq-AL"/>
        </w:rPr>
        <w:tab/>
      </w:r>
      <w:r w:rsidR="00BA71A1" w:rsidRPr="00795698">
        <w:rPr>
          <w:lang w:val="sq-AL"/>
        </w:rPr>
        <w:t>Ministra e Financave dhe Ekonomisë</w:t>
      </w:r>
    </w:p>
    <w:p w14:paraId="5FEEF47B" w14:textId="24ADC31E" w:rsidR="00BA71A1" w:rsidRPr="00795698" w:rsidRDefault="009A15B3" w:rsidP="00BA71A1">
      <w:pPr>
        <w:pStyle w:val="TEKSTIIIII"/>
        <w:rPr>
          <w:lang w:val="sq-AL"/>
        </w:rPr>
      </w:pPr>
      <w:r w:rsidRPr="00795698">
        <w:rPr>
          <w:lang w:val="sq-AL"/>
        </w:rPr>
        <w:t>MTM</w:t>
      </w:r>
      <w:r w:rsidRPr="00795698">
        <w:rPr>
          <w:lang w:val="sq-AL"/>
        </w:rPr>
        <w:tab/>
      </w:r>
      <w:r w:rsidR="00BA71A1" w:rsidRPr="00795698">
        <w:rPr>
          <w:lang w:val="sq-AL"/>
        </w:rPr>
        <w:t>Ministra e Turizmit dhe Mjedisit</w:t>
      </w:r>
    </w:p>
    <w:p w14:paraId="5FEEF47C" w14:textId="136FF3EB" w:rsidR="00BA71A1" w:rsidRPr="00795698" w:rsidRDefault="009A15B3" w:rsidP="00BA71A1">
      <w:pPr>
        <w:pStyle w:val="TEKSTIIIII"/>
        <w:rPr>
          <w:lang w:val="sq-AL"/>
        </w:rPr>
      </w:pPr>
      <w:r w:rsidRPr="00795698">
        <w:rPr>
          <w:lang w:val="sq-AL"/>
        </w:rPr>
        <w:t>MM</w:t>
      </w:r>
      <w:r w:rsidRPr="00795698">
        <w:rPr>
          <w:lang w:val="sq-AL"/>
        </w:rPr>
        <w:tab/>
      </w:r>
      <w:r w:rsidRPr="00795698">
        <w:rPr>
          <w:lang w:val="sq-AL"/>
        </w:rPr>
        <w:tab/>
      </w:r>
      <w:r w:rsidR="00BA71A1" w:rsidRPr="00795698">
        <w:rPr>
          <w:lang w:val="sq-AL"/>
        </w:rPr>
        <w:t>Ministria e Mbrojtjes</w:t>
      </w:r>
    </w:p>
    <w:p w14:paraId="5FEEF47D" w14:textId="4D0E957B" w:rsidR="00BA71A1" w:rsidRPr="00795698" w:rsidRDefault="009A15B3" w:rsidP="00BA71A1">
      <w:pPr>
        <w:pStyle w:val="TEKSTIIIII"/>
        <w:rPr>
          <w:lang w:val="sq-AL"/>
        </w:rPr>
      </w:pPr>
      <w:r w:rsidRPr="00795698">
        <w:rPr>
          <w:lang w:val="sq-AL"/>
        </w:rPr>
        <w:t>MB</w:t>
      </w:r>
      <w:r w:rsidRPr="00795698">
        <w:rPr>
          <w:lang w:val="sq-AL"/>
        </w:rPr>
        <w:tab/>
      </w:r>
      <w:r w:rsidRPr="00795698">
        <w:rPr>
          <w:lang w:val="sq-AL"/>
        </w:rPr>
        <w:tab/>
      </w:r>
      <w:r w:rsidR="00BA71A1" w:rsidRPr="00795698">
        <w:rPr>
          <w:lang w:val="sq-AL"/>
        </w:rPr>
        <w:t>Ministra e Brendshme</w:t>
      </w:r>
    </w:p>
    <w:p w14:paraId="5FEEF47E" w14:textId="092C30A8" w:rsidR="00BA71A1" w:rsidRPr="00795698" w:rsidRDefault="009A15B3" w:rsidP="00BA71A1">
      <w:pPr>
        <w:pStyle w:val="TEKSTIIIII"/>
        <w:rPr>
          <w:lang w:val="sq-AL"/>
        </w:rPr>
      </w:pPr>
      <w:r w:rsidRPr="00795698">
        <w:rPr>
          <w:lang w:val="sq-AL"/>
        </w:rPr>
        <w:t>MEPJ</w:t>
      </w:r>
      <w:r w:rsidRPr="00795698">
        <w:rPr>
          <w:lang w:val="sq-AL"/>
        </w:rPr>
        <w:tab/>
      </w:r>
      <w:r w:rsidR="00BA71A1" w:rsidRPr="00795698">
        <w:rPr>
          <w:lang w:val="sq-AL"/>
        </w:rPr>
        <w:t>Ministria për Evropën dhe</w:t>
      </w:r>
      <w:r w:rsidR="007C064A" w:rsidRPr="00795698">
        <w:rPr>
          <w:lang w:val="sq-AL"/>
        </w:rPr>
        <w:t xml:space="preserve"> </w:t>
      </w:r>
      <w:r w:rsidR="00BA71A1" w:rsidRPr="00795698">
        <w:rPr>
          <w:lang w:val="sq-AL"/>
        </w:rPr>
        <w:t>Punët e Jashtme</w:t>
      </w:r>
    </w:p>
    <w:p w14:paraId="5FEEF47F" w14:textId="3C8622E8" w:rsidR="00BA71A1" w:rsidRPr="00795698" w:rsidRDefault="009A15B3" w:rsidP="00BA71A1">
      <w:pPr>
        <w:pStyle w:val="TEKSTIIIII"/>
        <w:rPr>
          <w:lang w:val="sq-AL"/>
        </w:rPr>
      </w:pPr>
      <w:r w:rsidRPr="00795698">
        <w:rPr>
          <w:lang w:val="sq-AL"/>
        </w:rPr>
        <w:t>MSHMS</w:t>
      </w:r>
      <w:r w:rsidRPr="00795698">
        <w:rPr>
          <w:lang w:val="sq-AL"/>
        </w:rPr>
        <w:tab/>
      </w:r>
      <w:r w:rsidR="00BA71A1" w:rsidRPr="00795698">
        <w:rPr>
          <w:lang w:val="sq-AL"/>
        </w:rPr>
        <w:t>Ministria</w:t>
      </w:r>
      <w:r w:rsidR="007C064A" w:rsidRPr="00795698">
        <w:rPr>
          <w:lang w:val="sq-AL"/>
        </w:rPr>
        <w:t xml:space="preserve"> </w:t>
      </w:r>
      <w:r w:rsidR="00BA71A1" w:rsidRPr="00795698">
        <w:rPr>
          <w:lang w:val="sq-AL"/>
        </w:rPr>
        <w:t>e Shëndetësisë dhe Mbrojt</w:t>
      </w:r>
      <w:r w:rsidR="0041767D" w:rsidRPr="00795698">
        <w:rPr>
          <w:lang w:val="sq-AL"/>
        </w:rPr>
        <w:t>j</w:t>
      </w:r>
      <w:r w:rsidR="00BA71A1" w:rsidRPr="00795698">
        <w:rPr>
          <w:lang w:val="sq-AL"/>
        </w:rPr>
        <w:t>es Sociale</w:t>
      </w:r>
    </w:p>
    <w:p w14:paraId="5FEEF480" w14:textId="73C736C3" w:rsidR="00BA71A1" w:rsidRPr="00795698" w:rsidRDefault="00BA71A1" w:rsidP="00BA71A1">
      <w:pPr>
        <w:pStyle w:val="TEKSTIIIII"/>
        <w:rPr>
          <w:lang w:val="sq-AL"/>
        </w:rPr>
      </w:pPr>
      <w:r w:rsidRPr="00795698">
        <w:rPr>
          <w:lang w:val="sq-AL"/>
        </w:rPr>
        <w:t>MI</w:t>
      </w:r>
      <w:r w:rsidR="009A15B3" w:rsidRPr="00795698">
        <w:rPr>
          <w:lang w:val="sq-AL"/>
        </w:rPr>
        <w:t xml:space="preserve">E </w:t>
      </w:r>
      <w:r w:rsidR="009A15B3" w:rsidRPr="00795698">
        <w:rPr>
          <w:lang w:val="sq-AL"/>
        </w:rPr>
        <w:tab/>
      </w:r>
      <w:r w:rsidRPr="00795698">
        <w:rPr>
          <w:lang w:val="sq-AL"/>
        </w:rPr>
        <w:t>Ministria e Infrastrukturës dhe Energjisë</w:t>
      </w:r>
    </w:p>
    <w:p w14:paraId="5FEEF481" w14:textId="028FD95F" w:rsidR="00BA71A1" w:rsidRPr="00795698" w:rsidRDefault="009A15B3" w:rsidP="00BA71A1">
      <w:pPr>
        <w:pStyle w:val="TEKSTIIIII"/>
        <w:rPr>
          <w:lang w:val="sq-AL"/>
        </w:rPr>
      </w:pPr>
      <w:r w:rsidRPr="00795698">
        <w:rPr>
          <w:lang w:val="sq-AL"/>
        </w:rPr>
        <w:t xml:space="preserve">MZHETTS </w:t>
      </w:r>
      <w:r w:rsidR="00BA71A1" w:rsidRPr="00795698">
        <w:rPr>
          <w:lang w:val="sq-AL"/>
        </w:rPr>
        <w:t>Ministria e Zhvillimit Ekonomik, Turizmit, Tregtisë dhe Sipërmarrjes</w:t>
      </w:r>
    </w:p>
    <w:p w14:paraId="5FEEF482" w14:textId="10F50B94" w:rsidR="00BA71A1" w:rsidRPr="00795698" w:rsidRDefault="009A15B3" w:rsidP="00BA71A1">
      <w:pPr>
        <w:pStyle w:val="TEKSTIIIII"/>
        <w:rPr>
          <w:lang w:val="sq-AL"/>
        </w:rPr>
      </w:pPr>
      <w:r w:rsidRPr="00795698">
        <w:rPr>
          <w:lang w:val="sq-AL"/>
        </w:rPr>
        <w:t xml:space="preserve">PKR </w:t>
      </w:r>
      <w:r w:rsidRPr="00795698">
        <w:rPr>
          <w:lang w:val="sq-AL"/>
        </w:rPr>
        <w:tab/>
      </w:r>
      <w:r w:rsidR="00BA71A1" w:rsidRPr="00795698">
        <w:rPr>
          <w:lang w:val="sq-AL"/>
        </w:rPr>
        <w:t>Prokuroria e Krimeve të Rënda</w:t>
      </w:r>
    </w:p>
    <w:p w14:paraId="5FEEF483" w14:textId="4DBC05C0" w:rsidR="00BA71A1" w:rsidRPr="00795698" w:rsidRDefault="00BA71A1" w:rsidP="00BA71A1">
      <w:pPr>
        <w:pStyle w:val="TEKSTIIIII"/>
        <w:rPr>
          <w:lang w:val="sq-AL"/>
        </w:rPr>
      </w:pPr>
      <w:r w:rsidRPr="00795698">
        <w:rPr>
          <w:lang w:val="sq-AL"/>
        </w:rPr>
        <w:t>PP</w:t>
      </w:r>
      <w:r w:rsidR="007C064A" w:rsidRPr="00795698">
        <w:rPr>
          <w:lang w:val="sq-AL"/>
        </w:rPr>
        <w:t xml:space="preserve">     </w:t>
      </w:r>
      <w:r w:rsidRPr="00795698">
        <w:rPr>
          <w:lang w:val="sq-AL"/>
        </w:rPr>
        <w:tab/>
        <w:t>Prokuroria e Përgjithshme</w:t>
      </w:r>
      <w:r w:rsidRPr="00795698">
        <w:rPr>
          <w:lang w:val="sq-AL"/>
        </w:rPr>
        <w:tab/>
      </w:r>
    </w:p>
    <w:p w14:paraId="5FEEF484" w14:textId="1427EB21" w:rsidR="00BA71A1" w:rsidRPr="00795698" w:rsidRDefault="009A15B3" w:rsidP="00BA71A1">
      <w:pPr>
        <w:pStyle w:val="TEKSTIIIII"/>
        <w:rPr>
          <w:lang w:val="sq-AL"/>
        </w:rPr>
      </w:pPr>
      <w:r w:rsidRPr="00795698">
        <w:rPr>
          <w:lang w:val="sq-AL"/>
        </w:rPr>
        <w:t xml:space="preserve">SSK </w:t>
      </w:r>
      <w:r w:rsidRPr="00795698">
        <w:rPr>
          <w:lang w:val="sq-AL"/>
        </w:rPr>
        <w:tab/>
      </w:r>
      <w:r w:rsidR="00BA71A1" w:rsidRPr="00795698">
        <w:rPr>
          <w:lang w:val="sq-AL"/>
        </w:rPr>
        <w:t>Strategjia e Sigurisë Kombëtare</w:t>
      </w:r>
    </w:p>
    <w:p w14:paraId="5FEEF485" w14:textId="2EC26794" w:rsidR="00BA71A1" w:rsidRPr="00795698" w:rsidRDefault="009A15B3" w:rsidP="00BA71A1">
      <w:pPr>
        <w:pStyle w:val="TEKSTIIIII"/>
        <w:rPr>
          <w:lang w:val="sq-AL"/>
        </w:rPr>
      </w:pPr>
      <w:r w:rsidRPr="00795698">
        <w:rPr>
          <w:lang w:val="sq-AL"/>
        </w:rPr>
        <w:t xml:space="preserve">SHISH </w:t>
      </w:r>
      <w:r w:rsidRPr="00795698">
        <w:rPr>
          <w:lang w:val="sq-AL"/>
        </w:rPr>
        <w:tab/>
      </w:r>
      <w:r w:rsidR="00BA71A1" w:rsidRPr="00795698">
        <w:rPr>
          <w:lang w:val="sq-AL"/>
        </w:rPr>
        <w:t xml:space="preserve">Shërbimi Informativ i Shtetit </w:t>
      </w:r>
    </w:p>
    <w:p w14:paraId="5FEEF486" w14:textId="3CCC960E" w:rsidR="00BA71A1" w:rsidRPr="00795698" w:rsidRDefault="009A15B3" w:rsidP="00BA71A1">
      <w:pPr>
        <w:pStyle w:val="TEKSTIIIII"/>
        <w:rPr>
          <w:lang w:val="sq-AL"/>
        </w:rPr>
      </w:pPr>
      <w:r w:rsidRPr="00795698">
        <w:rPr>
          <w:lang w:val="sq-AL"/>
        </w:rPr>
        <w:t>ZMR</w:t>
      </w:r>
      <w:r w:rsidRPr="00795698">
        <w:rPr>
          <w:lang w:val="sq-AL"/>
        </w:rPr>
        <w:tab/>
      </w:r>
      <w:r w:rsidR="00BA71A1" w:rsidRPr="00795698">
        <w:rPr>
          <w:lang w:val="sq-AL"/>
        </w:rPr>
        <w:t>Zyra e Mbrojtjes nga R</w:t>
      </w:r>
      <w:r w:rsidR="0041767D" w:rsidRPr="00795698">
        <w:rPr>
          <w:lang w:val="sq-AL"/>
        </w:rPr>
        <w:t>r</w:t>
      </w:r>
      <w:r w:rsidR="00BA71A1" w:rsidRPr="00795698">
        <w:rPr>
          <w:lang w:val="sq-AL"/>
        </w:rPr>
        <w:t>ezatimit</w:t>
      </w:r>
    </w:p>
    <w:p w14:paraId="5FEEF487" w14:textId="56CD9E15" w:rsidR="00BA71A1" w:rsidRPr="00795698" w:rsidRDefault="009A15B3" w:rsidP="00BA71A1">
      <w:pPr>
        <w:pStyle w:val="TEKSTIIIII"/>
        <w:rPr>
          <w:lang w:val="sq-AL"/>
        </w:rPr>
      </w:pPr>
      <w:r w:rsidRPr="00795698">
        <w:rPr>
          <w:lang w:val="sq-AL"/>
        </w:rPr>
        <w:t xml:space="preserve">DPSHP </w:t>
      </w:r>
      <w:r w:rsidRPr="00795698">
        <w:rPr>
          <w:lang w:val="sq-AL"/>
        </w:rPr>
        <w:tab/>
      </w:r>
      <w:r w:rsidR="00BA71A1" w:rsidRPr="00795698">
        <w:rPr>
          <w:lang w:val="sq-AL"/>
        </w:rPr>
        <w:t xml:space="preserve">Drejtoria e </w:t>
      </w:r>
      <w:r w:rsidR="0041767D" w:rsidRPr="00795698">
        <w:rPr>
          <w:lang w:val="sq-AL"/>
        </w:rPr>
        <w:t>Përgjithshme</w:t>
      </w:r>
      <w:r w:rsidR="00BA71A1" w:rsidRPr="00795698">
        <w:rPr>
          <w:lang w:val="sq-AL"/>
        </w:rPr>
        <w:t xml:space="preserve"> e Shërbimit të Provës </w:t>
      </w:r>
    </w:p>
    <w:p w14:paraId="5FEEF488" w14:textId="27EDB21C" w:rsidR="00BA71A1" w:rsidRPr="00795698" w:rsidRDefault="009A15B3" w:rsidP="00BA71A1">
      <w:pPr>
        <w:pStyle w:val="TEKSTIIIII"/>
        <w:rPr>
          <w:lang w:val="sq-AL"/>
        </w:rPr>
      </w:pPr>
      <w:r w:rsidRPr="00795698">
        <w:rPr>
          <w:lang w:val="sq-AL"/>
        </w:rPr>
        <w:t xml:space="preserve">SHKBB </w:t>
      </w:r>
      <w:r w:rsidRPr="00795698">
        <w:rPr>
          <w:lang w:val="sq-AL"/>
        </w:rPr>
        <w:tab/>
      </w:r>
      <w:r w:rsidR="00BA71A1" w:rsidRPr="00795698">
        <w:rPr>
          <w:lang w:val="sq-AL"/>
        </w:rPr>
        <w:t>Shërbimi i Kontrolli të Brendshëm të Burgjeve</w:t>
      </w:r>
    </w:p>
    <w:p w14:paraId="5FEEF489" w14:textId="1B706A02" w:rsidR="00BA71A1" w:rsidRPr="00795698" w:rsidRDefault="009A15B3" w:rsidP="00BA71A1">
      <w:pPr>
        <w:pStyle w:val="TEKSTIIIII"/>
        <w:rPr>
          <w:lang w:val="sq-AL"/>
        </w:rPr>
      </w:pPr>
      <w:r w:rsidRPr="00795698">
        <w:rPr>
          <w:lang w:val="sq-AL"/>
        </w:rPr>
        <w:t xml:space="preserve">QKPK </w:t>
      </w:r>
      <w:r w:rsidRPr="00795698">
        <w:rPr>
          <w:lang w:val="sq-AL"/>
        </w:rPr>
        <w:tab/>
      </w:r>
      <w:r w:rsidR="00BA71A1" w:rsidRPr="00795698">
        <w:rPr>
          <w:lang w:val="sq-AL"/>
        </w:rPr>
        <w:t>Qendra e Parandalimit të Krimeve të të Rinjve dhe të Miturve</w:t>
      </w:r>
    </w:p>
    <w:p w14:paraId="5FEEF48A" w14:textId="7C58964D" w:rsidR="00BA71A1" w:rsidRPr="00795698" w:rsidRDefault="009A15B3" w:rsidP="00BA71A1">
      <w:pPr>
        <w:pStyle w:val="TEKSTIIIII"/>
        <w:rPr>
          <w:lang w:val="sq-AL"/>
        </w:rPr>
      </w:pPr>
      <w:r w:rsidRPr="00795698">
        <w:rPr>
          <w:lang w:val="sq-AL"/>
        </w:rPr>
        <w:t xml:space="preserve">SHK </w:t>
      </w:r>
      <w:r w:rsidRPr="00795698">
        <w:rPr>
          <w:lang w:val="sq-AL"/>
        </w:rPr>
        <w:tab/>
      </w:r>
      <w:r w:rsidR="00BA71A1" w:rsidRPr="00795698">
        <w:rPr>
          <w:lang w:val="sq-AL"/>
        </w:rPr>
        <w:t>Shkolla e Magjistraturës</w:t>
      </w:r>
      <w:r w:rsidR="007C064A" w:rsidRPr="00795698">
        <w:rPr>
          <w:lang w:val="sq-AL"/>
        </w:rPr>
        <w:t xml:space="preserve"> </w:t>
      </w:r>
    </w:p>
    <w:p w14:paraId="5FEEF48B" w14:textId="0878071A" w:rsidR="00BA71A1" w:rsidRPr="00795698" w:rsidRDefault="009A15B3" w:rsidP="00BA71A1">
      <w:pPr>
        <w:pStyle w:val="TEKSTIIIII"/>
        <w:rPr>
          <w:lang w:val="sq-AL"/>
        </w:rPr>
      </w:pPr>
      <w:r w:rsidRPr="00795698">
        <w:rPr>
          <w:lang w:val="sq-AL"/>
        </w:rPr>
        <w:t xml:space="preserve">SPAK </w:t>
      </w:r>
      <w:r w:rsidRPr="00795698">
        <w:rPr>
          <w:lang w:val="sq-AL"/>
        </w:rPr>
        <w:tab/>
      </w:r>
      <w:r w:rsidR="00BA71A1" w:rsidRPr="00795698">
        <w:rPr>
          <w:lang w:val="sq-AL"/>
        </w:rPr>
        <w:t xml:space="preserve">Struktura e Posaçme </w:t>
      </w:r>
      <w:r w:rsidR="0041767D" w:rsidRPr="00795698">
        <w:rPr>
          <w:lang w:val="sq-AL"/>
        </w:rPr>
        <w:t>k</w:t>
      </w:r>
      <w:r w:rsidR="00BA71A1" w:rsidRPr="00795698">
        <w:rPr>
          <w:lang w:val="sq-AL"/>
        </w:rPr>
        <w:t>undër Korrupsionit dhe Krimit të Organizuar</w:t>
      </w:r>
    </w:p>
    <w:p w14:paraId="0D042880" w14:textId="61137EB8" w:rsidR="0041767D" w:rsidRPr="00795698" w:rsidRDefault="00BA71A1" w:rsidP="0041767D">
      <w:pPr>
        <w:pStyle w:val="TEKSTIIIII"/>
        <w:rPr>
          <w:lang w:val="sq-AL"/>
        </w:rPr>
      </w:pPr>
      <w:r w:rsidRPr="00795698">
        <w:rPr>
          <w:lang w:val="sq-AL"/>
        </w:rPr>
        <w:t>AS</w:t>
      </w:r>
      <w:r w:rsidR="007C064A" w:rsidRPr="00795698">
        <w:rPr>
          <w:lang w:val="sq-AL"/>
        </w:rPr>
        <w:t xml:space="preserve"> </w:t>
      </w:r>
      <w:r w:rsidR="009A15B3" w:rsidRPr="00795698">
        <w:rPr>
          <w:lang w:val="sq-AL"/>
        </w:rPr>
        <w:tab/>
      </w:r>
      <w:r w:rsidR="009A15B3" w:rsidRPr="00795698">
        <w:rPr>
          <w:lang w:val="sq-AL"/>
        </w:rPr>
        <w:tab/>
      </w:r>
      <w:r w:rsidRPr="00795698">
        <w:rPr>
          <w:lang w:val="sq-AL"/>
        </w:rPr>
        <w:t>Akademia e Sigurisë</w:t>
      </w:r>
      <w:bookmarkStart w:id="3" w:name="_Toc108644249"/>
    </w:p>
    <w:p w14:paraId="566805EB" w14:textId="77777777" w:rsidR="0041767D" w:rsidRPr="00795698" w:rsidRDefault="0041767D" w:rsidP="0041767D">
      <w:pPr>
        <w:pStyle w:val="TEKSTIIIII"/>
        <w:rPr>
          <w:lang w:val="sq-AL"/>
        </w:rPr>
      </w:pPr>
    </w:p>
    <w:p w14:paraId="5FEEF48E" w14:textId="3439D68C" w:rsidR="00983C07" w:rsidRPr="00795698" w:rsidRDefault="00983C07" w:rsidP="0041767D">
      <w:pPr>
        <w:pStyle w:val="TEKSTIIIII"/>
        <w:rPr>
          <w:color w:val="auto"/>
          <w:szCs w:val="24"/>
          <w:lang w:val="sq-AL"/>
        </w:rPr>
      </w:pPr>
      <w:r w:rsidRPr="00795698">
        <w:rPr>
          <w:color w:val="auto"/>
          <w:szCs w:val="24"/>
          <w:lang w:val="sq-AL"/>
        </w:rPr>
        <w:t>PËRKUFIZIME</w:t>
      </w:r>
      <w:bookmarkEnd w:id="3"/>
      <w:r w:rsidRPr="00795698">
        <w:rPr>
          <w:color w:val="auto"/>
          <w:szCs w:val="24"/>
          <w:lang w:val="sq-AL"/>
        </w:rPr>
        <w:t xml:space="preserve"> </w:t>
      </w:r>
    </w:p>
    <w:p w14:paraId="5FEEF48F" w14:textId="77777777" w:rsidR="00983C07" w:rsidRPr="00795698" w:rsidRDefault="00983C07" w:rsidP="00983C07">
      <w:pPr>
        <w:ind w:firstLine="284"/>
        <w:jc w:val="both"/>
        <w:rPr>
          <w:rFonts w:ascii="Garamond" w:eastAsia="Calibri" w:hAnsi="Garamond"/>
        </w:rPr>
      </w:pPr>
      <w:r w:rsidRPr="00795698">
        <w:rPr>
          <w:rFonts w:ascii="Garamond" w:hAnsi="Garamond"/>
          <w:b/>
        </w:rPr>
        <w:t>Ekstremizëm i dhunshëm,</w:t>
      </w:r>
      <w:r w:rsidRPr="00795698">
        <w:rPr>
          <w:rFonts w:ascii="Garamond" w:hAnsi="Garamond"/>
        </w:rPr>
        <w:t xml:space="preserve"> lidhet me ato besime dhe veprime që mbështesin ose përdorin dhunën e motivuar ideologjikisht për të ngulitur pikëpamje ideologjike, fetare ose politike radikale tek të tjerët. Ekstremizmi i dhunshëm është ai proces i adoptimit të pikëpamjeve radikale (politike, ideologjike ose fetare) dhe kthimit të tyre në veprime të dhunshme </w:t>
      </w:r>
      <w:r w:rsidRPr="00795698">
        <w:rPr>
          <w:rFonts w:ascii="Garamond" w:eastAsia="Calibri" w:hAnsi="Garamond"/>
        </w:rPr>
        <w:t xml:space="preserve">nëpërmjet kërcënimit, nxitjes, inkurajimit bazuar në baza ideologjike më synimin për të shkaktuar frikë dhe pasiguri. </w:t>
      </w:r>
    </w:p>
    <w:p w14:paraId="5FEEF490" w14:textId="77777777" w:rsidR="00983C07" w:rsidRPr="00795698" w:rsidRDefault="00983C07" w:rsidP="00983C07">
      <w:pPr>
        <w:ind w:firstLine="284"/>
        <w:jc w:val="both"/>
        <w:rPr>
          <w:rFonts w:ascii="Garamond" w:hAnsi="Garamond"/>
        </w:rPr>
      </w:pPr>
      <w:r w:rsidRPr="00795698">
        <w:rPr>
          <w:rFonts w:ascii="Garamond" w:hAnsi="Garamond"/>
          <w:b/>
        </w:rPr>
        <w:t>Faktorët shtytës</w:t>
      </w:r>
      <w:r w:rsidRPr="00795698">
        <w:rPr>
          <w:rFonts w:ascii="Garamond" w:hAnsi="Garamond"/>
        </w:rPr>
        <w:t xml:space="preserve"> janë kushtet e favorshme për ekstremizmin e dhunshëm dhe konteksti strukturor nga i cili ai krijohet ku përfshihen: mungesa e mundësive socio-ekonomike; margjinalizimi dhe diskriminimi; qeverisja e dobët, shkeljet e të drejtave të njeriut dhe sundimit të ligjit; konfliktet e zgjatura dhe të pazgjidhura; dhe radikalizimi në burgje.</w:t>
      </w:r>
    </w:p>
    <w:p w14:paraId="5FEEF491" w14:textId="77777777" w:rsidR="00983C07" w:rsidRPr="00795698" w:rsidRDefault="00983C07" w:rsidP="00983C07">
      <w:pPr>
        <w:ind w:firstLine="284"/>
        <w:jc w:val="both"/>
        <w:rPr>
          <w:rFonts w:ascii="Garamond" w:hAnsi="Garamond"/>
        </w:rPr>
      </w:pPr>
      <w:r w:rsidRPr="00795698">
        <w:rPr>
          <w:rFonts w:ascii="Garamond" w:hAnsi="Garamond"/>
          <w:b/>
        </w:rPr>
        <w:t>Faktorët tërheqës</w:t>
      </w:r>
      <w:r w:rsidRPr="00795698">
        <w:rPr>
          <w:rFonts w:ascii="Garamond" w:hAnsi="Garamond"/>
        </w:rPr>
        <w:t xml:space="preserve"> janë motivet dhe proceset individuale, të cilat luajnë një rol kyç në transformimin e ideve dhe pakënaqësive në veprime të dhunshme ekstremiste. Këto përfshijnë: motive individuale; pakënaqësitë kolektive dhe viktimizimi që rrjedhin nga dominimi, shtypja, </w:t>
      </w:r>
      <w:r w:rsidRPr="00795698">
        <w:rPr>
          <w:rFonts w:ascii="Garamond" w:hAnsi="Garamond"/>
        </w:rPr>
        <w:lastRenderedPageBreak/>
        <w:t>nënshtrimi ose ndërhyrja e huaj; shtrembërimi dhe keqpërdorimi i besimeve, ideologjive politike dhe dallimeve etnike dhe kulturore; lidershipi dhe rrjetet sociale.</w:t>
      </w:r>
    </w:p>
    <w:p w14:paraId="5FEEF492" w14:textId="2367C05C" w:rsidR="00983C07" w:rsidRPr="00795698" w:rsidRDefault="00983C07" w:rsidP="00983C07">
      <w:pPr>
        <w:ind w:firstLine="284"/>
        <w:jc w:val="both"/>
        <w:rPr>
          <w:rFonts w:ascii="Garamond" w:hAnsi="Garamond"/>
        </w:rPr>
      </w:pPr>
      <w:r w:rsidRPr="00795698">
        <w:rPr>
          <w:rFonts w:ascii="Garamond" w:hAnsi="Garamond"/>
          <w:b/>
        </w:rPr>
        <w:t>Parandalimi dhe kundërshtimi i ekstremizmi i dhunshëm</w:t>
      </w:r>
      <w:r w:rsidRPr="00795698">
        <w:rPr>
          <w:rFonts w:ascii="Garamond" w:hAnsi="Garamond"/>
        </w:rPr>
        <w:t xml:space="preserve"> përfshin ndjekjen e një gamë të gjerë të aktiviteteve nga qeveritë dhe entitete të tjera për të parandaluar radikalizimin, të cilat</w:t>
      </w:r>
      <w:r w:rsidR="007C064A" w:rsidRPr="00795698">
        <w:rPr>
          <w:rFonts w:ascii="Garamond" w:hAnsi="Garamond"/>
        </w:rPr>
        <w:t xml:space="preserve"> </w:t>
      </w:r>
      <w:r w:rsidRPr="00795698">
        <w:rPr>
          <w:rFonts w:ascii="Garamond" w:hAnsi="Garamond"/>
        </w:rPr>
        <w:t>në përgjithësi përfshijnë mesazhe përmes kanaleve të ndryshme më konvencionale si dhe të mediave sociale; angazhimin dhe përfshirjen e komunitetit përmes të gjitha mjeteve të disponueshme, si tryeza të rrumbullakëta ose diskutimeve të mekanizmave këshillimorë; ngritjen e kapaciteteve, me fokus veçanërisht të rinjtë dhe gratë, së bashku me iniciativat e tjera për zhvillimin, sigurinë dhe mbrojtjen e komunitetit; edukimin dhe trajnimin për një gamë të gjerë aktorësh, duke përfshirë përfaqësues të komunitetit dhe zyrtarët e zbatimit të ligjit.</w:t>
      </w:r>
    </w:p>
    <w:p w14:paraId="5FEEF493" w14:textId="77777777" w:rsidR="00983C07" w:rsidRPr="00795698" w:rsidRDefault="00983C07" w:rsidP="00983C07">
      <w:pPr>
        <w:ind w:firstLine="284"/>
        <w:jc w:val="both"/>
        <w:rPr>
          <w:rFonts w:ascii="Garamond" w:eastAsia="Calibri" w:hAnsi="Garamond"/>
        </w:rPr>
      </w:pPr>
      <w:r w:rsidRPr="00795698">
        <w:rPr>
          <w:rFonts w:ascii="Garamond" w:eastAsia="Calibri" w:hAnsi="Garamond"/>
          <w:b/>
        </w:rPr>
        <w:t>Radikalizmi i dhunshëm</w:t>
      </w:r>
      <w:r w:rsidRPr="00795698">
        <w:rPr>
          <w:rFonts w:ascii="Garamond" w:eastAsia="Calibri" w:hAnsi="Garamond"/>
        </w:rPr>
        <w:t>, përbën kërcënim për shoqërinë kur lidhet me dhunën apo veprime të tjera të paligjshme,</w:t>
      </w:r>
      <w:r w:rsidRPr="00795698">
        <w:rPr>
          <w:rFonts w:ascii="Garamond" w:hAnsi="Garamond"/>
        </w:rPr>
        <w:t xml:space="preserve"> </w:t>
      </w:r>
      <w:r w:rsidRPr="00795698">
        <w:rPr>
          <w:rFonts w:ascii="Garamond" w:eastAsia="Calibri" w:hAnsi="Garamond"/>
        </w:rPr>
        <w:t>nëpërmjet metodave jo demokratike për të shkaktuar ndryshime të thella në shoqëri të cilat mund të përbëjnë rrezik për ekzistencën e sigurisë dhe rendit demokratik.</w:t>
      </w:r>
    </w:p>
    <w:p w14:paraId="5FEEF494" w14:textId="2BC262F6" w:rsidR="00983C07" w:rsidRPr="00795698" w:rsidRDefault="00983C07" w:rsidP="00983C07">
      <w:pPr>
        <w:ind w:firstLine="284"/>
        <w:jc w:val="both"/>
        <w:rPr>
          <w:rFonts w:ascii="Garamond" w:hAnsi="Garamond"/>
        </w:rPr>
      </w:pPr>
      <w:r w:rsidRPr="00795698">
        <w:rPr>
          <w:rFonts w:ascii="Garamond" w:hAnsi="Garamond"/>
          <w:b/>
        </w:rPr>
        <w:t>Kundëradikalizimi,</w:t>
      </w:r>
      <w:r w:rsidRPr="00795698">
        <w:rPr>
          <w:rFonts w:ascii="Garamond" w:hAnsi="Garamond"/>
        </w:rPr>
        <w:t xml:space="preserve"> tërësia e nismave konkrete shtetërore dhe publike, politikave dhe strategjive me qëllim parandalimin e radikalizimit të individëve dhe grupeve si edhe për ndërprerjen dhe financimin e kryerjes ose planifikimit të kryerjes së akteve të dhunës duke u bazuar në terma ideologjike, programe sociale, politike, ligjore, arsimore dhe ekonomike të hartuara posaçërisht për t</w:t>
      </w:r>
      <w:r w:rsidR="0041767D" w:rsidRPr="00795698">
        <w:rPr>
          <w:rFonts w:ascii="Garamond" w:hAnsi="Garamond"/>
        </w:rPr>
        <w:t>’</w:t>
      </w:r>
      <w:r w:rsidRPr="00795698">
        <w:rPr>
          <w:rFonts w:ascii="Garamond" w:hAnsi="Garamond"/>
        </w:rPr>
        <w:t>i frenuar individët e pakënaqur (dhe ndoshta të radikalizuar) që të angazhohen në veprimtari terroriste.</w:t>
      </w:r>
    </w:p>
    <w:p w14:paraId="5FEEF495" w14:textId="5AB94461" w:rsidR="00983C07" w:rsidRPr="00795698" w:rsidRDefault="00983C07" w:rsidP="00983C07">
      <w:pPr>
        <w:spacing w:before="14"/>
        <w:ind w:firstLine="284"/>
        <w:jc w:val="both"/>
        <w:rPr>
          <w:rFonts w:ascii="Garamond" w:hAnsi="Garamond"/>
          <w:bCs/>
          <w:color w:val="000000"/>
        </w:rPr>
      </w:pPr>
      <w:r w:rsidRPr="00795698">
        <w:rPr>
          <w:rFonts w:ascii="Garamond" w:hAnsi="Garamond"/>
          <w:b/>
          <w:bCs/>
          <w:color w:val="000000"/>
        </w:rPr>
        <w:t>Terrorizëm</w:t>
      </w:r>
      <w:r w:rsidRPr="00795698">
        <w:rPr>
          <w:rFonts w:ascii="Garamond" w:hAnsi="Garamond"/>
          <w:bCs/>
          <w:color w:val="000000"/>
        </w:rPr>
        <w:t xml:space="preserve">, akt i qëllimshëm që mund të dëmtojë seriozisht një vend apo një organizatë ndërkombëtare, i kryer me qëllimin shkaktimin e frikës së madhe te popullata, duke detyruar në mënyrë të pandershme një qeveri apo organizatë ndërkombëtare të kryejë apo të mos kryejë një veprim, duke destabilizuar seriozisht apo duke shkatërruar strukturat bazë politike, kushtetuese, ekonomike apo sociale me anë të atentateve ndaj jetës së personit, sulmeve ndaj integritetit fizik të një personi, rrëmbimit, marrjes peng të njerëzve, avionëve apo anijeve, ose me anë të prodhimit, mbajtjes apo transportit të armëve dhe lëndëve shpërthyese. </w:t>
      </w:r>
    </w:p>
    <w:p w14:paraId="5FEEF496" w14:textId="5E3FAAF8" w:rsidR="00983C07" w:rsidRPr="00795698" w:rsidRDefault="00C62D65" w:rsidP="00983C07">
      <w:pPr>
        <w:spacing w:before="14"/>
        <w:ind w:firstLine="284"/>
        <w:jc w:val="both"/>
        <w:rPr>
          <w:rFonts w:ascii="Garamond" w:hAnsi="Garamond"/>
          <w:bCs/>
          <w:color w:val="000000"/>
        </w:rPr>
      </w:pPr>
      <w:r w:rsidRPr="00795698">
        <w:rPr>
          <w:rFonts w:ascii="Garamond" w:hAnsi="Garamond"/>
          <w:b/>
          <w:bCs/>
          <w:color w:val="000000"/>
        </w:rPr>
        <w:t>Kundër</w:t>
      </w:r>
      <w:r w:rsidR="00983C07" w:rsidRPr="00795698">
        <w:rPr>
          <w:rFonts w:ascii="Garamond" w:hAnsi="Garamond"/>
          <w:b/>
          <w:bCs/>
          <w:color w:val="000000"/>
        </w:rPr>
        <w:t>terrorizëm,</w:t>
      </w:r>
      <w:r w:rsidR="00983C07" w:rsidRPr="00795698">
        <w:rPr>
          <w:rFonts w:ascii="Garamond" w:hAnsi="Garamond"/>
          <w:bCs/>
          <w:color w:val="000000"/>
        </w:rPr>
        <w:t xml:space="preserve"> të gjitha masat që synojnë pengimin e akteve terroriste dhe goditjen e organizatave terroriste. Ky koncept përfshin arrestimin e anëtarëve të dyshuar, ndërprerjen e sulmeve terroriste, të rekrutimit, të propagandës, të udhëtimit dhe logjistikës së personave të angazhuar në veprimtari me qëllime terroriste, financimin e terrorizmit, mbrojtjen e objektivave të mundshëm nga aktet terroriste, si dhe mbledhjen dhe shkëmbimin e të dhënave/informacioneve në nivel ndërinstitucional dhe me vendet e huaja. Kundërterrorizmi është përgjegjësi kryesore e agjencive ligjizbatuese, agjencive të inteligjencës dhe – në disa raste – shërbimeve të inteligjencës së forcave të armatosura. </w:t>
      </w:r>
    </w:p>
    <w:p w14:paraId="5FEEF497" w14:textId="77777777" w:rsidR="00983C07" w:rsidRPr="00795698" w:rsidRDefault="00983C07" w:rsidP="00983C07">
      <w:pPr>
        <w:ind w:firstLine="284"/>
        <w:jc w:val="both"/>
        <w:rPr>
          <w:rFonts w:ascii="Garamond" w:hAnsi="Garamond"/>
          <w:vertAlign w:val="superscript"/>
        </w:rPr>
      </w:pPr>
      <w:r w:rsidRPr="00795698">
        <w:rPr>
          <w:rFonts w:ascii="Garamond" w:hAnsi="Garamond"/>
          <w:b/>
        </w:rPr>
        <w:t>Luftëtarë të huaj terroristë</w:t>
      </w:r>
      <w:r w:rsidRPr="00795698">
        <w:rPr>
          <w:rFonts w:ascii="Garamond" w:hAnsi="Garamond"/>
        </w:rPr>
        <w:t>, individë të cilët udhëtojnë drejt një shteti që nuk është shteti i tyre, i qëndrimit apo nënshtetësisë, me qëllim kryerjen, planifikimin, përgatitjen apo pjesëmarrjen në akte terroriste ose ofrimin a përftimin e trajnimit terrorist, qoftë ai edhe në lidhje me një konflikt të armatosur</w:t>
      </w:r>
      <w:r w:rsidRPr="00795698">
        <w:rPr>
          <w:rFonts w:ascii="Garamond" w:hAnsi="Garamond"/>
          <w:vertAlign w:val="superscript"/>
        </w:rPr>
        <w:t>.</w:t>
      </w:r>
    </w:p>
    <w:p w14:paraId="5FEEF498" w14:textId="20361C9D" w:rsidR="00983C07" w:rsidRPr="00795698" w:rsidRDefault="00983C07" w:rsidP="00983C07">
      <w:pPr>
        <w:ind w:firstLine="284"/>
        <w:jc w:val="both"/>
        <w:rPr>
          <w:rFonts w:ascii="Garamond" w:hAnsi="Garamond"/>
        </w:rPr>
      </w:pPr>
      <w:r w:rsidRPr="00795698">
        <w:rPr>
          <w:rFonts w:ascii="Garamond" w:hAnsi="Garamond"/>
          <w:b/>
        </w:rPr>
        <w:t>Parandalimi i ekstremizmit të dhunshëm dhe terrorizmit</w:t>
      </w:r>
      <w:r w:rsidRPr="00795698">
        <w:rPr>
          <w:rFonts w:ascii="Garamond" w:hAnsi="Garamond"/>
        </w:rPr>
        <w:t xml:space="preserve"> </w:t>
      </w:r>
      <w:r w:rsidR="0041767D" w:rsidRPr="00795698">
        <w:rPr>
          <w:rFonts w:ascii="Garamond" w:hAnsi="Garamond"/>
        </w:rPr>
        <w:t>–</w:t>
      </w:r>
      <w:r w:rsidRPr="00795698">
        <w:rPr>
          <w:rFonts w:ascii="Garamond" w:hAnsi="Garamond"/>
        </w:rPr>
        <w:t xml:space="preserve"> </w:t>
      </w:r>
      <w:r w:rsidR="0041767D" w:rsidRPr="00795698">
        <w:rPr>
          <w:rFonts w:ascii="Garamond" w:hAnsi="Garamond"/>
        </w:rPr>
        <w:t>t</w:t>
      </w:r>
      <w:r w:rsidRPr="00795698">
        <w:rPr>
          <w:rFonts w:ascii="Garamond" w:hAnsi="Garamond"/>
        </w:rPr>
        <w:t>ërësia</w:t>
      </w:r>
      <w:r w:rsidR="0041767D" w:rsidRPr="00795698">
        <w:rPr>
          <w:rFonts w:ascii="Garamond" w:hAnsi="Garamond"/>
        </w:rPr>
        <w:t xml:space="preserve"> </w:t>
      </w:r>
      <w:r w:rsidRPr="00795698">
        <w:rPr>
          <w:rFonts w:ascii="Garamond" w:hAnsi="Garamond"/>
        </w:rPr>
        <w:t>e masave dhe përpjekjeve operacionale si kundërpërgjigje ndaj përhapjes së ideve, mesazheve, ideologjive ekstremiste.</w:t>
      </w:r>
    </w:p>
    <w:p w14:paraId="5FEEF499" w14:textId="1A7DA126" w:rsidR="00983C07" w:rsidRPr="00795698" w:rsidRDefault="00983C07" w:rsidP="00983C07">
      <w:pPr>
        <w:ind w:firstLine="284"/>
        <w:jc w:val="both"/>
        <w:rPr>
          <w:rFonts w:ascii="Garamond" w:hAnsi="Garamond"/>
          <w:lang w:eastAsia="sq-AL"/>
        </w:rPr>
      </w:pPr>
      <w:r w:rsidRPr="00795698">
        <w:rPr>
          <w:rFonts w:ascii="Garamond" w:hAnsi="Garamond"/>
          <w:b/>
          <w:bCs/>
          <w:lang w:eastAsia="sq-AL"/>
        </w:rPr>
        <w:t>Reagimi ndaj terrorizmit</w:t>
      </w:r>
      <w:r w:rsidR="0041767D" w:rsidRPr="00795698">
        <w:rPr>
          <w:rFonts w:ascii="Garamond" w:hAnsi="Garamond"/>
          <w:b/>
          <w:bCs/>
          <w:lang w:eastAsia="sq-AL"/>
        </w:rPr>
        <w:t xml:space="preserve"> </w:t>
      </w:r>
      <w:r w:rsidRPr="00795698">
        <w:rPr>
          <w:rFonts w:ascii="Garamond" w:hAnsi="Garamond"/>
          <w:b/>
          <w:bCs/>
          <w:lang w:eastAsia="sq-AL"/>
        </w:rPr>
        <w:t>–</w:t>
      </w:r>
      <w:r w:rsidR="0041767D" w:rsidRPr="00795698">
        <w:rPr>
          <w:rFonts w:ascii="Garamond" w:hAnsi="Garamond"/>
          <w:b/>
          <w:bCs/>
          <w:lang w:eastAsia="sq-AL"/>
        </w:rPr>
        <w:t xml:space="preserve"> </w:t>
      </w:r>
      <w:r w:rsidR="0041767D" w:rsidRPr="00795698">
        <w:rPr>
          <w:rFonts w:ascii="Garamond" w:hAnsi="Garamond"/>
          <w:lang w:eastAsia="sq-AL"/>
        </w:rPr>
        <w:t>p</w:t>
      </w:r>
      <w:r w:rsidRPr="00795698">
        <w:rPr>
          <w:rFonts w:ascii="Garamond" w:hAnsi="Garamond"/>
          <w:lang w:eastAsia="sq-AL"/>
        </w:rPr>
        <w:t>olitika dhe masa efikase dhe efektive për të parandaluar kryerjen e çfarëdo akti terrorizmi dhe për t</w:t>
      </w:r>
      <w:r w:rsidR="0041767D" w:rsidRPr="00795698">
        <w:rPr>
          <w:rFonts w:ascii="Garamond" w:hAnsi="Garamond"/>
          <w:lang w:eastAsia="sq-AL"/>
        </w:rPr>
        <w:t>’</w:t>
      </w:r>
      <w:r w:rsidRPr="00795698">
        <w:rPr>
          <w:rFonts w:ascii="Garamond" w:hAnsi="Garamond"/>
          <w:lang w:eastAsia="sq-AL"/>
        </w:rPr>
        <w:t xml:space="preserve">iu përgjigjur sulmeve të tilla. </w:t>
      </w:r>
    </w:p>
    <w:p w14:paraId="5FEEF49A" w14:textId="508995EC" w:rsidR="00983C07" w:rsidRPr="00795698" w:rsidRDefault="00983C07" w:rsidP="00983C07">
      <w:pPr>
        <w:ind w:firstLine="284"/>
        <w:jc w:val="both"/>
        <w:rPr>
          <w:rFonts w:ascii="Garamond" w:eastAsia="Calibri" w:hAnsi="Garamond"/>
          <w:b/>
          <w:bCs/>
          <w:lang w:eastAsia="sq-AL"/>
        </w:rPr>
      </w:pPr>
      <w:r w:rsidRPr="00795698">
        <w:rPr>
          <w:rFonts w:ascii="Garamond" w:hAnsi="Garamond"/>
          <w:b/>
          <w:bCs/>
          <w:lang w:eastAsia="sq-AL"/>
        </w:rPr>
        <w:t>Financimi i terrorizmit</w:t>
      </w:r>
      <w:r w:rsidR="0041767D" w:rsidRPr="00795698">
        <w:rPr>
          <w:rFonts w:ascii="Garamond" w:hAnsi="Garamond"/>
          <w:b/>
          <w:bCs/>
          <w:lang w:eastAsia="sq-AL"/>
        </w:rPr>
        <w:t xml:space="preserve"> </w:t>
      </w:r>
      <w:r w:rsidRPr="00795698">
        <w:rPr>
          <w:rFonts w:ascii="Garamond" w:hAnsi="Garamond"/>
          <w:b/>
          <w:bCs/>
          <w:lang w:eastAsia="sq-AL"/>
        </w:rPr>
        <w:t>–</w:t>
      </w:r>
      <w:r w:rsidR="0041767D" w:rsidRPr="00795698">
        <w:rPr>
          <w:rFonts w:ascii="Garamond" w:hAnsi="Garamond"/>
          <w:b/>
          <w:bCs/>
          <w:lang w:eastAsia="sq-AL"/>
        </w:rPr>
        <w:t xml:space="preserve"> </w:t>
      </w:r>
      <w:r w:rsidR="0041767D" w:rsidRPr="00795698">
        <w:rPr>
          <w:rFonts w:ascii="Garamond" w:hAnsi="Garamond"/>
          <w:lang w:eastAsia="sq-AL"/>
        </w:rPr>
        <w:t>s</w:t>
      </w:r>
      <w:r w:rsidRPr="00795698">
        <w:rPr>
          <w:rFonts w:ascii="Garamond" w:hAnsi="Garamond"/>
          <w:lang w:eastAsia="sq-AL"/>
        </w:rPr>
        <w:t>igurimi dhe grumbullimi i fondeve në mënyrë të drejtpërdrejtë ose të tërthortë, të paligjshme dhe më dashje, me synimin për t</w:t>
      </w:r>
      <w:r w:rsidR="00C62D65" w:rsidRPr="00795698">
        <w:rPr>
          <w:rFonts w:ascii="Garamond" w:hAnsi="Garamond"/>
          <w:lang w:eastAsia="sq-AL"/>
        </w:rPr>
        <w:t>’</w:t>
      </w:r>
      <w:r w:rsidRPr="00795698">
        <w:rPr>
          <w:rFonts w:ascii="Garamond" w:hAnsi="Garamond"/>
          <w:lang w:eastAsia="sq-AL"/>
        </w:rPr>
        <w:t>u përdorur ose duke ditur se do përdoren plotësisht ose pjesërisht për të kryer vepra terroriste nga një person i vetëm ose organizate terroriste, në shkelje të konventave dhe traktateve kundër terrorizmit</w:t>
      </w:r>
      <w:r w:rsidRPr="00795698">
        <w:rPr>
          <w:rFonts w:ascii="Garamond" w:hAnsi="Garamond"/>
          <w:b/>
          <w:bCs/>
          <w:lang w:eastAsia="sq-AL"/>
        </w:rPr>
        <w:t xml:space="preserve">. </w:t>
      </w:r>
    </w:p>
    <w:p w14:paraId="5FEEF49B" w14:textId="63D6B386" w:rsidR="00983C07" w:rsidRPr="00795698" w:rsidRDefault="00983C07" w:rsidP="00983C07">
      <w:pPr>
        <w:ind w:firstLine="284"/>
        <w:jc w:val="both"/>
        <w:rPr>
          <w:rFonts w:ascii="Garamond" w:eastAsia="Calibri" w:hAnsi="Garamond"/>
          <w:lang w:eastAsia="sq-AL"/>
        </w:rPr>
      </w:pPr>
      <w:r w:rsidRPr="00795698">
        <w:rPr>
          <w:rFonts w:ascii="Garamond" w:hAnsi="Garamond"/>
          <w:b/>
          <w:bCs/>
          <w:lang w:eastAsia="sq-AL"/>
        </w:rPr>
        <w:lastRenderedPageBreak/>
        <w:t>Hetimi i financimit të terrorizmit</w:t>
      </w:r>
      <w:r w:rsidR="009C4DC2" w:rsidRPr="00795698">
        <w:rPr>
          <w:rFonts w:ascii="Garamond" w:hAnsi="Garamond"/>
          <w:b/>
          <w:bCs/>
          <w:lang w:eastAsia="sq-AL"/>
        </w:rPr>
        <w:t xml:space="preserve"> </w:t>
      </w:r>
      <w:r w:rsidRPr="00795698">
        <w:rPr>
          <w:rFonts w:ascii="Garamond" w:hAnsi="Garamond"/>
          <w:lang w:eastAsia="sq-AL"/>
        </w:rPr>
        <w:t>–</w:t>
      </w:r>
      <w:r w:rsidR="009C4DC2" w:rsidRPr="00795698">
        <w:rPr>
          <w:rFonts w:ascii="Garamond" w:hAnsi="Garamond"/>
          <w:lang w:eastAsia="sq-AL"/>
        </w:rPr>
        <w:t xml:space="preserve"> h</w:t>
      </w:r>
      <w:r w:rsidRPr="00795698">
        <w:rPr>
          <w:rFonts w:ascii="Garamond" w:hAnsi="Garamond"/>
          <w:lang w:eastAsia="sq-AL"/>
        </w:rPr>
        <w:t xml:space="preserve">etimi i veprimtarisë për dhënien, grumbullimin dhe tjetërsimin fondeve, me çdo mjet, në mënyrë të drejtpërdrejtë ose të tërthortë për të mbështetur veprimtari terroriste. </w:t>
      </w:r>
    </w:p>
    <w:p w14:paraId="5FEEF49C" w14:textId="77777777" w:rsidR="00983C07" w:rsidRPr="00795698" w:rsidRDefault="00983C07" w:rsidP="00983C07">
      <w:pPr>
        <w:ind w:firstLine="284"/>
        <w:jc w:val="both"/>
        <w:rPr>
          <w:rFonts w:ascii="Garamond" w:hAnsi="Garamond"/>
          <w:lang w:eastAsia="sq-AL"/>
        </w:rPr>
      </w:pPr>
      <w:r w:rsidRPr="00795698">
        <w:rPr>
          <w:rFonts w:ascii="Garamond" w:hAnsi="Garamond"/>
          <w:b/>
          <w:bCs/>
          <w:lang w:eastAsia="sq-AL"/>
        </w:rPr>
        <w:t xml:space="preserve">Raporti i aktivitetit të dyshimtë (RAD), </w:t>
      </w:r>
      <w:r w:rsidRPr="00795698">
        <w:rPr>
          <w:rFonts w:ascii="Garamond" w:hAnsi="Garamond"/>
          <w:lang w:eastAsia="sq-AL"/>
        </w:rPr>
        <w:t>formulari, me anë të të cilit subjektet, sipas përcaktimit të ligjit nr. 9917, datë 19.5.2008 “</w:t>
      </w:r>
      <w:r w:rsidRPr="00795698">
        <w:rPr>
          <w:rFonts w:ascii="Garamond" w:hAnsi="Garamond"/>
          <w:i/>
          <w:iCs/>
          <w:lang w:eastAsia="sq-AL"/>
        </w:rPr>
        <w:t>Për parandalimin e pastrimit të parave dhe financimit të terrorizmi</w:t>
      </w:r>
      <w:r w:rsidRPr="00795698">
        <w:rPr>
          <w:rFonts w:ascii="Garamond" w:hAnsi="Garamond"/>
          <w:lang w:eastAsia="sq-AL"/>
        </w:rPr>
        <w:t>t” i ndryshuar, raportojnë tek autoriteti përgjegjës për çdo transaksion dhe aktivitet të dyshimtë. Ky formular plotësohet nga subjektet, për rastet kur e dinë apo dyshojnë se po kryhet, është kryer apo tentohet të kryhet pastrimi i produkteve të veprës penale apo financimi i terrorizmit apo fondet e përfshira rrjedhin nga veprimtari kriminale.</w:t>
      </w:r>
    </w:p>
    <w:p w14:paraId="5FEEF49D" w14:textId="54B5448F" w:rsidR="00983C07" w:rsidRPr="00795698" w:rsidRDefault="00983C07" w:rsidP="00983C07">
      <w:pPr>
        <w:ind w:firstLine="284"/>
        <w:jc w:val="both"/>
        <w:rPr>
          <w:rFonts w:ascii="Garamond" w:eastAsia="Calibri" w:hAnsi="Garamond"/>
          <w:shd w:val="clear" w:color="auto" w:fill="FFFFFF"/>
          <w:lang w:eastAsia="sq-AL"/>
        </w:rPr>
      </w:pPr>
      <w:r w:rsidRPr="00795698">
        <w:rPr>
          <w:rFonts w:ascii="Garamond" w:hAnsi="Garamond"/>
          <w:b/>
          <w:bCs/>
          <w:lang w:eastAsia="sq-AL"/>
        </w:rPr>
        <w:t xml:space="preserve">Mbrojtja e </w:t>
      </w:r>
      <w:r w:rsidR="0041767D" w:rsidRPr="00795698">
        <w:rPr>
          <w:rFonts w:ascii="Garamond" w:hAnsi="Garamond"/>
          <w:b/>
          <w:bCs/>
          <w:lang w:eastAsia="sq-AL"/>
        </w:rPr>
        <w:t>infrastrukturës</w:t>
      </w:r>
      <w:r w:rsidRPr="00795698">
        <w:rPr>
          <w:rFonts w:ascii="Garamond" w:hAnsi="Garamond"/>
          <w:b/>
          <w:bCs/>
          <w:lang w:eastAsia="sq-AL"/>
        </w:rPr>
        <w:t xml:space="preserve"> kritike, </w:t>
      </w:r>
      <w:r w:rsidRPr="00795698">
        <w:rPr>
          <w:rFonts w:ascii="Garamond" w:hAnsi="Garamond"/>
          <w:bCs/>
          <w:lang w:eastAsia="sq-AL"/>
        </w:rPr>
        <w:t>t</w:t>
      </w:r>
      <w:r w:rsidRPr="00795698">
        <w:rPr>
          <w:rFonts w:ascii="Garamond" w:hAnsi="Garamond"/>
          <w:shd w:val="clear" w:color="auto" w:fill="FFFFFF"/>
          <w:lang w:eastAsia="sq-AL"/>
        </w:rPr>
        <w:t>ë gjitha aktivitetet që kanë për qëllim</w:t>
      </w:r>
      <w:r w:rsidRPr="00795698">
        <w:rPr>
          <w:rFonts w:ascii="Garamond" w:hAnsi="Garamond"/>
          <w:lang w:eastAsia="sq-AL"/>
        </w:rPr>
        <w:t xml:space="preserve"> </w:t>
      </w:r>
      <w:r w:rsidRPr="00795698">
        <w:rPr>
          <w:rFonts w:ascii="Garamond" w:hAnsi="Garamond"/>
          <w:shd w:val="clear" w:color="auto" w:fill="FFFFFF"/>
          <w:lang w:eastAsia="sq-AL"/>
        </w:rPr>
        <w:t xml:space="preserve">sigurimin e funksionalitetit, vazhdimësisë dhe integritetit të infrastrukturave kritike: </w:t>
      </w:r>
      <w:r w:rsidRPr="00795698">
        <w:rPr>
          <w:rFonts w:ascii="Garamond" w:eastAsia="Calibri" w:hAnsi="Garamond"/>
          <w:shd w:val="clear" w:color="auto" w:fill="FFFFFF"/>
          <w:lang w:eastAsia="sq-AL"/>
        </w:rPr>
        <w:t>sistemet e prodhimit, të transmetimit dhe të shpërndarjes së energjisë; prodhimi, rafinimi, trajtimi, magazinimi dhe shpërndarja e gazit nëpërmjet tubacioneve; nafta dhe prodhimi i produkteve të saj, magazinimi dhe shpërndarja nëpërmjet tubacioneve; telekomunikacioni (rrjetet, sistemet); furnizimi me ujë; bujqësia, prodhimi dhe shpërndarja e ushqimit; shëndeti publik (spitalet, qendrat shëndetësore dhe ambulancat); sistemet e transportit (furnizimi me lëndë djegëse, rrjeti hekurudhor, aeroportet, portet, transporti i brendshëm); shërbimet financiare (bankare, kleringu); shërbimet e sigurisë dhe të mbrojtjes.</w:t>
      </w:r>
    </w:p>
    <w:p w14:paraId="5FEEF49E" w14:textId="77777777" w:rsidR="00FF5F17" w:rsidRDefault="00983C07" w:rsidP="00FF5F17">
      <w:pPr>
        <w:pStyle w:val="TEKSTIIIII"/>
        <w:rPr>
          <w:rFonts w:eastAsia="Calibri"/>
          <w:shd w:val="clear" w:color="auto" w:fill="FFFFFF"/>
          <w:lang w:val="sq-AL"/>
        </w:rPr>
      </w:pPr>
      <w:r w:rsidRPr="00795698">
        <w:rPr>
          <w:b/>
          <w:lang w:val="sq-AL"/>
        </w:rPr>
        <w:t>Viktima të terrorizmit</w:t>
      </w:r>
      <w:r w:rsidRPr="00795698">
        <w:rPr>
          <w:lang w:val="sq-AL"/>
        </w:rPr>
        <w:t xml:space="preserve">, janë persona të cilët kanë pësuar individualisht apo kolektivisht një dëmtim në formën e lëndimit fizik apo mendor, vuajtjes psikologjike, humbjes ekonomike apo kufizimit thelbësor të të drejtave të tyre, nëpërmjet veprimeve apo mosveprimeve të kryera në shkelje të legjislacioneve penale të zbatueshme në shtetet anëtare, duke përfshirë ligjet që parashikojnë krimin e keqpërdorimit të pushtetit, të shkaktuar nga terrorizmi. </w:t>
      </w:r>
      <w:bookmarkStart w:id="4" w:name="_Toc108644250"/>
      <w:bookmarkStart w:id="5" w:name="_Hlk59356352"/>
    </w:p>
    <w:p w14:paraId="2FCBB05E" w14:textId="543104A9" w:rsidR="009A15B3" w:rsidRPr="00FF5F17" w:rsidRDefault="00FF5F17" w:rsidP="00FF5F17">
      <w:pPr>
        <w:pStyle w:val="TEKSTIIIII"/>
        <w:rPr>
          <w:rFonts w:eastAsia="Calibri"/>
          <w:shd w:val="clear" w:color="auto" w:fill="FFFFFF"/>
          <w:lang w:val="sq-AL"/>
        </w:rPr>
      </w:pPr>
      <w:r>
        <w:rPr>
          <w:rFonts w:eastAsia="Calibri"/>
          <w:shd w:val="clear" w:color="auto" w:fill="FFFFFF"/>
          <w:lang w:val="sq-AL"/>
        </w:rPr>
        <w:t xml:space="preserve">PJESA I: KONTEKSTI STRATEGJIK </w:t>
      </w:r>
      <w:r>
        <w:rPr>
          <w:b/>
          <w:color w:val="FFFFFF"/>
          <w:lang w:val="sq-AL"/>
        </w:rPr>
        <w:t xml:space="preserve">PPPA </w:t>
      </w:r>
    </w:p>
    <w:p w14:paraId="5FEEF4A0" w14:textId="77777777" w:rsidR="009824FF" w:rsidRPr="00795698" w:rsidRDefault="009824FF" w:rsidP="009824FF">
      <w:pPr>
        <w:pStyle w:val="TEKSTIIIII"/>
        <w:rPr>
          <w:b/>
          <w:lang w:val="sq-AL"/>
        </w:rPr>
      </w:pPr>
      <w:r w:rsidRPr="00795698">
        <w:rPr>
          <w:b/>
          <w:lang w:val="sq-AL"/>
        </w:rPr>
        <w:t>Hyrje</w:t>
      </w:r>
      <w:bookmarkEnd w:id="4"/>
    </w:p>
    <w:p w14:paraId="5FEEF4A1" w14:textId="77446438" w:rsidR="009824FF" w:rsidRPr="00795698" w:rsidRDefault="009824FF" w:rsidP="009824FF">
      <w:pPr>
        <w:ind w:firstLine="284"/>
        <w:jc w:val="both"/>
        <w:rPr>
          <w:rFonts w:ascii="Garamond" w:hAnsi="Garamond"/>
        </w:rPr>
      </w:pPr>
      <w:bookmarkStart w:id="6" w:name="_Hlk57246112"/>
      <w:bookmarkEnd w:id="5"/>
      <w:r w:rsidRPr="00795698">
        <w:rPr>
          <w:rFonts w:ascii="Garamond" w:hAnsi="Garamond"/>
          <w:bCs/>
          <w:color w:val="000000"/>
        </w:rPr>
        <w:t>Terrorizmi në të gjitha format dhe mënyrën e shfaqjes së tij përbën një kërcënim të përgjithshëm për paqen dhe sigurinë botërore. Fenomeni i terrorizmit në nivel kombëtar dhe ndërkombëtar është një ndër sfidat më të vështira për të sotmen dhe për të ardhmen. Siguria kombëtare e Republikës së Shqipërisë përfaqëson tërësinë e mjeteve dhe instrument</w:t>
      </w:r>
      <w:r w:rsidR="0041767D" w:rsidRPr="00795698">
        <w:rPr>
          <w:rFonts w:ascii="Garamond" w:hAnsi="Garamond"/>
          <w:bCs/>
          <w:color w:val="000000"/>
        </w:rPr>
        <w:t>e</w:t>
      </w:r>
      <w:r w:rsidRPr="00795698">
        <w:rPr>
          <w:rFonts w:ascii="Garamond" w:hAnsi="Garamond"/>
          <w:bCs/>
          <w:color w:val="000000"/>
        </w:rPr>
        <w:t xml:space="preserve">ve shtetërore që sigurojnë mbrojtjen e qytetarëve, të shoqërisë dhe të shtetit shqiptar nga kërcënimet dhe rreziqet e jashtme e të brendshme. Terrorizmi vazhdon të konsiderohet një kërcënim për sigurinë, si në nivel vendi po ashtu edhe në nivel ndërkombëtar, duke kërcënuar jo vetëm jetën dhe pronën, por edhe vlerat demokratike dhe vetë mënyrën e jetesës së shoqërisë. Dinamika globale e terrorizmit dhe shtrirja e tij, sidomos gjatë dy dekadave të fundit, ka përfshirë edhe vendin tonë, rajonin, Evropën dhe më gjerë. Pozicioni gjeostrategjik i Shqipërisë krijon kushte që vendi ynë të synohet si një pikë tranzitimi jo vetëm për trafiqet e paligjshme, por dhe për përhapjen e terrorizmit. Shqipëria është ndër vendet e para të renditura në koalicionin kundër terrorizmit, përgjatë viteve ka përmirësuar legjislacionin si dhe ka ngritur kapacitete të reja të specializuara për të adresuar këtë fenomen. Shqipëria është pjesëmarrëse aktive në përpjekjet e koordinuara të partnerëve të saj strategjikë SHBA dhe BE kundër fenomenit të terrorizmit. </w:t>
      </w:r>
      <w:r w:rsidRPr="00795698">
        <w:rPr>
          <w:rFonts w:ascii="Garamond" w:hAnsi="Garamond"/>
        </w:rPr>
        <w:t xml:space="preserve">Nga viti 2013 vendi ynë ka të miratuar </w:t>
      </w:r>
      <w:r w:rsidR="0041767D" w:rsidRPr="00795698">
        <w:rPr>
          <w:rFonts w:ascii="Garamond" w:hAnsi="Garamond"/>
        </w:rPr>
        <w:t>strategjinë</w:t>
      </w:r>
      <w:r w:rsidR="007C064A" w:rsidRPr="00795698">
        <w:rPr>
          <w:rFonts w:ascii="Garamond" w:hAnsi="Garamond"/>
        </w:rPr>
        <w:t xml:space="preserve"> </w:t>
      </w:r>
      <w:r w:rsidRPr="00795698">
        <w:rPr>
          <w:rFonts w:ascii="Garamond" w:hAnsi="Garamond"/>
        </w:rPr>
        <w:t>kundër terrorizmit e cila përveçse ka krijuar mekanizmat e nevojshëm, ajo ka ofruar edhe një qasje gjithëpërfshirëse për parandalimin dhe goditjen e terrorizmit. Ky është dokumenti strategjik kryesor kundër terrorizmit dhe ekstremizmit të dhunshëm. Ai garanton vazhdimësinë në menaxhimin e këtij fenomeni dhe ka për qëllim fuqizimin</w:t>
      </w:r>
      <w:r w:rsidR="007C064A" w:rsidRPr="00795698">
        <w:rPr>
          <w:rFonts w:ascii="Garamond" w:hAnsi="Garamond"/>
        </w:rPr>
        <w:t xml:space="preserve"> </w:t>
      </w:r>
      <w:r w:rsidRPr="00795698">
        <w:rPr>
          <w:rFonts w:ascii="Garamond" w:hAnsi="Garamond"/>
        </w:rPr>
        <w:t>e mëtejshëm të mekanizmave ekzistues, por dhe t</w:t>
      </w:r>
      <w:r w:rsidR="0041767D" w:rsidRPr="00795698">
        <w:rPr>
          <w:rFonts w:ascii="Garamond" w:hAnsi="Garamond"/>
        </w:rPr>
        <w:t>’</w:t>
      </w:r>
      <w:r w:rsidRPr="00795698">
        <w:rPr>
          <w:rFonts w:ascii="Garamond" w:hAnsi="Garamond"/>
        </w:rPr>
        <w:t>i përshtatet më mirë situatave dhe dinamikave aktuale të kërcënimeve nga ekstremizmi i dhunshëm dhe terrorizmi.</w:t>
      </w:r>
    </w:p>
    <w:p w14:paraId="5FEEF4A2" w14:textId="77777777" w:rsidR="009824FF" w:rsidRPr="00795698" w:rsidRDefault="009824FF" w:rsidP="009824FF">
      <w:pPr>
        <w:ind w:firstLine="284"/>
        <w:jc w:val="both"/>
        <w:rPr>
          <w:rFonts w:ascii="Garamond" w:hAnsi="Garamond"/>
          <w:bCs/>
          <w:color w:val="000000"/>
        </w:rPr>
      </w:pPr>
      <w:r w:rsidRPr="00795698">
        <w:rPr>
          <w:rFonts w:ascii="Garamond" w:hAnsi="Garamond"/>
          <w:bCs/>
          <w:color w:val="000000"/>
        </w:rPr>
        <w:t xml:space="preserve">Që prej vitit 2014, Shqipëria është anëtare e Koalicionit Global kundër Shtetit Islamik dhe ka ratifikuar një sërë Konventash dhe Rezolutash në këtë drejtim. Shqipëria ka bërë progres në masat parandaluese kundër terrorizmit, radikalizmit dhe ekstremizmit të dhunshëm, rritjen e kapaciteteve </w:t>
      </w:r>
      <w:r w:rsidRPr="00795698">
        <w:rPr>
          <w:rFonts w:ascii="Garamond" w:hAnsi="Garamond"/>
          <w:bCs/>
          <w:color w:val="000000"/>
        </w:rPr>
        <w:lastRenderedPageBreak/>
        <w:t>të agjencive ligjzbatuese dhe zhvillimin e politikave efektive në këtë fushë. Qeveria e Republikës së Shqipërisë, duke vlerësuar kërcënimet dhe pasojat që vijnë nga terrorizmi, që nga viti 2014 ka krijuar në Policinë e Shtetit, Drejtorinë e Antiterrorit e cila ka për mision dhe detyrë funksionale, parandalimin, hetimin dhe ndjekjen penale të autorëve për vepra penale me qëllime terroriste. Shërbimet inteligjente kombëtare dhe ato të mbrojtjes e kanë pjesë të misionit dhe përgjegjësive të tyre sigurimin e informacionit në kohë për parandalimin dhe goditjen e akteve terroriste, ndërsa, që nga viti 2018, është ngritur dhe funksionon Qendra e Koordinimit kundër Ekstremizmit të Dhunshëm (QKEDH) e cila ka për mision zhvillimin e kapaciteteve të aktorëve të ndryshëm shtetërore dhe jo shtetërore të përfshirë në masat kundër ekstremizmit të dhunshëm, me qëllim mbrojtjen e shoqërisë shqiptare nga ky fenomen. Përgjegjësitë e qendrës janë zhvillimi i kapaciteteve të aktorëve të ndryshëm të përfshirë në masat kundër ekstremizmit të dhunshëm, promovimi i vlerave të tolerancës dhe të harmonisë fetare, i mbrojtjes së të drejtave të njeriut, shtetit të së drejtës dhe demokracisë, si dhe mbrojtja e shoqërisë shqiptare nga ekstremizmi i dhunshëm.</w:t>
      </w:r>
    </w:p>
    <w:p w14:paraId="5FEEF4A3" w14:textId="19AE0DFD" w:rsidR="009824FF" w:rsidRPr="00795698" w:rsidRDefault="009824FF" w:rsidP="009824FF">
      <w:pPr>
        <w:ind w:firstLine="284"/>
        <w:jc w:val="both"/>
        <w:rPr>
          <w:rFonts w:ascii="Garamond" w:eastAsia="Calibri Light" w:hAnsi="Garamond"/>
          <w:spacing w:val="-14"/>
        </w:rPr>
      </w:pPr>
      <w:r w:rsidRPr="00795698">
        <w:rPr>
          <w:rFonts w:ascii="Garamond" w:eastAsia="Calibri" w:hAnsi="Garamond"/>
          <w:color w:val="000000"/>
        </w:rPr>
        <w:t xml:space="preserve">Strategjia Ndërsektoriale për parandalimin e ekstremizmit të dhunshëm dhe luftën kundër terrorizmit </w:t>
      </w:r>
      <w:r w:rsidR="006249E3" w:rsidRPr="00795698">
        <w:rPr>
          <w:rFonts w:ascii="Garamond" w:eastAsia="Calibri" w:hAnsi="Garamond"/>
          <w:color w:val="000000"/>
        </w:rPr>
        <w:t>2023–2025</w:t>
      </w:r>
      <w:r w:rsidRPr="00795698">
        <w:rPr>
          <w:rFonts w:ascii="Garamond" w:eastAsia="Calibri Light" w:hAnsi="Garamond"/>
          <w:spacing w:val="-14"/>
        </w:rPr>
        <w:t xml:space="preserve"> </w:t>
      </w:r>
      <w:r w:rsidRPr="00795698">
        <w:rPr>
          <w:rFonts w:ascii="Garamond" w:hAnsi="Garamond"/>
          <w:bCs/>
          <w:color w:val="000000"/>
        </w:rPr>
        <w:t>udhëhiqet nga prioritetet e qeverisë shqiptare në fushën e sigurisë dhe programi politik i Këshillit të Ministrave që ka të bëjë me komponentin “</w:t>
      </w:r>
      <w:r w:rsidRPr="00795698">
        <w:rPr>
          <w:rFonts w:ascii="Garamond" w:hAnsi="Garamond"/>
          <w:bCs/>
          <w:i/>
          <w:color w:val="000000"/>
        </w:rPr>
        <w:t>Shqipëria e sigurt</w:t>
      </w:r>
      <w:r w:rsidRPr="00795698">
        <w:rPr>
          <w:rFonts w:ascii="Garamond" w:hAnsi="Garamond"/>
          <w:bCs/>
          <w:color w:val="000000"/>
        </w:rPr>
        <w:t>”.</w:t>
      </w:r>
    </w:p>
    <w:p w14:paraId="5FEEF4A4" w14:textId="77777777" w:rsidR="009824FF" w:rsidRPr="00795698" w:rsidRDefault="009824FF" w:rsidP="009824FF">
      <w:pPr>
        <w:ind w:firstLine="284"/>
        <w:jc w:val="both"/>
        <w:rPr>
          <w:rFonts w:ascii="Garamond" w:hAnsi="Garamond"/>
          <w:bCs/>
          <w:color w:val="000000"/>
        </w:rPr>
      </w:pPr>
      <w:r w:rsidRPr="00795698">
        <w:rPr>
          <w:rFonts w:ascii="Garamond" w:hAnsi="Garamond"/>
          <w:bCs/>
          <w:color w:val="000000"/>
        </w:rPr>
        <w:t xml:space="preserve">Ky dokument strategjik përfaqëson një vëmendje të shtuar ndaj parandalimit të akteve terroriste, parandalimin e radikalizimit dhe ekstremizmit të dhunshëm nëpërmjet krijimit të komuniteteve </w:t>
      </w:r>
      <w:r w:rsidRPr="00795698">
        <w:rPr>
          <w:rFonts w:ascii="Garamond" w:hAnsi="Garamond"/>
          <w:bCs/>
        </w:rPr>
        <w:t>dhe institucioneve</w:t>
      </w:r>
      <w:r w:rsidRPr="00795698">
        <w:rPr>
          <w:rFonts w:ascii="Garamond" w:hAnsi="Garamond"/>
          <w:bCs/>
          <w:color w:val="000000"/>
        </w:rPr>
        <w:t xml:space="preserve"> më të qëndrueshme, rehabilitimin dhe riintegrimin e personave të radikalizuar dhe të të kthyerve nga zonat e konfliktit dhe familjeve të tyre, zhvillimin e një komunikimi strategjik dhe parandalimin e radikalizmit online. Kjo strategji do të shërbejë si instrumenti kryesor për të bashkërenduar ndërveprimin institucional kundër ekstremizmit të dhunshëm dhe terrorizmit.</w:t>
      </w:r>
    </w:p>
    <w:p w14:paraId="5FEEF4A5" w14:textId="7F76674E" w:rsidR="009824FF" w:rsidRPr="00795698" w:rsidRDefault="009824FF" w:rsidP="009824FF">
      <w:pPr>
        <w:ind w:firstLine="284"/>
        <w:jc w:val="both"/>
        <w:rPr>
          <w:rFonts w:ascii="Garamond" w:hAnsi="Garamond"/>
          <w:bCs/>
          <w:color w:val="000000"/>
        </w:rPr>
      </w:pPr>
      <w:r w:rsidRPr="00795698">
        <w:rPr>
          <w:rFonts w:ascii="Garamond" w:hAnsi="Garamond"/>
          <w:bCs/>
          <w:color w:val="000000"/>
        </w:rPr>
        <w:t xml:space="preserve">Strategjia për Parandalimin e Ekstremizmit të Dhunshëm dhe Luftën </w:t>
      </w:r>
      <w:r w:rsidR="009C4DC2" w:rsidRPr="00795698">
        <w:rPr>
          <w:rFonts w:ascii="Garamond" w:hAnsi="Garamond"/>
          <w:bCs/>
          <w:color w:val="000000"/>
        </w:rPr>
        <w:t>k</w:t>
      </w:r>
      <w:r w:rsidRPr="00795698">
        <w:rPr>
          <w:rFonts w:ascii="Garamond" w:hAnsi="Garamond"/>
          <w:bCs/>
          <w:color w:val="000000"/>
        </w:rPr>
        <w:t>undër Terrorizmit integron dy dimensionet e politikës shtetërore në lidhje me fenomenin e ekstremizmit të dhunshëm dhe terrorizmit, ndërsa planet përkatëse të veprimit (pavarësisht se janë dy të ndara) karakterizohen nga parime të harmonizuara</w:t>
      </w:r>
      <w:r w:rsidR="009C4DC2" w:rsidRPr="00795698">
        <w:rPr>
          <w:rFonts w:ascii="Garamond" w:hAnsi="Garamond"/>
          <w:bCs/>
          <w:color w:val="000000"/>
        </w:rPr>
        <w:t>,</w:t>
      </w:r>
      <w:r w:rsidRPr="00795698">
        <w:rPr>
          <w:rFonts w:ascii="Garamond" w:hAnsi="Garamond"/>
          <w:bCs/>
          <w:color w:val="000000"/>
        </w:rPr>
        <w:t xml:space="preserve"> si:</w:t>
      </w:r>
    </w:p>
    <w:p w14:paraId="5FEEF4A6" w14:textId="77777777" w:rsidR="009824FF" w:rsidRPr="00795698" w:rsidRDefault="009824FF" w:rsidP="009824FF">
      <w:pPr>
        <w:pStyle w:val="TEKSTIIIII"/>
        <w:rPr>
          <w:lang w:val="sq-AL"/>
        </w:rPr>
      </w:pPr>
      <w:r w:rsidRPr="00795698">
        <w:rPr>
          <w:lang w:val="sq-AL"/>
        </w:rPr>
        <w:t>- Parimi i kushtetutshmërisë dhe ligjshmërisë;</w:t>
      </w:r>
    </w:p>
    <w:p w14:paraId="5FEEF4A7" w14:textId="77777777" w:rsidR="009824FF" w:rsidRPr="00795698" w:rsidRDefault="009824FF" w:rsidP="009824FF">
      <w:pPr>
        <w:pStyle w:val="TEKSTIIIII"/>
        <w:rPr>
          <w:lang w:val="sq-AL"/>
        </w:rPr>
      </w:pPr>
      <w:r w:rsidRPr="00795698">
        <w:rPr>
          <w:lang w:val="sq-AL"/>
        </w:rPr>
        <w:t>- Parimi i sundimit të ligjit, respektimi i të drejtave dhe lirive të njeriut, mosdiskriminimi dhe mbrojtja e të dhënave personale;</w:t>
      </w:r>
    </w:p>
    <w:p w14:paraId="5FEEF4A8" w14:textId="77777777" w:rsidR="009824FF" w:rsidRPr="00795698" w:rsidRDefault="009824FF" w:rsidP="009824FF">
      <w:pPr>
        <w:pStyle w:val="TEKSTIIIII"/>
        <w:rPr>
          <w:lang w:val="sq-AL"/>
        </w:rPr>
      </w:pPr>
      <w:r w:rsidRPr="00795698">
        <w:rPr>
          <w:lang w:val="sq-AL"/>
        </w:rPr>
        <w:t xml:space="preserve">- Parimi i konfidencialitetit; </w:t>
      </w:r>
    </w:p>
    <w:p w14:paraId="5FEEF4A9" w14:textId="77777777" w:rsidR="009824FF" w:rsidRPr="00795698" w:rsidRDefault="009824FF" w:rsidP="009824FF">
      <w:pPr>
        <w:pStyle w:val="TEKSTIIIII"/>
        <w:rPr>
          <w:lang w:val="sq-AL"/>
        </w:rPr>
      </w:pPr>
      <w:r w:rsidRPr="00795698">
        <w:rPr>
          <w:lang w:val="sq-AL"/>
        </w:rPr>
        <w:t>- Parimi i ruajtjes së sigurisë dhe sovranitetit;</w:t>
      </w:r>
    </w:p>
    <w:p w14:paraId="5FEEF4AA" w14:textId="77777777" w:rsidR="009824FF" w:rsidRPr="00795698" w:rsidRDefault="009824FF" w:rsidP="009824FF">
      <w:pPr>
        <w:pStyle w:val="TEKSTIIIII"/>
        <w:rPr>
          <w:lang w:val="sq-AL"/>
        </w:rPr>
      </w:pPr>
      <w:r w:rsidRPr="00795698">
        <w:rPr>
          <w:lang w:val="sq-AL"/>
        </w:rPr>
        <w:t>- Parimi i një qasjeje gjithëpërfshirëse kombëtare;</w:t>
      </w:r>
    </w:p>
    <w:p w14:paraId="5FEEF4AB" w14:textId="77777777" w:rsidR="009824FF" w:rsidRPr="00795698" w:rsidRDefault="009824FF" w:rsidP="009824FF">
      <w:pPr>
        <w:pStyle w:val="TEKSTIIIII"/>
        <w:rPr>
          <w:lang w:val="sq-AL"/>
        </w:rPr>
      </w:pPr>
      <w:r w:rsidRPr="00795698">
        <w:rPr>
          <w:lang w:val="sq-AL"/>
        </w:rPr>
        <w:t>- Parimi i qeverisjes së mirë dhe nxitja e vlerave demokratike;</w:t>
      </w:r>
    </w:p>
    <w:p w14:paraId="5FEEF4AC" w14:textId="77777777" w:rsidR="009824FF" w:rsidRPr="00795698" w:rsidRDefault="009824FF" w:rsidP="009824FF">
      <w:pPr>
        <w:pStyle w:val="TEKSTIIIII"/>
        <w:rPr>
          <w:lang w:val="sq-AL"/>
        </w:rPr>
      </w:pPr>
      <w:r w:rsidRPr="00795698">
        <w:rPr>
          <w:lang w:val="sq-AL"/>
        </w:rPr>
        <w:t xml:space="preserve">- Parimi i respektimit të aspekteve multietnike dhe multikulturore të Republikës së Shqipërisë; </w:t>
      </w:r>
    </w:p>
    <w:p w14:paraId="5FEEF4AD" w14:textId="77777777" w:rsidR="009824FF" w:rsidRPr="00795698" w:rsidRDefault="009824FF" w:rsidP="009824FF">
      <w:pPr>
        <w:pStyle w:val="TEKSTIIIII"/>
        <w:rPr>
          <w:lang w:val="sq-AL"/>
        </w:rPr>
      </w:pPr>
      <w:r w:rsidRPr="00795698">
        <w:rPr>
          <w:lang w:val="sq-AL"/>
        </w:rPr>
        <w:t>- Parimi i bashkëpunimit rajonal dhe ndërkombëtar.</w:t>
      </w:r>
    </w:p>
    <w:p w14:paraId="5FEEF4AF" w14:textId="5C58A246" w:rsidR="009824FF" w:rsidRPr="00795698" w:rsidRDefault="009824FF" w:rsidP="009824FF">
      <w:pPr>
        <w:pStyle w:val="TEKSTIIIII"/>
        <w:rPr>
          <w:i/>
          <w:lang w:val="sq-AL"/>
        </w:rPr>
      </w:pPr>
      <w:bookmarkStart w:id="7" w:name="_Toc108644251"/>
      <w:bookmarkEnd w:id="6"/>
      <w:r w:rsidRPr="00795698">
        <w:rPr>
          <w:i/>
          <w:lang w:val="sq-AL"/>
        </w:rPr>
        <w:t xml:space="preserve">Qëllimi i </w:t>
      </w:r>
      <w:bookmarkStart w:id="8" w:name="_Hlk59357530"/>
      <w:r w:rsidRPr="00795698">
        <w:rPr>
          <w:i/>
          <w:lang w:val="sq-AL"/>
        </w:rPr>
        <w:t xml:space="preserve">Strategjisë </w:t>
      </w:r>
      <w:bookmarkEnd w:id="8"/>
      <w:r w:rsidRPr="00795698">
        <w:rPr>
          <w:i/>
          <w:lang w:val="sq-AL"/>
        </w:rPr>
        <w:t xml:space="preserve">Ndërsektoriale për parandalimin e ekstremizmit të dhunshëm dhe luftën kundër terrorizmit </w:t>
      </w:r>
      <w:r w:rsidR="006249E3" w:rsidRPr="00795698">
        <w:rPr>
          <w:i/>
          <w:lang w:val="sq-AL"/>
        </w:rPr>
        <w:t>2023–2025</w:t>
      </w:r>
      <w:r w:rsidRPr="00795698">
        <w:rPr>
          <w:i/>
          <w:lang w:val="sq-AL"/>
        </w:rPr>
        <w:t xml:space="preserve"> dhe lidhja me </w:t>
      </w:r>
      <w:r w:rsidR="0041767D" w:rsidRPr="00795698">
        <w:rPr>
          <w:i/>
          <w:lang w:val="sq-AL"/>
        </w:rPr>
        <w:t>dokumente</w:t>
      </w:r>
      <w:r w:rsidRPr="00795698">
        <w:rPr>
          <w:i/>
          <w:lang w:val="sq-AL"/>
        </w:rPr>
        <w:t xml:space="preserve"> strategjik</w:t>
      </w:r>
      <w:r w:rsidR="0041767D" w:rsidRPr="00795698">
        <w:rPr>
          <w:i/>
          <w:lang w:val="sq-AL"/>
        </w:rPr>
        <w:t>e</w:t>
      </w:r>
      <w:r w:rsidRPr="00795698">
        <w:rPr>
          <w:i/>
          <w:lang w:val="sq-AL"/>
        </w:rPr>
        <w:t xml:space="preserve"> kombëtar</w:t>
      </w:r>
      <w:r w:rsidR="0041767D" w:rsidRPr="00795698">
        <w:rPr>
          <w:i/>
          <w:lang w:val="sq-AL"/>
        </w:rPr>
        <w:t>e</w:t>
      </w:r>
      <w:r w:rsidRPr="00795698">
        <w:rPr>
          <w:i/>
          <w:lang w:val="sq-AL"/>
        </w:rPr>
        <w:t xml:space="preserve"> dhe ndërkombëtar</w:t>
      </w:r>
      <w:bookmarkEnd w:id="7"/>
      <w:r w:rsidR="0041767D" w:rsidRPr="00795698">
        <w:rPr>
          <w:i/>
          <w:lang w:val="sq-AL"/>
        </w:rPr>
        <w:t>e</w:t>
      </w:r>
    </w:p>
    <w:p w14:paraId="5FEEF4B0" w14:textId="662E6087" w:rsidR="009824FF" w:rsidRPr="00795698" w:rsidRDefault="009824FF" w:rsidP="009824FF">
      <w:pPr>
        <w:ind w:firstLine="284"/>
        <w:jc w:val="both"/>
        <w:rPr>
          <w:rFonts w:ascii="Garamond" w:hAnsi="Garamond"/>
        </w:rPr>
      </w:pPr>
      <w:r w:rsidRPr="00795698">
        <w:rPr>
          <w:rFonts w:ascii="Garamond" w:hAnsi="Garamond"/>
        </w:rPr>
        <w:t xml:space="preserve">Strategjia Ndërsektoriale për parandalimin e ekstremizmit të dhunshëm dhe luftën kundër terrorizmit </w:t>
      </w:r>
      <w:r w:rsidR="006249E3" w:rsidRPr="00795698">
        <w:rPr>
          <w:rFonts w:ascii="Garamond" w:hAnsi="Garamond"/>
        </w:rPr>
        <w:t>2023–2025</w:t>
      </w:r>
      <w:r w:rsidRPr="00795698">
        <w:rPr>
          <w:rFonts w:ascii="Garamond" w:hAnsi="Garamond"/>
        </w:rPr>
        <w:t xml:space="preserve"> përfaqëson dokumentin themelor kombëtar strategjik sektorial që përcakton </w:t>
      </w:r>
      <w:r w:rsidRPr="00795698">
        <w:rPr>
          <w:rFonts w:ascii="Garamond" w:hAnsi="Garamond"/>
          <w:b/>
        </w:rPr>
        <w:t>vizionin kombëtar</w:t>
      </w:r>
      <w:r w:rsidRPr="00795698">
        <w:rPr>
          <w:rFonts w:ascii="Garamond" w:hAnsi="Garamond"/>
        </w:rPr>
        <w:t xml:space="preserve"> për krijimin e një shoqërie pa kërcënime terroriste, me imazhin e një vendi të </w:t>
      </w:r>
      <w:r w:rsidR="006249E3" w:rsidRPr="00795698">
        <w:rPr>
          <w:rFonts w:ascii="Garamond" w:hAnsi="Garamond"/>
        </w:rPr>
        <w:t>sigurt</w:t>
      </w:r>
      <w:r w:rsidRPr="00795698">
        <w:rPr>
          <w:rFonts w:ascii="Garamond" w:hAnsi="Garamond"/>
        </w:rPr>
        <w:t xml:space="preserve"> dhe me standarde evropiane të respektimit të të drejtave dhe lirive themelore të njeriut. Ky dokument kombinon agjendën kombëtare të integrimit në Bashkimin Evropian që ka të bëjë me përmbushjen e detyrimeve të kapitullit 24 në fushën e luftës kundër terrorizmit, me zhvillimin e qëndrueshëm ekonomik e shoqëror të vendit, me Objektiv</w:t>
      </w:r>
      <w:bookmarkStart w:id="9" w:name="_Hlk59369114"/>
      <w:r w:rsidRPr="00795698">
        <w:rPr>
          <w:rFonts w:ascii="Garamond" w:hAnsi="Garamond"/>
        </w:rPr>
        <w:t xml:space="preserve">at e Zhvillimit të Qëndrueshëm. </w:t>
      </w:r>
    </w:p>
    <w:p w14:paraId="5FEEF4B1" w14:textId="5B9957F3" w:rsidR="009824FF" w:rsidRPr="00795698" w:rsidRDefault="009824FF" w:rsidP="009824FF">
      <w:pPr>
        <w:ind w:firstLine="284"/>
        <w:jc w:val="both"/>
        <w:rPr>
          <w:rFonts w:ascii="Garamond" w:hAnsi="Garamond"/>
        </w:rPr>
      </w:pPr>
      <w:r w:rsidRPr="00795698">
        <w:rPr>
          <w:rFonts w:ascii="Garamond" w:hAnsi="Garamond"/>
        </w:rPr>
        <w:t>Strategjia Ndërsektoriale për Parandalimin e</w:t>
      </w:r>
      <w:r w:rsidR="007C064A" w:rsidRPr="00795698">
        <w:rPr>
          <w:rFonts w:ascii="Garamond" w:hAnsi="Garamond"/>
        </w:rPr>
        <w:t xml:space="preserve"> </w:t>
      </w:r>
      <w:r w:rsidRPr="00795698">
        <w:rPr>
          <w:rFonts w:ascii="Garamond" w:hAnsi="Garamond"/>
        </w:rPr>
        <w:t xml:space="preserve">Ekstremizmit të Dhunshëm dhe Luftën </w:t>
      </w:r>
      <w:r w:rsidR="00516ED8" w:rsidRPr="00795698">
        <w:rPr>
          <w:rFonts w:ascii="Garamond" w:hAnsi="Garamond"/>
        </w:rPr>
        <w:t>k</w:t>
      </w:r>
      <w:r w:rsidRPr="00795698">
        <w:rPr>
          <w:rFonts w:ascii="Garamond" w:hAnsi="Garamond"/>
        </w:rPr>
        <w:t>undër Terrorizmit 2023</w:t>
      </w:r>
      <w:r w:rsidR="006249E3" w:rsidRPr="00795698">
        <w:rPr>
          <w:rFonts w:ascii="Garamond" w:hAnsi="Garamond"/>
        </w:rPr>
        <w:t>–</w:t>
      </w:r>
      <w:r w:rsidRPr="00795698">
        <w:rPr>
          <w:rFonts w:ascii="Garamond" w:hAnsi="Garamond"/>
        </w:rPr>
        <w:t>2025 inkuadrohet në shtyllën e parë të Strategjisë Kombëtare për Zhvillim dhe Integrim SKZHI, “Mirëqeverisja, Demokracia dhe Shteti i së Drejtës</w:t>
      </w:r>
      <w:bookmarkStart w:id="10" w:name="_Hlk59666378"/>
      <w:bookmarkEnd w:id="9"/>
      <w:r w:rsidRPr="00795698">
        <w:rPr>
          <w:rFonts w:ascii="Garamond" w:hAnsi="Garamond"/>
        </w:rPr>
        <w:t>”</w:t>
      </w:r>
      <w:r w:rsidR="00516ED8" w:rsidRPr="00795698">
        <w:rPr>
          <w:rFonts w:ascii="Garamond" w:hAnsi="Garamond"/>
        </w:rPr>
        <w:t>,</w:t>
      </w:r>
      <w:r w:rsidRPr="00795698">
        <w:rPr>
          <w:rFonts w:ascii="Garamond" w:hAnsi="Garamond"/>
        </w:rPr>
        <w:t xml:space="preserve"> e cila përcakton se vizioni do </w:t>
      </w:r>
      <w:r w:rsidRPr="00795698">
        <w:rPr>
          <w:rFonts w:ascii="Garamond" w:hAnsi="Garamond"/>
        </w:rPr>
        <w:lastRenderedPageBreak/>
        <w:t xml:space="preserve">të arrihet përmes politikave dhe përparësive që synojnë </w:t>
      </w:r>
      <w:r w:rsidRPr="00795698">
        <w:rPr>
          <w:rFonts w:ascii="Garamond" w:hAnsi="Garamond"/>
          <w:b/>
          <w:bCs/>
        </w:rPr>
        <w:t>parandalimin dhe uljen e kërcënimeve terroriste</w:t>
      </w:r>
      <w:r w:rsidRPr="00795698">
        <w:rPr>
          <w:rFonts w:ascii="Garamond" w:hAnsi="Garamond"/>
        </w:rPr>
        <w:t xml:space="preserve"> nëpërmjet:</w:t>
      </w:r>
    </w:p>
    <w:p w14:paraId="5FEEF4B2" w14:textId="6DEC100A" w:rsidR="009824FF" w:rsidRPr="00795698" w:rsidRDefault="009824FF" w:rsidP="009824FF">
      <w:pPr>
        <w:pStyle w:val="TEKSTIIIII"/>
        <w:rPr>
          <w:lang w:val="sq-AL"/>
        </w:rPr>
      </w:pPr>
      <w:r w:rsidRPr="00795698">
        <w:rPr>
          <w:lang w:val="sq-AL"/>
        </w:rPr>
        <w:t>- rritjes së rezultateve në luftën kundër terrorizmit përmes vendosjes dhe përdorimit të një sistemi efikas të vlerësimit të riskut, shoqëruar me forcimin institucional të njësive të angazhuara në këtë fushë. Rezultatet e pritshme, përfshijnë: i) rritje në numrin e operacioneve që përdorin metoda të hetimeve speciale</w:t>
      </w:r>
      <w:r w:rsidRPr="0083536D">
        <w:rPr>
          <w:lang w:val="sq-AL"/>
        </w:rPr>
        <w:t>; ii)</w:t>
      </w:r>
      <w:r w:rsidRPr="00795698">
        <w:rPr>
          <w:lang w:val="sq-AL"/>
        </w:rPr>
        <w:t xml:space="preserve"> rritje në numrin e operacioneve ndërkombëtare të përbashkëta; dhe </w:t>
      </w:r>
      <w:r w:rsidRPr="0083536D">
        <w:rPr>
          <w:lang w:val="sq-AL"/>
        </w:rPr>
        <w:t>ii)</w:t>
      </w:r>
      <w:r w:rsidRPr="00795698">
        <w:rPr>
          <w:lang w:val="sq-AL"/>
        </w:rPr>
        <w:t xml:space="preserve"> rritje në shkallën e zbulimit dhe </w:t>
      </w:r>
      <w:r w:rsidR="007C064A" w:rsidRPr="00795698">
        <w:rPr>
          <w:lang w:val="sq-AL"/>
        </w:rPr>
        <w:t>eliminimit</w:t>
      </w:r>
      <w:r w:rsidRPr="00795698">
        <w:rPr>
          <w:lang w:val="sq-AL"/>
        </w:rPr>
        <w:t xml:space="preserve"> të veprave penale terroriste dhe në hetimin e financimit të terrorizmit;</w:t>
      </w:r>
    </w:p>
    <w:p w14:paraId="5FEEF4B3" w14:textId="77777777" w:rsidR="009824FF" w:rsidRPr="00795698" w:rsidRDefault="009824FF" w:rsidP="009824FF">
      <w:pPr>
        <w:pStyle w:val="TEKSTIIIII"/>
        <w:rPr>
          <w:lang w:val="sq-AL"/>
        </w:rPr>
      </w:pPr>
      <w:r w:rsidRPr="00795698">
        <w:rPr>
          <w:lang w:val="sq-AL"/>
        </w:rPr>
        <w:t>- ngritjes së një rrjeti të sigurt komunikimi për shkëmbimin e informacionit midis agjencive të angazhuara në luftën kundër ekstremizmit të dhunshëm dhe terrorizmit.</w:t>
      </w:r>
    </w:p>
    <w:p w14:paraId="5FEEF4B4" w14:textId="77777777" w:rsidR="009824FF" w:rsidRPr="00795698" w:rsidRDefault="009824FF" w:rsidP="009824FF">
      <w:pPr>
        <w:pStyle w:val="TEKSTIIIII"/>
        <w:rPr>
          <w:color w:val="000000"/>
          <w:lang w:val="sq-AL"/>
        </w:rPr>
      </w:pPr>
      <w:r w:rsidRPr="00795698">
        <w:rPr>
          <w:color w:val="000000"/>
          <w:lang w:val="sq-AL"/>
        </w:rPr>
        <w:t xml:space="preserve">- rritjes se efikasitetit të hetimeve të krimeve kibernetike me përmbajtje radikaliste, ekstremiste dhe terroriste. </w:t>
      </w:r>
    </w:p>
    <w:p w14:paraId="5FEEF4B5" w14:textId="77777777" w:rsidR="009824FF" w:rsidRPr="00795698" w:rsidRDefault="009824FF" w:rsidP="009824FF">
      <w:pPr>
        <w:pStyle w:val="TEKSTIIIII"/>
        <w:rPr>
          <w:color w:val="000000"/>
          <w:lang w:val="sq-AL"/>
        </w:rPr>
      </w:pPr>
      <w:r w:rsidRPr="00795698">
        <w:rPr>
          <w:color w:val="000000"/>
          <w:lang w:val="sq-AL"/>
        </w:rPr>
        <w:t>- parandalimit dhe uljes se kërcënimeve terroriste;</w:t>
      </w:r>
    </w:p>
    <w:p w14:paraId="5FEEF4B6" w14:textId="77777777" w:rsidR="009824FF" w:rsidRPr="00795698" w:rsidRDefault="009824FF" w:rsidP="009824FF">
      <w:pPr>
        <w:pStyle w:val="TEKSTIIIII"/>
        <w:rPr>
          <w:color w:val="000000"/>
          <w:lang w:val="sq-AL"/>
        </w:rPr>
      </w:pPr>
      <w:r w:rsidRPr="00795698">
        <w:rPr>
          <w:color w:val="000000"/>
          <w:lang w:val="sq-AL"/>
        </w:rPr>
        <w:t xml:space="preserve">- krijimit të një shërbimi </w:t>
      </w:r>
      <w:r w:rsidRPr="00795698">
        <w:rPr>
          <w:lang w:val="sq-AL"/>
        </w:rPr>
        <w:t>inteligjence</w:t>
      </w:r>
      <w:r w:rsidRPr="00795698">
        <w:rPr>
          <w:color w:val="000000"/>
          <w:lang w:val="sq-AL"/>
        </w:rPr>
        <w:t xml:space="preserve"> dhe hetimor bashkëkohor;</w:t>
      </w:r>
    </w:p>
    <w:p w14:paraId="5FEEF4B7" w14:textId="77777777" w:rsidR="009824FF" w:rsidRPr="00795698" w:rsidRDefault="009824FF" w:rsidP="009824FF">
      <w:pPr>
        <w:pStyle w:val="TEKSTIIIII"/>
        <w:rPr>
          <w:lang w:val="sq-AL"/>
        </w:rPr>
      </w:pPr>
      <w:r w:rsidRPr="00795698">
        <w:rPr>
          <w:color w:val="000000"/>
          <w:lang w:val="sq-AL"/>
        </w:rPr>
        <w:t>- forcimit të bashkëpunimit rajonal dhe ndërkombëtar.</w:t>
      </w:r>
    </w:p>
    <w:p w14:paraId="5FEEF4B8" w14:textId="77777777" w:rsidR="009824FF" w:rsidRPr="00795698" w:rsidRDefault="009824FF" w:rsidP="009824FF">
      <w:pPr>
        <w:ind w:firstLine="284"/>
        <w:jc w:val="both"/>
        <w:rPr>
          <w:rFonts w:ascii="Garamond" w:hAnsi="Garamond"/>
          <w:bCs/>
          <w:color w:val="000000"/>
        </w:rPr>
      </w:pPr>
      <w:r w:rsidRPr="00795698">
        <w:rPr>
          <w:rFonts w:ascii="Garamond" w:hAnsi="Garamond"/>
          <w:bCs/>
          <w:color w:val="000000"/>
        </w:rPr>
        <w:t>Lidhja me SKZHI e këtij dokumenti është në objektivat si më poshtë:</w:t>
      </w:r>
    </w:p>
    <w:p w14:paraId="5FEEF4B9"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4.1 Rritja e numrit të hetimeve të veprave penale të lidhura me krimet kibernetike </w:t>
      </w:r>
      <w:r w:rsidRPr="00795698">
        <w:rPr>
          <w:rFonts w:ascii="Garamond" w:hAnsi="Garamond"/>
          <w:bCs/>
          <w:color w:val="000000"/>
        </w:rPr>
        <w:t>me përmbajtje radikale, ekstremiste dhe terroriste</w:t>
      </w:r>
      <w:r w:rsidRPr="00795698">
        <w:rPr>
          <w:rFonts w:ascii="Garamond" w:hAnsi="Garamond"/>
          <w:color w:val="000000"/>
        </w:rPr>
        <w:t>;</w:t>
      </w:r>
    </w:p>
    <w:p w14:paraId="5FEEF4BA"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4.2 Rritja e numrit të hetimeve të rasteve të abuzimit të të miturve duke nxitur radikalizmin, ekstremizmin e dhunshëm apo terrorizmin përmes internetit; </w:t>
      </w:r>
    </w:p>
    <w:p w14:paraId="5FEEF4BB"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4.3 Rritja e numrit të hetimeve për parandalimin e krimeve kibernetike;</w:t>
      </w:r>
    </w:p>
    <w:p w14:paraId="5FEEF4BC" w14:textId="4952C476"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5.1 Rritja e rezultateve në luftën kundër terrorizmit përmes vendosjes dhe përdorimit të një sistemi efikas të vlerësimit të riskut, shoqëruar me forcimin institucional të njësive të angazhuara në këtë fushë. Rezultatet e pritshme, përfshijnë: i) rritje në numrin e operacioneve që përdorin metoda të hetimeve speciale; </w:t>
      </w:r>
      <w:r w:rsidRPr="00047286">
        <w:rPr>
          <w:rFonts w:ascii="Garamond" w:hAnsi="Garamond"/>
          <w:color w:val="000000"/>
        </w:rPr>
        <w:t xml:space="preserve">ii) </w:t>
      </w:r>
      <w:r w:rsidRPr="00795698">
        <w:rPr>
          <w:rFonts w:ascii="Garamond" w:hAnsi="Garamond"/>
          <w:color w:val="000000"/>
        </w:rPr>
        <w:t xml:space="preserve">rritje në numrin e operacioneve ndërkombëtare të përbashkëta; dhe </w:t>
      </w:r>
      <w:r w:rsidRPr="00047286">
        <w:rPr>
          <w:rFonts w:ascii="Garamond" w:hAnsi="Garamond"/>
          <w:color w:val="000000"/>
        </w:rPr>
        <w:t>ii)</w:t>
      </w:r>
      <w:r w:rsidRPr="00CB23C5">
        <w:rPr>
          <w:rFonts w:ascii="Garamond" w:hAnsi="Garamond"/>
          <w:color w:val="000000"/>
        </w:rPr>
        <w:t xml:space="preserve"> rritje</w:t>
      </w:r>
      <w:r w:rsidRPr="00795698">
        <w:rPr>
          <w:rFonts w:ascii="Garamond" w:hAnsi="Garamond"/>
          <w:color w:val="000000"/>
        </w:rPr>
        <w:t xml:space="preserve"> në shkallën e zbulimit dhe eliminimit të veprave penale terroriste; </w:t>
      </w:r>
    </w:p>
    <w:p w14:paraId="5FEEF4BD"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5.4 Ngritja e një rrjeti të sigurt komunikimi për shkëmbimin e informacionit midis agjencive të angazhuara në </w:t>
      </w:r>
      <w:r w:rsidRPr="00795698">
        <w:rPr>
          <w:rFonts w:ascii="Garamond" w:hAnsi="Garamond"/>
        </w:rPr>
        <w:t>parandalimin e ekstremizmit të dhunshëm dhe luftën kundër terrorizmit.</w:t>
      </w:r>
    </w:p>
    <w:p w14:paraId="5FEEF4BE"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6.1 Rritja e kapaciteteve hetimore drejt hetimeve të bazuara në informacionin e zbulimit (inteligjencë); </w:t>
      </w:r>
    </w:p>
    <w:p w14:paraId="5FEEF4BF"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6.3 Rritja e aftësive të Policisë Shkencore, me anë të futjes së teknologjive të reja të cilat do të bëjnë të mundur rritjen e numrit të ekzaminimeve mjeko-ligjore në procesin e zbulimit dhe identifikimit të provave në vendin e krimit; </w:t>
      </w:r>
    </w:p>
    <w:p w14:paraId="5FEEF4C0"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7.1 Zbatimi i marrëveshjeve ekzistuese dhe formave të reja të bashkëpunimit të policisë me vendet e rajonit dhe të BE-së; konkretisht përmes rritjes së shkëmbimit të informacionit me EUROPOL-in dhe INTERPOL-in;</w:t>
      </w:r>
    </w:p>
    <w:p w14:paraId="5FEEF4C1"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7.2 Rritja e numrit të operacioneve të përbashkëta me EUROPOL-in dhe përdorimi efektiv i mjeteve (programe, platforma, sisteme etj.) të EUROPOL për shkëmbimin e informacionit dhe hetimin e terrorizmit dhe financimit të terrorizmit;</w:t>
      </w:r>
    </w:p>
    <w:p w14:paraId="5FEEF4C2" w14:textId="77777777" w:rsidR="009824FF" w:rsidRPr="00795698" w:rsidRDefault="009824FF" w:rsidP="009824FF">
      <w:pPr>
        <w:ind w:firstLine="284"/>
        <w:jc w:val="both"/>
        <w:rPr>
          <w:rFonts w:ascii="Garamond" w:hAnsi="Garamond"/>
        </w:rPr>
      </w:pPr>
      <w:r w:rsidRPr="00795698">
        <w:rPr>
          <w:rFonts w:ascii="Garamond" w:hAnsi="Garamond"/>
          <w:color w:val="000000"/>
        </w:rPr>
        <w:t>7.3 Një rritje në numrin e personave në kërkim, të ndaluar/arrestuar për vepra me qëllime terroriste.</w:t>
      </w:r>
    </w:p>
    <w:bookmarkEnd w:id="10"/>
    <w:p w14:paraId="5FEEF4C3" w14:textId="668C7882" w:rsidR="009824FF" w:rsidRPr="00795698" w:rsidRDefault="009824FF" w:rsidP="009824FF">
      <w:pPr>
        <w:ind w:firstLine="284"/>
        <w:jc w:val="both"/>
        <w:rPr>
          <w:rFonts w:ascii="Garamond" w:hAnsi="Garamond"/>
        </w:rPr>
      </w:pPr>
      <w:r w:rsidRPr="00795698">
        <w:rPr>
          <w:rFonts w:ascii="Garamond" w:hAnsi="Garamond"/>
        </w:rPr>
        <w:t xml:space="preserve">Ky dokument strategjik ndërlidhet me Objektivat e Zhvillimit të </w:t>
      </w:r>
      <w:r w:rsidR="007C064A" w:rsidRPr="00795698">
        <w:rPr>
          <w:rFonts w:ascii="Garamond" w:hAnsi="Garamond"/>
        </w:rPr>
        <w:t>Qëndrueshëm</w:t>
      </w:r>
      <w:r w:rsidRPr="00795698">
        <w:rPr>
          <w:rFonts w:ascii="Garamond" w:hAnsi="Garamond"/>
        </w:rPr>
        <w:t xml:space="preserve"> përkatësisht me objektivin 16 “</w:t>
      </w:r>
      <w:r w:rsidRPr="00795698">
        <w:rPr>
          <w:rFonts w:ascii="Garamond" w:hAnsi="Garamond"/>
          <w:i/>
          <w:iCs/>
        </w:rPr>
        <w:t>Promovimi i shoqërive paqësore dhe gjithëpërfshirëse për zhvillim të qëndrueshëm, ofrimi i qasjes në drejtësi për të gjithë dhe ndërtimi i institucioneve efektive, të përgjegjshme dhe gjithëpërfshirëse në të gjitha nivelet.</w:t>
      </w:r>
      <w:r w:rsidRPr="00795698">
        <w:rPr>
          <w:rFonts w:ascii="Garamond" w:hAnsi="Garamond"/>
        </w:rPr>
        <w:t xml:space="preserve">” ku qëllimi i politikave për realizimin e tij është: </w:t>
      </w:r>
    </w:p>
    <w:p w14:paraId="5FEEF4C4" w14:textId="57BD5BE7" w:rsidR="009824FF" w:rsidRPr="00795698" w:rsidRDefault="009824FF" w:rsidP="009824FF">
      <w:pPr>
        <w:ind w:firstLine="284"/>
        <w:jc w:val="both"/>
        <w:rPr>
          <w:rFonts w:ascii="Garamond" w:hAnsi="Garamond"/>
        </w:rPr>
      </w:pPr>
      <w:r w:rsidRPr="00795698">
        <w:rPr>
          <w:rFonts w:ascii="Garamond" w:hAnsi="Garamond"/>
        </w:rPr>
        <w:t>16.1</w:t>
      </w:r>
      <w:r w:rsidR="007C064A" w:rsidRPr="00795698">
        <w:rPr>
          <w:rFonts w:ascii="Garamond" w:hAnsi="Garamond"/>
        </w:rPr>
        <w:t xml:space="preserve"> </w:t>
      </w:r>
      <w:r w:rsidRPr="00795698">
        <w:rPr>
          <w:rFonts w:ascii="Garamond" w:hAnsi="Garamond"/>
        </w:rPr>
        <w:t>Zvogëlimi i dukshëm i të gjitha formave të dhunës dhe normës së vdekshmërisë;</w:t>
      </w:r>
    </w:p>
    <w:p w14:paraId="5FEEF4C5" w14:textId="1DD35C4B" w:rsidR="009824FF" w:rsidRPr="00795698" w:rsidRDefault="009824FF" w:rsidP="009824FF">
      <w:pPr>
        <w:ind w:firstLine="284"/>
        <w:jc w:val="both"/>
        <w:rPr>
          <w:rFonts w:ascii="Garamond" w:hAnsi="Garamond"/>
        </w:rPr>
      </w:pPr>
      <w:r w:rsidRPr="00795698">
        <w:rPr>
          <w:rFonts w:ascii="Garamond" w:hAnsi="Garamond"/>
        </w:rPr>
        <w:t>16.2</w:t>
      </w:r>
      <w:r w:rsidR="007C064A" w:rsidRPr="00795698">
        <w:rPr>
          <w:rFonts w:ascii="Garamond" w:hAnsi="Garamond"/>
        </w:rPr>
        <w:t xml:space="preserve"> </w:t>
      </w:r>
      <w:r w:rsidRPr="00795698">
        <w:rPr>
          <w:rFonts w:ascii="Garamond" w:hAnsi="Garamond"/>
        </w:rPr>
        <w:t>Ndalimi i abuzimit, shfrytëzimit, trafikimit dhe të gjitha formave të dhunës dhe të torturës ndaj fëmijëve;</w:t>
      </w:r>
    </w:p>
    <w:p w14:paraId="5FEEF4C6" w14:textId="77777777" w:rsidR="009824FF" w:rsidRPr="00795698" w:rsidRDefault="009824FF" w:rsidP="009824FF">
      <w:pPr>
        <w:tabs>
          <w:tab w:val="left" w:pos="426"/>
        </w:tabs>
        <w:ind w:firstLine="284"/>
        <w:jc w:val="both"/>
        <w:rPr>
          <w:rFonts w:ascii="Garamond" w:hAnsi="Garamond"/>
        </w:rPr>
      </w:pPr>
      <w:r w:rsidRPr="00795698">
        <w:rPr>
          <w:rFonts w:ascii="Garamond" w:hAnsi="Garamond"/>
        </w:rPr>
        <w:lastRenderedPageBreak/>
        <w:t>16.a Forcimi i institucioneve kombëtare relevante, duke përfshirë bashkëpunimin ndërkombëtar, për ndërtimin e kapaciteteve në të gjitha nivelet, veçanërisht në vendet në zhvillim, për të parandaluar dhunën ekstremiste dhe për të luftuar terrorizmin dhe krimin.</w:t>
      </w:r>
    </w:p>
    <w:p w14:paraId="5FEEF4C7" w14:textId="77777777" w:rsidR="009824FF" w:rsidRPr="00795698" w:rsidRDefault="009824FF" w:rsidP="009824FF">
      <w:pPr>
        <w:ind w:firstLine="284"/>
        <w:jc w:val="both"/>
        <w:rPr>
          <w:rFonts w:ascii="Garamond" w:hAnsi="Garamond"/>
        </w:rPr>
      </w:pPr>
      <w:r w:rsidRPr="00795698">
        <w:rPr>
          <w:rFonts w:ascii="Garamond" w:hAnsi="Garamond"/>
          <w:bCs/>
        </w:rPr>
        <w:t>Qëllimi i hartimit të këtij dokumenti është orientimi i politikave e aktiviteteve dhe forcimi i qasjes gjithëpërfshirëse në parandalimin e fenomeneve që çojnë në terrorizëm, mbrojtjen, hetimin, reagimin ndaj akteve dhe pasojave të akteve të terrorizmit duke synuar rehabilitimin, riintegrimin dhe kompesimin e viktimave që përballen me këto fenomene.</w:t>
      </w:r>
      <w:r w:rsidRPr="00795698">
        <w:rPr>
          <w:rFonts w:ascii="Garamond" w:hAnsi="Garamond"/>
        </w:rPr>
        <w:t xml:space="preserve"> Hartimi i kësaj strategjie e cila është në pajtuershmeri me strategjinë e BE-së kundër terrorizmit</w:t>
      </w:r>
      <w:r w:rsidRPr="00795698">
        <w:rPr>
          <w:rStyle w:val="FootnoteReference"/>
          <w:rFonts w:ascii="Garamond" w:hAnsi="Garamond"/>
        </w:rPr>
        <w:footnoteReference w:id="2"/>
      </w:r>
      <w:r w:rsidRPr="00795698">
        <w:rPr>
          <w:rFonts w:ascii="Garamond" w:hAnsi="Garamond"/>
        </w:rPr>
        <w:t xml:space="preserve">, </w:t>
      </w:r>
      <w:r w:rsidRPr="00795698">
        <w:rPr>
          <w:rFonts w:ascii="Garamond" w:hAnsi="Garamond"/>
          <w:bCs/>
        </w:rPr>
        <w:t>synon harmonizimin e veprimtarisë së strukturave, agjencive dhe institucioneve që kanë përgjegjësi në parandalimin e ekstremizmit të dhunshëm dhe luftës kundër terrorizmit</w:t>
      </w:r>
      <w:r w:rsidRPr="00795698">
        <w:rPr>
          <w:rFonts w:ascii="Garamond" w:hAnsi="Garamond"/>
        </w:rPr>
        <w:t xml:space="preserve">. </w:t>
      </w:r>
    </w:p>
    <w:p w14:paraId="5FEEF4C8" w14:textId="2FB2DAB4" w:rsidR="009824FF" w:rsidRPr="00795698" w:rsidRDefault="009824FF" w:rsidP="009824FF">
      <w:pPr>
        <w:ind w:firstLine="284"/>
        <w:jc w:val="both"/>
        <w:rPr>
          <w:rFonts w:ascii="Garamond" w:hAnsi="Garamond"/>
        </w:rPr>
      </w:pPr>
      <w:r w:rsidRPr="00795698">
        <w:rPr>
          <w:rFonts w:ascii="Garamond" w:hAnsi="Garamond"/>
        </w:rPr>
        <w:t>Parandalimi dhe goditja e terrorizmit vazhdon të mbetet një ndër prioritetet kryesore të institucioneve me përgjegjësi në këtë fushë. Strategjia e re kundër terrorizmit dhe ekstremizmit</w:t>
      </w:r>
      <w:r w:rsidR="007C064A" w:rsidRPr="00795698">
        <w:rPr>
          <w:rFonts w:ascii="Garamond" w:hAnsi="Garamond"/>
        </w:rPr>
        <w:t>,</w:t>
      </w:r>
      <w:r w:rsidRPr="00795698">
        <w:rPr>
          <w:rFonts w:ascii="Garamond" w:hAnsi="Garamond"/>
        </w:rPr>
        <w:t xml:space="preserve"> si dhe masat e tjera legjislative dhe politike janë të ndërlidhura me Prioritetet e Qeverisë 2021</w:t>
      </w:r>
      <w:r w:rsidR="007C064A" w:rsidRPr="00795698">
        <w:rPr>
          <w:rFonts w:ascii="Garamond" w:hAnsi="Garamond"/>
        </w:rPr>
        <w:t>–</w:t>
      </w:r>
      <w:r w:rsidRPr="00795698">
        <w:rPr>
          <w:rFonts w:ascii="Garamond" w:hAnsi="Garamond"/>
        </w:rPr>
        <w:t xml:space="preserve">2025 dhe në Programin e Qeverisë ku një ndër prioritetet kryesore është </w:t>
      </w:r>
      <w:r w:rsidRPr="00795698">
        <w:rPr>
          <w:rFonts w:ascii="Garamond" w:hAnsi="Garamond"/>
          <w:i/>
          <w:iCs/>
        </w:rPr>
        <w:t>rendi dhe siguria publike</w:t>
      </w:r>
      <w:r w:rsidRPr="00795698">
        <w:rPr>
          <w:rFonts w:ascii="Garamond" w:hAnsi="Garamond"/>
        </w:rPr>
        <w:t xml:space="preserve"> duke synuar arritjen e standardit të vendeve të BE-së në këtë fushë. Fokusi i prioriteteve strategjike dhe i veprimit në fushën e rendit dhe sigurisë së brendshme bazuar në Programin e Qeverisë </w:t>
      </w:r>
      <w:r w:rsidR="007C064A" w:rsidRPr="00795698">
        <w:rPr>
          <w:rFonts w:ascii="Garamond" w:hAnsi="Garamond"/>
        </w:rPr>
        <w:t>2021–2025</w:t>
      </w:r>
      <w:r w:rsidRPr="00795698">
        <w:rPr>
          <w:rFonts w:ascii="Garamond" w:hAnsi="Garamond"/>
        </w:rPr>
        <w:t xml:space="preserve"> është: </w:t>
      </w:r>
    </w:p>
    <w:p w14:paraId="5FEEF4C9" w14:textId="77777777" w:rsidR="009824FF" w:rsidRPr="00795698" w:rsidRDefault="009824FF" w:rsidP="009824FF">
      <w:pPr>
        <w:pStyle w:val="TEKSTIIIII"/>
        <w:rPr>
          <w:lang w:val="sq-AL"/>
        </w:rPr>
      </w:pPr>
      <w:r w:rsidRPr="00795698">
        <w:rPr>
          <w:lang w:val="sq-AL"/>
        </w:rPr>
        <w:t xml:space="preserve">- forcimi i institucioneve përgjegjëse për rendin dhe sigurinë; </w:t>
      </w:r>
    </w:p>
    <w:p w14:paraId="5FEEF4CA" w14:textId="77777777" w:rsidR="009824FF" w:rsidRPr="00795698" w:rsidRDefault="009824FF" w:rsidP="009824FF">
      <w:pPr>
        <w:pStyle w:val="TEKSTIIIII"/>
        <w:rPr>
          <w:lang w:val="sq-AL"/>
        </w:rPr>
      </w:pPr>
      <w:r w:rsidRPr="00795698">
        <w:rPr>
          <w:lang w:val="sq-AL"/>
        </w:rPr>
        <w:t>- ndryshimi cilësisht i sistemit të kontrollit të territorit dhe policimit në komunitet në funksion të parandalimit të kriminalitetit dhe shkeljeve të ligjit;</w:t>
      </w:r>
    </w:p>
    <w:p w14:paraId="5FEEF4CB" w14:textId="77777777" w:rsidR="009824FF" w:rsidRPr="00795698" w:rsidRDefault="009824FF" w:rsidP="009824FF">
      <w:pPr>
        <w:pStyle w:val="TEKSTIIIII"/>
        <w:rPr>
          <w:lang w:val="sq-AL"/>
        </w:rPr>
      </w:pPr>
      <w:r w:rsidRPr="00795698">
        <w:rPr>
          <w:lang w:val="sq-AL"/>
        </w:rPr>
        <w:t xml:space="preserve">- konsolidimi i bashkëpunimit ndërkombëtar me organizatat e specializuara në luftën kundër krimit; </w:t>
      </w:r>
    </w:p>
    <w:p w14:paraId="5FEEF4CC" w14:textId="77777777" w:rsidR="009824FF" w:rsidRPr="00795698" w:rsidRDefault="009824FF" w:rsidP="009824FF">
      <w:pPr>
        <w:pStyle w:val="TEKSTIIIII"/>
        <w:rPr>
          <w:lang w:val="sq-AL"/>
        </w:rPr>
      </w:pPr>
      <w:r w:rsidRPr="00795698">
        <w:rPr>
          <w:lang w:val="sq-AL"/>
        </w:rPr>
        <w:t>- ngritja e skuadrave policore mobile të përbashkëta me vendet partnere si mundësi për shkëmbimin e shpejtë të informacionit;</w:t>
      </w:r>
    </w:p>
    <w:p w14:paraId="5FEEF4CD" w14:textId="77777777" w:rsidR="009824FF" w:rsidRPr="00795698" w:rsidRDefault="009824FF" w:rsidP="009824FF">
      <w:pPr>
        <w:pStyle w:val="TEKSTIIIII"/>
        <w:rPr>
          <w:lang w:val="sq-AL"/>
        </w:rPr>
      </w:pPr>
      <w:r w:rsidRPr="00795698">
        <w:rPr>
          <w:lang w:val="sq-AL"/>
        </w:rPr>
        <w:t xml:space="preserve">- kryerja e operacioneve të përbashkëta të hetimit penal, mbrojtja më mirë e të dhënave dhe bashkëpunëtorëve të drejtësisë; </w:t>
      </w:r>
    </w:p>
    <w:p w14:paraId="5FEEF4CE" w14:textId="77777777" w:rsidR="009824FF" w:rsidRPr="00795698" w:rsidRDefault="009824FF" w:rsidP="009824FF">
      <w:pPr>
        <w:pStyle w:val="TEKSTIIIII"/>
        <w:rPr>
          <w:lang w:val="sq-AL"/>
        </w:rPr>
      </w:pPr>
      <w:r w:rsidRPr="00795698">
        <w:rPr>
          <w:lang w:val="sq-AL"/>
        </w:rPr>
        <w:t xml:space="preserve">- përdorimi i metodave dhe teknologjisë bashkëkohore, dhe aftësimin e mëtejshëm profesional të strukturave; </w:t>
      </w:r>
    </w:p>
    <w:p w14:paraId="5FEEF4CF" w14:textId="77777777" w:rsidR="009824FF" w:rsidRPr="00795698" w:rsidRDefault="009824FF" w:rsidP="009824FF">
      <w:pPr>
        <w:pStyle w:val="TEKSTIIIII"/>
        <w:rPr>
          <w:lang w:val="sq-AL"/>
        </w:rPr>
      </w:pPr>
      <w:r w:rsidRPr="00795698">
        <w:rPr>
          <w:lang w:val="sq-AL"/>
        </w:rPr>
        <w:t xml:space="preserve">- krijimi i sistemeve të përbashkëta dhe të integruara të hedhjes dhe shkëmbimit të të dhënave për hetimin penal dhe inteligjencën. </w:t>
      </w:r>
    </w:p>
    <w:p w14:paraId="5FEEF4D0" w14:textId="0389B947" w:rsidR="009824FF" w:rsidRPr="00795698" w:rsidRDefault="009824FF" w:rsidP="009824FF">
      <w:pPr>
        <w:ind w:firstLine="284"/>
        <w:jc w:val="both"/>
        <w:rPr>
          <w:rFonts w:ascii="Garamond" w:hAnsi="Garamond"/>
        </w:rPr>
      </w:pPr>
      <w:r w:rsidRPr="00795698">
        <w:rPr>
          <w:rFonts w:ascii="Garamond" w:hAnsi="Garamond"/>
        </w:rPr>
        <w:t xml:space="preserve">Gjithashtu ai lidhet edhe me programin e qeverisë për periudhën </w:t>
      </w:r>
      <w:r w:rsidR="007C064A" w:rsidRPr="00795698">
        <w:rPr>
          <w:rFonts w:ascii="Garamond" w:hAnsi="Garamond"/>
        </w:rPr>
        <w:t>2021–2025</w:t>
      </w:r>
      <w:r w:rsidRPr="00795698">
        <w:rPr>
          <w:rFonts w:ascii="Garamond" w:hAnsi="Garamond"/>
        </w:rPr>
        <w:t xml:space="preserve"> “Shqipëria e </w:t>
      </w:r>
      <w:r w:rsidR="006249E3" w:rsidRPr="00795698">
        <w:rPr>
          <w:rFonts w:ascii="Garamond" w:hAnsi="Garamond"/>
        </w:rPr>
        <w:t>sigurt</w:t>
      </w:r>
      <w:r w:rsidRPr="00795698">
        <w:rPr>
          <w:rFonts w:ascii="Garamond" w:hAnsi="Garamond"/>
        </w:rPr>
        <w:t>” për ashpërsimin e masave në luftën kundër krimit në përgjithësi dhe krimit të organizuar në veçanti, në hetimin dhe ndjekjen e aseteve dhe pasurive të paligjshme të lidhura me krimin, duke rritur kapacitetet e strukturave.</w:t>
      </w:r>
    </w:p>
    <w:p w14:paraId="5FEEF4D1" w14:textId="4DE7CBB4" w:rsidR="009824FF" w:rsidRPr="00795698" w:rsidRDefault="009824FF" w:rsidP="009824FF">
      <w:pPr>
        <w:ind w:firstLine="284"/>
        <w:jc w:val="both"/>
        <w:rPr>
          <w:rFonts w:ascii="Garamond" w:hAnsi="Garamond"/>
        </w:rPr>
      </w:pPr>
      <w:r w:rsidRPr="00795698">
        <w:rPr>
          <w:rFonts w:ascii="Garamond" w:hAnsi="Garamond"/>
        </w:rPr>
        <w:t xml:space="preserve">Ky dokument ndërlidhet me procesin e integrimit </w:t>
      </w:r>
      <w:r w:rsidR="00A61218" w:rsidRPr="00795698">
        <w:rPr>
          <w:rFonts w:ascii="Garamond" w:hAnsi="Garamond"/>
        </w:rPr>
        <w:t>e</w:t>
      </w:r>
      <w:r w:rsidRPr="00795698">
        <w:rPr>
          <w:rFonts w:ascii="Garamond" w:hAnsi="Garamond"/>
        </w:rPr>
        <w:t xml:space="preserve">vropian dhe si i tillë është pjesë e PKIE-së, kapitulli 24 – Drejtësia, Liria dhe Siguria dhe nënkapitullit </w:t>
      </w:r>
      <w:r w:rsidR="00A61218" w:rsidRPr="00795698">
        <w:rPr>
          <w:rFonts w:ascii="Garamond" w:hAnsi="Garamond"/>
        </w:rPr>
        <w:t>–</w:t>
      </w:r>
      <w:r w:rsidRPr="00795698">
        <w:rPr>
          <w:rFonts w:ascii="Garamond" w:hAnsi="Garamond"/>
        </w:rPr>
        <w:t xml:space="preserve"> Bashkëpunimi</w:t>
      </w:r>
      <w:r w:rsidR="00A61218" w:rsidRPr="00795698">
        <w:rPr>
          <w:rFonts w:ascii="Garamond" w:hAnsi="Garamond"/>
        </w:rPr>
        <w:t xml:space="preserve"> </w:t>
      </w:r>
      <w:r w:rsidRPr="00795698">
        <w:rPr>
          <w:rFonts w:ascii="Garamond" w:hAnsi="Garamond"/>
        </w:rPr>
        <w:t xml:space="preserve">policor, lufta kundër krimit të organizuar dhe terrorizmi, bashkëpunimi në çështjet e drogës”. </w:t>
      </w:r>
    </w:p>
    <w:p w14:paraId="5FEEF4D2" w14:textId="25C93003" w:rsidR="009824FF" w:rsidRPr="00795698" w:rsidRDefault="009824FF" w:rsidP="009824FF">
      <w:pPr>
        <w:ind w:firstLine="284"/>
        <w:jc w:val="both"/>
        <w:rPr>
          <w:rFonts w:ascii="Garamond" w:hAnsi="Garamond"/>
        </w:rPr>
      </w:pPr>
      <w:r w:rsidRPr="00795698">
        <w:rPr>
          <w:rFonts w:ascii="Garamond" w:hAnsi="Garamond"/>
        </w:rPr>
        <w:t>Strategjia për Parandalimin e Ekstremizmit të Dhunshëm dhe Luftës kundër Terrorizmit është hartuar në harmoni me dokumentet</w:t>
      </w:r>
      <w:r w:rsidR="007C064A" w:rsidRPr="00795698">
        <w:rPr>
          <w:rFonts w:ascii="Garamond" w:hAnsi="Garamond"/>
        </w:rPr>
        <w:t xml:space="preserve"> </w:t>
      </w:r>
      <w:r w:rsidRPr="00795698">
        <w:rPr>
          <w:rFonts w:ascii="Garamond" w:hAnsi="Garamond"/>
        </w:rPr>
        <w:t>e ngjashme dhe më të rëndësishme ndërkombëtare. Hartimi i kësaj strategjie e cila është në përputhje të plotë me Strategjinë së BE-së kundër terrorizmit në nenet 5, 82 dhe 84, të Marrëveshjes së Stabilizim</w:t>
      </w:r>
      <w:r w:rsidR="00CC6F5B" w:rsidRPr="00795698">
        <w:rPr>
          <w:rFonts w:ascii="Garamond" w:hAnsi="Garamond"/>
        </w:rPr>
        <w:t>-</w:t>
      </w:r>
      <w:r w:rsidRPr="00795698">
        <w:rPr>
          <w:rFonts w:ascii="Garamond" w:hAnsi="Garamond"/>
        </w:rPr>
        <w:t>Asocimit, ku është parashikuar bashkëpunimi ndërmjet vendit tonë dhe BE-së në fushën kundër terrorizmit, do të bazohet në një qasje me katër komponentë:</w:t>
      </w:r>
    </w:p>
    <w:p w14:paraId="5FEEF4D3" w14:textId="77777777" w:rsidR="009824FF" w:rsidRPr="00795698" w:rsidRDefault="009824FF" w:rsidP="009824FF">
      <w:pPr>
        <w:pStyle w:val="TEKSTIIIII"/>
        <w:rPr>
          <w:lang w:val="sq-AL"/>
        </w:rPr>
      </w:pPr>
      <w:r w:rsidRPr="00795698">
        <w:rPr>
          <w:lang w:val="sq-AL"/>
        </w:rPr>
        <w:t>a) Sinjalizimi/parandalimi</w:t>
      </w:r>
    </w:p>
    <w:p w14:paraId="5FEEF4D4" w14:textId="77777777" w:rsidR="009824FF" w:rsidRPr="00795698" w:rsidRDefault="009824FF" w:rsidP="009824FF">
      <w:pPr>
        <w:pStyle w:val="TEKSTIIIII"/>
        <w:rPr>
          <w:lang w:val="sq-AL"/>
        </w:rPr>
      </w:pPr>
      <w:r w:rsidRPr="00795698">
        <w:rPr>
          <w:lang w:val="sq-AL"/>
        </w:rPr>
        <w:t>b) Hetimi dhe goditja</w:t>
      </w:r>
    </w:p>
    <w:p w14:paraId="5FEEF4D5" w14:textId="1D5AE71D" w:rsidR="009824FF" w:rsidRPr="00795698" w:rsidRDefault="009824FF" w:rsidP="009824FF">
      <w:pPr>
        <w:pStyle w:val="TEKSTIIIII"/>
        <w:rPr>
          <w:lang w:val="sq-AL"/>
        </w:rPr>
      </w:pPr>
      <w:r w:rsidRPr="00795698">
        <w:rPr>
          <w:lang w:val="sq-AL"/>
        </w:rPr>
        <w:lastRenderedPageBreak/>
        <w:t xml:space="preserve">c) Reagimi, </w:t>
      </w:r>
      <w:r w:rsidR="00285446" w:rsidRPr="00795698">
        <w:rPr>
          <w:lang w:val="sq-AL"/>
        </w:rPr>
        <w:t>rehabilitimi dhe riintegrimi</w:t>
      </w:r>
    </w:p>
    <w:p w14:paraId="5FEEF4D6" w14:textId="77777777" w:rsidR="009824FF" w:rsidRPr="00795698" w:rsidRDefault="009824FF" w:rsidP="009824FF">
      <w:pPr>
        <w:pStyle w:val="TEKSTIIIII"/>
        <w:rPr>
          <w:lang w:val="sq-AL"/>
        </w:rPr>
      </w:pPr>
      <w:r w:rsidRPr="00795698">
        <w:rPr>
          <w:lang w:val="sq-AL"/>
        </w:rPr>
        <w:t>d) Mbrojtja</w:t>
      </w:r>
    </w:p>
    <w:p w14:paraId="5FEEF4D7" w14:textId="77777777" w:rsidR="009824FF" w:rsidRPr="00795698" w:rsidRDefault="009824FF" w:rsidP="009824FF">
      <w:pPr>
        <w:ind w:firstLine="284"/>
        <w:jc w:val="both"/>
        <w:rPr>
          <w:rFonts w:ascii="Garamond" w:hAnsi="Garamond"/>
        </w:rPr>
      </w:pPr>
      <w:r w:rsidRPr="00795698">
        <w:rPr>
          <w:rFonts w:ascii="Garamond" w:hAnsi="Garamond"/>
        </w:rPr>
        <w:t>Strategjia bazohet njëkohësisht edhe në Strategjinë e Sigurisë Kombëtare në kuadër të fuqizimit të sigurisë dhe mbrojtjes ku një ndër objektivat kryesorë është ngritja e mekanizmave që garantojnë komunikimin, bashkërendimin dhe bashkëpunimin efektiv ndërinstitucional mes aktorëve kryesorë të sigurisë kombëtare, përmes forcimit të bashkëpunimit dypalësh dhe me institucionet e specializuara rajonale dhe ndërkombëtare për të luftuar krimin e organizuar, korrupsionin, trafiqet e paligjshme, ekstremizmin e dhunshëm dhe terrorizmin.</w:t>
      </w:r>
    </w:p>
    <w:p w14:paraId="5FEEF4D8" w14:textId="77777777" w:rsidR="009824FF" w:rsidRPr="00795698" w:rsidRDefault="009824FF" w:rsidP="009824FF">
      <w:pPr>
        <w:pStyle w:val="TEKSTIIIII"/>
        <w:rPr>
          <w:rFonts w:eastAsia="Calibri"/>
          <w:lang w:val="sq-AL"/>
        </w:rPr>
      </w:pPr>
      <w:bookmarkStart w:id="12" w:name="_Toc108644252"/>
      <w:r w:rsidRPr="00795698">
        <w:rPr>
          <w:rFonts w:eastAsia="Calibri"/>
          <w:lang w:val="sq-AL"/>
        </w:rPr>
        <w:t>Metodologjia</w:t>
      </w:r>
      <w:bookmarkEnd w:id="12"/>
    </w:p>
    <w:p w14:paraId="5FEEF4D9" w14:textId="11E22E56" w:rsidR="009824FF" w:rsidRPr="00795698" w:rsidRDefault="009824FF" w:rsidP="009824FF">
      <w:pPr>
        <w:ind w:firstLine="284"/>
        <w:jc w:val="both"/>
        <w:rPr>
          <w:rFonts w:ascii="Garamond" w:hAnsi="Garamond"/>
        </w:rPr>
      </w:pPr>
      <w:r w:rsidRPr="00795698">
        <w:rPr>
          <w:rFonts w:ascii="Garamond" w:hAnsi="Garamond"/>
        </w:rPr>
        <w:t>Strategjia bazohet në konceptin e bashkëpunimit dhe gjithëpërfshirjes së të gjithë aktorëve që mund të kontribuojnë në arritjen e objektivave strategjikë dhe që janë profilizuar në këtë drejtim duke u bazuar në analiza, vlerësime dhe veprime konkrete. Kjo qasje nënkupton bashkëpunim të ngushtë dhe shumëdimensional midis institucioneve shtetërore, strukturave private, shoqërisë civile, komunitetit akademiko-shkencor si dhe partnerëve në nivelin kombëtar, rajonal dhe ndërkombëtarë, duke promovuar një qasje adekuate ndaj kërcënimit të radikalizmit, ekstremizmit</w:t>
      </w:r>
      <w:r w:rsidR="007C064A" w:rsidRPr="00795698">
        <w:rPr>
          <w:rFonts w:ascii="Garamond" w:hAnsi="Garamond"/>
        </w:rPr>
        <w:t xml:space="preserve"> </w:t>
      </w:r>
      <w:r w:rsidRPr="00795698">
        <w:rPr>
          <w:rFonts w:ascii="Garamond" w:hAnsi="Garamond"/>
        </w:rPr>
        <w:t>të dhunshëm</w:t>
      </w:r>
      <w:r w:rsidR="007C064A" w:rsidRPr="00795698">
        <w:rPr>
          <w:rFonts w:ascii="Garamond" w:hAnsi="Garamond"/>
        </w:rPr>
        <w:t xml:space="preserve"> </w:t>
      </w:r>
      <w:r w:rsidRPr="00795698">
        <w:rPr>
          <w:rFonts w:ascii="Garamond" w:hAnsi="Garamond"/>
        </w:rPr>
        <w:t>dhe terrorizmit.</w:t>
      </w:r>
    </w:p>
    <w:p w14:paraId="5FEEF4DA" w14:textId="4B3239A3" w:rsidR="009824FF" w:rsidRPr="00795698" w:rsidRDefault="009824FF" w:rsidP="009824FF">
      <w:pPr>
        <w:ind w:firstLine="284"/>
        <w:jc w:val="both"/>
        <w:rPr>
          <w:rFonts w:ascii="Garamond" w:hAnsi="Garamond"/>
        </w:rPr>
      </w:pPr>
      <w:r w:rsidRPr="00795698">
        <w:rPr>
          <w:rFonts w:ascii="Garamond" w:hAnsi="Garamond"/>
        </w:rPr>
        <w:t>Në këtë strategji përcaktohen objektiva të orientuar në garantimin e sigurisë nëpërmjet</w:t>
      </w:r>
      <w:r w:rsidR="007C064A" w:rsidRPr="00795698">
        <w:rPr>
          <w:rFonts w:ascii="Garamond" w:hAnsi="Garamond"/>
        </w:rPr>
        <w:t xml:space="preserve"> </w:t>
      </w:r>
      <w:r w:rsidRPr="00795698">
        <w:rPr>
          <w:rFonts w:ascii="Garamond" w:hAnsi="Garamond"/>
        </w:rPr>
        <w:t>promovimit dhe mbrojtjes së vlerave themelore të njeriut të përcaktuara në katër fusha prioritete</w:t>
      </w:r>
      <w:r w:rsidR="00285446" w:rsidRPr="00795698">
        <w:rPr>
          <w:rFonts w:ascii="Garamond" w:hAnsi="Garamond"/>
        </w:rPr>
        <w:t>,</w:t>
      </w:r>
      <w:r w:rsidRPr="00795698">
        <w:rPr>
          <w:rFonts w:ascii="Garamond" w:hAnsi="Garamond"/>
        </w:rPr>
        <w:t xml:space="preserve"> si: 1) Parandalimi i ekstremizmit të dhunshëm dhe terrorizmit; 2) Mbrojtja, zbulimi dhe eleminimi kërcënimeve të ekstremizmit të dhunshëm dhe terrorizmit; 3) Hetimi dhe ndjekja penale e terroristëve, 4) Reagimi operacional i strukturave në rast të një sulmi terrorist si edhe reagimi gjithëpërfshirës i strukturave dhe komunitetit për rehabilitimin dhe riintegrimin e viktimave të fenomeneve të ekstremizmit të dhunshëm dhe terrorizmit.</w:t>
      </w:r>
    </w:p>
    <w:p w14:paraId="5FEEF4DB" w14:textId="7E9517C7" w:rsidR="009824FF" w:rsidRPr="00795698" w:rsidRDefault="009824FF" w:rsidP="009824FF">
      <w:pPr>
        <w:ind w:firstLine="284"/>
        <w:jc w:val="both"/>
        <w:rPr>
          <w:rFonts w:ascii="Garamond" w:hAnsi="Garamond"/>
        </w:rPr>
      </w:pPr>
      <w:r w:rsidRPr="00795698">
        <w:rPr>
          <w:rFonts w:ascii="Garamond" w:hAnsi="Garamond"/>
        </w:rPr>
        <w:t xml:space="preserve">Zhvillimi i strategjisë konsideron faktin se kërcënimi i terroristëve, organizatave dhe strukturave terroriste manifestohet si terrorizëm i frymëzuar nga ana fetare, terrorizëm etnik-nacionalist dhe separatist, terrorizëm i krahut të majtë dhe anarkik dhe terrorizëm i djathtë. Elementet kryesore të terrorizmit si një fenomen shoqëror, mund të shfaqen në të gjitha format e manifestimit që përfshijnë dhunën si metodë; nxitja e frikës dhe nxitja e ndryshimeve politike dhe shoqërore; arritja e objektivave të përcaktuara terroriste </w:t>
      </w:r>
      <w:r w:rsidR="00285446" w:rsidRPr="00795698">
        <w:rPr>
          <w:rFonts w:ascii="Garamond" w:hAnsi="Garamond"/>
        </w:rPr>
        <w:t>–</w:t>
      </w:r>
      <w:r w:rsidRPr="00795698">
        <w:rPr>
          <w:rFonts w:ascii="Garamond" w:hAnsi="Garamond"/>
        </w:rPr>
        <w:t xml:space="preserve"> detyrimi</w:t>
      </w:r>
      <w:r w:rsidR="00285446" w:rsidRPr="00795698">
        <w:rPr>
          <w:rFonts w:ascii="Garamond" w:hAnsi="Garamond"/>
        </w:rPr>
        <w:t xml:space="preserve"> </w:t>
      </w:r>
      <w:r w:rsidRPr="00795698">
        <w:rPr>
          <w:rFonts w:ascii="Garamond" w:hAnsi="Garamond"/>
        </w:rPr>
        <w:t xml:space="preserve">i qeverisë ose shoqërisë për të marrë ose mos marrë masa konkrete </w:t>
      </w:r>
      <w:r w:rsidR="00285446" w:rsidRPr="00795698">
        <w:rPr>
          <w:rFonts w:ascii="Garamond" w:hAnsi="Garamond"/>
        </w:rPr>
        <w:t>–</w:t>
      </w:r>
      <w:r w:rsidRPr="00795698">
        <w:rPr>
          <w:rFonts w:ascii="Garamond" w:hAnsi="Garamond"/>
        </w:rPr>
        <w:t xml:space="preserve"> arritja</w:t>
      </w:r>
      <w:r w:rsidR="00285446" w:rsidRPr="00795698">
        <w:rPr>
          <w:rFonts w:ascii="Garamond" w:hAnsi="Garamond"/>
        </w:rPr>
        <w:t xml:space="preserve"> </w:t>
      </w:r>
      <w:r w:rsidRPr="00795698">
        <w:rPr>
          <w:rFonts w:ascii="Garamond" w:hAnsi="Garamond"/>
        </w:rPr>
        <w:t>e objektivave politik</w:t>
      </w:r>
      <w:r w:rsidR="00285446" w:rsidRPr="00795698">
        <w:rPr>
          <w:rFonts w:ascii="Garamond" w:hAnsi="Garamond"/>
        </w:rPr>
        <w:t>ë</w:t>
      </w:r>
      <w:r w:rsidRPr="00795698">
        <w:rPr>
          <w:rFonts w:ascii="Garamond" w:hAnsi="Garamond"/>
        </w:rPr>
        <w:t>, fetar</w:t>
      </w:r>
      <w:r w:rsidR="00285446" w:rsidRPr="00795698">
        <w:rPr>
          <w:rFonts w:ascii="Garamond" w:hAnsi="Garamond"/>
        </w:rPr>
        <w:t>ë</w:t>
      </w:r>
      <w:r w:rsidRPr="00795698">
        <w:rPr>
          <w:rFonts w:ascii="Garamond" w:hAnsi="Garamond"/>
        </w:rPr>
        <w:t xml:space="preserve"> ose ideologjik</w:t>
      </w:r>
      <w:r w:rsidR="00285446" w:rsidRPr="00795698">
        <w:rPr>
          <w:rFonts w:ascii="Garamond" w:hAnsi="Garamond"/>
        </w:rPr>
        <w:t>ë</w:t>
      </w:r>
      <w:r w:rsidRPr="00795698">
        <w:rPr>
          <w:rFonts w:ascii="Garamond" w:hAnsi="Garamond"/>
        </w:rPr>
        <w:t>; një numër i madh i viktimave, të cilat tregojnë spektakolaritetin për të cilin aspirojnë terroristët, si dhe paligjshmërinë dhe papranueshmërinë shoqërore.</w:t>
      </w:r>
    </w:p>
    <w:p w14:paraId="5FEEF4DC" w14:textId="0BA1EEBC" w:rsidR="009824FF" w:rsidRPr="00795698" w:rsidRDefault="009824FF" w:rsidP="009824FF">
      <w:pPr>
        <w:ind w:firstLine="284"/>
        <w:jc w:val="both"/>
        <w:rPr>
          <w:rFonts w:ascii="Garamond" w:hAnsi="Garamond"/>
        </w:rPr>
      </w:pPr>
      <w:r w:rsidRPr="00795698">
        <w:rPr>
          <w:rFonts w:ascii="Garamond" w:hAnsi="Garamond"/>
        </w:rPr>
        <w:t>Faktorë të rëndësishëm shkaktarë të ekstremizmit të dhunshëm dhe terrorizmit të cilët ndikojnë në fushën dhe dimensionin e veprimtarive terroriste të organizatave terroriste, strukturave terroriste dhe individëve janë të ndryshëm. Kët</w:t>
      </w:r>
      <w:r w:rsidR="009909EA" w:rsidRPr="00795698">
        <w:rPr>
          <w:rFonts w:ascii="Garamond" w:hAnsi="Garamond"/>
        </w:rPr>
        <w:t>a</w:t>
      </w:r>
      <w:r w:rsidRPr="00795698">
        <w:rPr>
          <w:rFonts w:ascii="Garamond" w:hAnsi="Garamond"/>
        </w:rPr>
        <w:t xml:space="preserve"> faktorë fillojnë që nga hendeku midis pritjeve dhe mundësisë së arritjes së objektivave të grupeve shoqërore në kushtet e ekzistencës sociale, ekonomike dhe ndryshimeve politike, përfshirë tendencat separatiste, por edhe në arritjen e monolitizmit etnik në një fushë të veçantë, aspektet ekonomike, sociale etj., duke evidentuar destabilitet në sigurinë e komuniteteve dhe shoqërisë. Këto faktorë grupohen</w:t>
      </w:r>
      <w:r w:rsidR="007C064A" w:rsidRPr="00795698">
        <w:rPr>
          <w:rFonts w:ascii="Garamond" w:hAnsi="Garamond"/>
        </w:rPr>
        <w:t xml:space="preserve"> </w:t>
      </w:r>
      <w:r w:rsidRPr="00795698">
        <w:rPr>
          <w:rFonts w:ascii="Garamond" w:hAnsi="Garamond"/>
        </w:rPr>
        <w:t>në dy kategori kryesore si: faktorë shtytës që i drejtojnë individët drejt ekstremizmit të dhunshëm</w:t>
      </w:r>
      <w:r w:rsidR="00D72184" w:rsidRPr="00795698">
        <w:rPr>
          <w:rFonts w:ascii="Garamond" w:hAnsi="Garamond"/>
        </w:rPr>
        <w:t>,</w:t>
      </w:r>
      <w:r w:rsidRPr="00795698">
        <w:rPr>
          <w:rFonts w:ascii="Garamond" w:hAnsi="Garamond"/>
        </w:rPr>
        <w:t xml:space="preserve"> si: margjinalizimi, pabarazia, diskriminimi, persekutimi ose perceptimi i persekutimit, mundësia e kufizuar për arsim cilësor dhe të përshtatshëm, mohimi i të drejtave dhe lirive civile, dhe probleme të tjera mjedisore, historike dhe socialo-ekonomike,</w:t>
      </w:r>
      <w:r w:rsidR="007C064A" w:rsidRPr="00795698">
        <w:rPr>
          <w:rFonts w:ascii="Garamond" w:hAnsi="Garamond"/>
        </w:rPr>
        <w:t xml:space="preserve"> </w:t>
      </w:r>
      <w:r w:rsidRPr="00795698">
        <w:rPr>
          <w:rFonts w:ascii="Garamond" w:hAnsi="Garamond"/>
        </w:rPr>
        <w:t>dhe faktorë nxitës që ushqejnë tërheqjen ndaj ekstremizmit të dhunshëm, si: ekzistenca e grupeve të mirorganizuara të ekstremizmit të dhunshëm me ligjërime imponuese dhe programe efektive, të cilat ofrojnë shërbime, të ardhura dhe/ose punësim në këmbim të anëtarësimit.</w:t>
      </w:r>
    </w:p>
    <w:p w14:paraId="5FEEF4DD" w14:textId="574DA904" w:rsidR="009824FF" w:rsidRPr="00795698" w:rsidRDefault="009824FF" w:rsidP="009824FF">
      <w:pPr>
        <w:ind w:firstLine="284"/>
        <w:jc w:val="both"/>
        <w:rPr>
          <w:rFonts w:ascii="Garamond" w:hAnsi="Garamond"/>
        </w:rPr>
      </w:pPr>
      <w:r w:rsidRPr="00795698">
        <w:rPr>
          <w:rFonts w:ascii="Garamond" w:hAnsi="Garamond"/>
        </w:rPr>
        <w:t xml:space="preserve">Radikalizmi dhe ekstremizmi i dhunshëm lidhen me ato besime dhe veprime që mbështesin ose përdorin dhunën e motivuar ideologjikisht për të ngulitur pikëpamje ideologjike, fetare, politike, nacionaliste etj. Prandaj, ndër të tjera kjo strategji synon të fokusohet edhe në analizimin e faktorëve </w:t>
      </w:r>
      <w:r w:rsidRPr="00795698">
        <w:rPr>
          <w:rFonts w:ascii="Garamond" w:hAnsi="Garamond"/>
        </w:rPr>
        <w:lastRenderedPageBreak/>
        <w:t>shtytës dhe tërheqës, duke identifikuar kështu veprime dhe situata që krijohen si pasojë e deformimit të besimeve, për të nxitur</w:t>
      </w:r>
      <w:r w:rsidR="007C064A" w:rsidRPr="00795698">
        <w:rPr>
          <w:rFonts w:ascii="Garamond" w:hAnsi="Garamond"/>
        </w:rPr>
        <w:t xml:space="preserve"> </w:t>
      </w:r>
      <w:r w:rsidRPr="00795698">
        <w:rPr>
          <w:rFonts w:ascii="Garamond" w:hAnsi="Garamond"/>
        </w:rPr>
        <w:t xml:space="preserve">individin në ndërmarrjen e veprimeve ekstreme të dhunshme. </w:t>
      </w:r>
    </w:p>
    <w:p w14:paraId="5FEEF4DE" w14:textId="77777777" w:rsidR="009824FF" w:rsidRPr="00795698" w:rsidRDefault="009824FF" w:rsidP="009824FF">
      <w:pPr>
        <w:ind w:firstLine="284"/>
        <w:jc w:val="both"/>
        <w:rPr>
          <w:rFonts w:ascii="Garamond" w:hAnsi="Garamond"/>
        </w:rPr>
      </w:pPr>
      <w:r w:rsidRPr="00795698">
        <w:rPr>
          <w:rFonts w:ascii="Garamond" w:hAnsi="Garamond"/>
        </w:rPr>
        <w:t xml:space="preserve">Në përcaktimin e objektivave strategjikë, u morën parasysh të gjithë elementët më të rëndësishëm të kësaj metodologjie, faktorët e rrezikut që ndikojnë në zhvillimin e një kërcënimi në rast të shfaqjes së radikalizmit që çon në ekstremizëm të dhunshëm, specifikat me të cilat përballet Shqipëria në luftën kundër terrorizmit, përfshirë misionin dhe kapacitetet ekzistuese të sistemit të sigurisë në kuptimin më të gjerë, përfshirë shoqërinë civile dhe sektorin privat. Aktivitetet konkrete për arritjen e objektivave të kësaj Strategjie do të përcaktohen në Planet e Veprimit për zbatimin e saj, dhe do të drejtohen kryesisht në zbutjen e faktorëve të ndërlidhur të rrezikut. </w:t>
      </w:r>
    </w:p>
    <w:p w14:paraId="5FEEF4DF" w14:textId="10811A4D" w:rsidR="009824FF" w:rsidRPr="00795698" w:rsidRDefault="009824FF" w:rsidP="009824FF">
      <w:pPr>
        <w:ind w:firstLine="284"/>
        <w:jc w:val="both"/>
        <w:rPr>
          <w:rFonts w:ascii="Garamond" w:hAnsi="Garamond"/>
        </w:rPr>
      </w:pPr>
      <w:r w:rsidRPr="00795698">
        <w:rPr>
          <w:rFonts w:ascii="Garamond" w:hAnsi="Garamond"/>
        </w:rPr>
        <w:t>Qasja gjithëpërfshirëse dhe konsolidimi i strukturave të inteligjencës vlerësohet si element thelbësor për suksesin në parandalimin e ekstremizmit të dhunshëm dhe luftën kundër terrorizmit, ku të gjitha institucionet veprojnë së bashku në përgjigje të kërcënimeve terroriste duke u fokusuar kryesisht te parandalimi i akteve të tilla. Republika e Shqipërisë do të zhvillojë kapacitetet parandaluese por edhe ato të hetimit, zbulimit, reagimit dhe mbrojtjes nga aktet terroriste, duke rritur bashkëpunimin rajonal dhe ndërkombëtar dhe duke shkëmbyer eksperienca dhe praktika për identifikimin dhe parandalimin e akteve</w:t>
      </w:r>
      <w:r w:rsidR="007C064A" w:rsidRPr="00795698">
        <w:rPr>
          <w:rFonts w:ascii="Garamond" w:hAnsi="Garamond"/>
        </w:rPr>
        <w:t xml:space="preserve"> </w:t>
      </w:r>
      <w:r w:rsidRPr="00795698">
        <w:rPr>
          <w:rFonts w:ascii="Garamond" w:hAnsi="Garamond"/>
        </w:rPr>
        <w:t>duke respektuar edhe standardet dhe praktikat ndërkombëtare. Kuadri ligjor dhe institucional në fuqi dhe lidhja me dokumentet dhe prioritetet strategjike të këtij dokumenti, përputhet plotësisht me dokumentet strategjikë në nivel ndërkombëtar e kombëtar të miratuar nga Kuvendi dhe Këshilli i Ministrave duke bërë që vizioni, objektivat strategjikë dhe specifikë e parashikuar të përputhen plotësisht me këta dokumente strategjike. Baza e suksesit të kësaj strategjie është ndjekja dhe zbatimi nga të gjitha institucionet në të gjitha nivelet (qendrore dhe lokale), duke siguruar dhe duke rritur transparencën, përgjegjshmërinë dhe llogaridhënien, në lidhje me zbatimin e saj.</w:t>
      </w:r>
    </w:p>
    <w:p w14:paraId="5FEEF4E0" w14:textId="40D7B462" w:rsidR="009824FF" w:rsidRPr="00795698" w:rsidRDefault="009824FF" w:rsidP="009824FF">
      <w:pPr>
        <w:ind w:firstLine="284"/>
        <w:jc w:val="both"/>
        <w:rPr>
          <w:rFonts w:ascii="Garamond" w:hAnsi="Garamond"/>
        </w:rPr>
      </w:pPr>
      <w:r w:rsidRPr="00795698">
        <w:rPr>
          <w:rFonts w:ascii="Garamond" w:hAnsi="Garamond"/>
        </w:rPr>
        <w:t xml:space="preserve">Nisma për hartimin e kësaj strategjie të ndryshuar është ndërmarrë nga Ministria e Brendshme si institucion përgjegjës për fushën e rendit dhe sigurisë publike të përcaktuar në </w:t>
      </w:r>
      <w:r w:rsidR="009909EA" w:rsidRPr="00795698">
        <w:rPr>
          <w:rFonts w:ascii="Garamond" w:hAnsi="Garamond"/>
        </w:rPr>
        <w:t>v</w:t>
      </w:r>
      <w:r w:rsidRPr="00795698">
        <w:rPr>
          <w:rFonts w:ascii="Garamond" w:hAnsi="Garamond"/>
        </w:rPr>
        <w:t>endimin e Këshillit të Ministrave nr. 604, datë 20.10.2021</w:t>
      </w:r>
      <w:r w:rsidR="00C874C0" w:rsidRPr="00795698">
        <w:rPr>
          <w:rFonts w:ascii="Garamond" w:hAnsi="Garamond"/>
        </w:rPr>
        <w:t>,</w:t>
      </w:r>
      <w:r w:rsidRPr="00795698">
        <w:rPr>
          <w:rFonts w:ascii="Garamond" w:hAnsi="Garamond"/>
        </w:rPr>
        <w:t xml:space="preserve"> “Për përcaktimin e fushës së përgjegjësisë shtetërore të Ministrisë së Brendshme” ku në pikën 3, germa “d” përcaktohet se, Ministria e Brendshme është përgjegjëse për hartimin dhe zbatimin e politikës së përgjithshme shtetërore në fushën e </w:t>
      </w:r>
      <w:r w:rsidRPr="00795698">
        <w:rPr>
          <w:rFonts w:ascii="Garamond" w:hAnsi="Garamond"/>
          <w:i/>
        </w:rPr>
        <w:t>antiterrorit dhe ekstremizmit të dhunshëm</w:t>
      </w:r>
      <w:r w:rsidRPr="00795698">
        <w:rPr>
          <w:rFonts w:ascii="Garamond" w:hAnsi="Garamond"/>
        </w:rPr>
        <w:t xml:space="preserve">. </w:t>
      </w:r>
    </w:p>
    <w:p w14:paraId="5FEEF4E1" w14:textId="464EF9B8" w:rsidR="009824FF" w:rsidRPr="00795698" w:rsidRDefault="009824FF" w:rsidP="009824FF">
      <w:pPr>
        <w:ind w:firstLine="284"/>
        <w:jc w:val="both"/>
        <w:rPr>
          <w:rFonts w:ascii="Garamond" w:hAnsi="Garamond"/>
        </w:rPr>
      </w:pPr>
      <w:r w:rsidRPr="00795698">
        <w:rPr>
          <w:rFonts w:ascii="Garamond" w:hAnsi="Garamond"/>
        </w:rPr>
        <w:t xml:space="preserve">Pas miratimit të vendimit të Këshillit të Ministrave nr. 604, datë 20.10.2021 “Për përcaktimin e fushës së përgjegjësisë shtetërore të Ministrisë së Brendshme” lindi nevoja e rikonceptimit të strategjisë ndërsektoriale të luftës kundër terrorizmit </w:t>
      </w:r>
      <w:r w:rsidR="007C064A" w:rsidRPr="00795698">
        <w:rPr>
          <w:rFonts w:ascii="Garamond" w:hAnsi="Garamond"/>
        </w:rPr>
        <w:t>2021–2025</w:t>
      </w:r>
      <w:r w:rsidRPr="00795698">
        <w:rPr>
          <w:rFonts w:ascii="Garamond" w:hAnsi="Garamond"/>
        </w:rPr>
        <w:t xml:space="preserve"> me qëllim integrimin e dimensionit të parandalimit të ekstremizmit të dhunshëm në qëllimet e politikave të kësaj strategjie. Me qëllim rishikimin e strategjisë ndërsektoriale të luftës kundër terrorizmit </w:t>
      </w:r>
      <w:r w:rsidR="007C064A" w:rsidRPr="00795698">
        <w:rPr>
          <w:rFonts w:ascii="Garamond" w:hAnsi="Garamond"/>
        </w:rPr>
        <w:t>2021–2025</w:t>
      </w:r>
      <w:r w:rsidRPr="00795698">
        <w:rPr>
          <w:rFonts w:ascii="Garamond" w:hAnsi="Garamond"/>
        </w:rPr>
        <w:t xml:space="preserve"> në vijim edhe të kalimit të Qendrës për Koordinimin </w:t>
      </w:r>
      <w:r w:rsidR="009C4DC2" w:rsidRPr="00795698">
        <w:rPr>
          <w:rFonts w:ascii="Garamond" w:hAnsi="Garamond"/>
        </w:rPr>
        <w:t>k</w:t>
      </w:r>
      <w:r w:rsidRPr="00795698">
        <w:rPr>
          <w:rFonts w:ascii="Garamond" w:hAnsi="Garamond"/>
        </w:rPr>
        <w:t xml:space="preserve">undër Ekstremizmit të Dhunshëm në varësi të Ministrisë së Brendshme me </w:t>
      </w:r>
      <w:r w:rsidR="00593ADB" w:rsidRPr="00795698">
        <w:rPr>
          <w:rFonts w:ascii="Garamond" w:hAnsi="Garamond"/>
        </w:rPr>
        <w:t>v</w:t>
      </w:r>
      <w:r w:rsidRPr="00795698">
        <w:rPr>
          <w:rFonts w:ascii="Garamond" w:hAnsi="Garamond"/>
        </w:rPr>
        <w:t xml:space="preserve">endimin e Këshillit të Ministrave “Për disa ndryshime dhe shtesa në vendimin nr. 737, datë 13.12.2017, të Këshillit të Ministrave, “Për ngritjen e Qendrës së Koordinimit kundër Ekstremizmit të Dhunshëm (QKEDH) si institucion varësie i Ministrisë së Brendshme u </w:t>
      </w:r>
      <w:r w:rsidR="00F53E58" w:rsidRPr="00795698">
        <w:rPr>
          <w:rFonts w:ascii="Garamond" w:hAnsi="Garamond"/>
        </w:rPr>
        <w:t>ri</w:t>
      </w:r>
      <w:r w:rsidRPr="00795698">
        <w:rPr>
          <w:rFonts w:ascii="Garamond" w:hAnsi="Garamond"/>
        </w:rPr>
        <w:t xml:space="preserve">organizua grupi i punës me urdhrin e Ministrit të Brendshëm nr. 73, datë 18.5.2022 “Për ngritjen e grupit të punës për hartimin e dokumentit strategjik për parandalimin dhe kundërshtimin e ekstremizmit të dhunshëm”. Grupi i Punës u kryesua nga Zëvendësministri i Brendshëm përgjegjës për çështjet e ekstremizmit të dhunshëm me përfaqësues nga strukturat e Ministrisë së Brendshme si Drejtoria e Përgjithshme për Politikat e Rendit dhe Sigurisë Publike, Qendra e Koordinimit </w:t>
      </w:r>
      <w:r w:rsidR="009C4DC2" w:rsidRPr="00795698">
        <w:rPr>
          <w:rFonts w:ascii="Garamond" w:hAnsi="Garamond"/>
        </w:rPr>
        <w:t>k</w:t>
      </w:r>
      <w:r w:rsidRPr="00795698">
        <w:rPr>
          <w:rFonts w:ascii="Garamond" w:hAnsi="Garamond"/>
        </w:rPr>
        <w:t>undër Ekstremizmit të Dhunshëm, Drejtoria e Rendit Publik, në Drejtorinë e Përgjithshme të Policisë së Shtetit, Drejtoria e Antiterrorit në Drejtorinë e Përgjithshme të Policisë së Shtetit, Agjencia e Mbështetjes së Vetëqeverisjes Vendore (në kuadër të koordinimit dhe bashkëpunimit me pushtetin lokal në realizimin e një sërë masash),</w:t>
      </w:r>
      <w:r w:rsidR="007C064A" w:rsidRPr="00795698">
        <w:rPr>
          <w:rFonts w:ascii="Garamond" w:hAnsi="Garamond"/>
        </w:rPr>
        <w:t xml:space="preserve"> </w:t>
      </w:r>
      <w:r w:rsidRPr="00795698">
        <w:rPr>
          <w:rFonts w:ascii="Garamond" w:hAnsi="Garamond"/>
        </w:rPr>
        <w:t xml:space="preserve">në Ministrinë e Brendshme. Në këtë grup pune morën pjesë edhe përfaqësues nga </w:t>
      </w:r>
      <w:r w:rsidR="00593ADB" w:rsidRPr="00795698">
        <w:rPr>
          <w:rFonts w:ascii="Garamond" w:hAnsi="Garamond"/>
        </w:rPr>
        <w:t>ministritë</w:t>
      </w:r>
      <w:r w:rsidRPr="00795698">
        <w:rPr>
          <w:rFonts w:ascii="Garamond" w:hAnsi="Garamond"/>
        </w:rPr>
        <w:t xml:space="preserve"> e linjës dhe agjencitë/institucionet e pavarura. Si rrjedhim, strategjia </w:t>
      </w:r>
      <w:r w:rsidRPr="00795698">
        <w:rPr>
          <w:rFonts w:ascii="Garamond" w:hAnsi="Garamond"/>
        </w:rPr>
        <w:lastRenderedPageBreak/>
        <w:t xml:space="preserve">është konceptuar bazuar në qasjen ndërinstitucionale, gjithëpërfshirëse, dhe është bazuar në kontributet e ministrive të linjës si Ministria e Mbrojtjes, Ministria e Financës dhe Ekonomisë, Ministria e Kulturës, Ministria e Drejtësisë, Ministria për Arsimin dhe Sportin, Ministria për Infrastrukturën dhe Energjinë, Ministria e Shëndetësisë dhe Mbrojtjes Sociale, Ministria e Turizmit dhe Mjedisit, Ministria për Evropën dhe Punët e Jashtme si dhe institucione të tjera ligjzbatuese me rol të rëndësishëm në fushën e luftës kundër terrorizmit dhe parandalimit të ekstremizmit të dhunshëm, si Drejtoria e Përgjithshme e Parandalimit të Pastrimit të Parave, Drejtoria e Përgjithshme e Burgjeve, por edhe institucionet e pavarura si Prokuroria e Posaçme (SPAK), Komiteti Shtetëror për Kultet, Shërbimi Informativ Shtetëror, Banka e Shqipërisë, Qendra e Koordinimit kundër Ekstremizmit të Dhunshëm, Autoriteti Mediave Audiovizive, Agjencia e Autoriteti i Komunikimeve Elektronike dhe Postare, Banka e Shqipërisë, Shkolla e Magjistraturës, Agjencia e Kombëtare për Certifikimin Elektronik dhe Sigurinë Kibernetike kanë dhënë kontribut të veçantë gjatë procesit të hartimit të kësaj strategjie. </w:t>
      </w:r>
    </w:p>
    <w:p w14:paraId="5FEEF4E2" w14:textId="77777777" w:rsidR="009824FF" w:rsidRPr="00795698" w:rsidRDefault="009824FF" w:rsidP="009824FF">
      <w:pPr>
        <w:ind w:firstLine="284"/>
        <w:jc w:val="both"/>
        <w:rPr>
          <w:rFonts w:ascii="Garamond" w:hAnsi="Garamond"/>
        </w:rPr>
      </w:pPr>
      <w:r w:rsidRPr="00795698">
        <w:rPr>
          <w:rFonts w:ascii="Garamond" w:hAnsi="Garamond"/>
        </w:rPr>
        <w:t>Grupi i Punës ka realizuar detyrat si më poshtë:</w:t>
      </w:r>
    </w:p>
    <w:p w14:paraId="5FEEF4E3" w14:textId="3968E757" w:rsidR="009824FF" w:rsidRPr="00795698" w:rsidRDefault="009824FF" w:rsidP="009824FF">
      <w:pPr>
        <w:pStyle w:val="TEKSTIIIII"/>
        <w:rPr>
          <w:lang w:val="sq-AL"/>
        </w:rPr>
      </w:pPr>
      <w:r w:rsidRPr="00795698">
        <w:rPr>
          <w:lang w:val="sq-AL"/>
        </w:rPr>
        <w:t xml:space="preserve">-vlerësimin e situatës së ekstremizmit të dhunshëm dhe terrorizmit në Shqipëri bazuar në analizat e institucioneve dhe raporteve apo studimeve kombëtare dhe ndërkombëtare, duke identifikuar objektiva specifikë për periudhën </w:t>
      </w:r>
      <w:r w:rsidR="006249E3" w:rsidRPr="00795698">
        <w:rPr>
          <w:lang w:val="sq-AL"/>
        </w:rPr>
        <w:t>2023–2025</w:t>
      </w:r>
      <w:r w:rsidRPr="00795698">
        <w:rPr>
          <w:lang w:val="sq-AL"/>
        </w:rPr>
        <w:t xml:space="preserve">; </w:t>
      </w:r>
    </w:p>
    <w:p w14:paraId="5FEEF4E4" w14:textId="77777777" w:rsidR="009824FF" w:rsidRPr="00795698" w:rsidRDefault="009824FF" w:rsidP="009824FF">
      <w:pPr>
        <w:pStyle w:val="TEKSTIIIII"/>
        <w:rPr>
          <w:lang w:val="sq-AL"/>
        </w:rPr>
      </w:pPr>
      <w:r w:rsidRPr="00795698">
        <w:rPr>
          <w:lang w:val="sq-AL"/>
        </w:rPr>
        <w:t xml:space="preserve">- vlerësimin e opsioneve për formën e dokumentit strategjik; </w:t>
      </w:r>
    </w:p>
    <w:p w14:paraId="5FEEF4E5" w14:textId="77777777" w:rsidR="009824FF" w:rsidRPr="00795698" w:rsidRDefault="009824FF" w:rsidP="009824FF">
      <w:pPr>
        <w:pStyle w:val="TEKSTIIIII"/>
        <w:rPr>
          <w:lang w:val="sq-AL"/>
        </w:rPr>
      </w:pPr>
      <w:r w:rsidRPr="00795698">
        <w:rPr>
          <w:lang w:val="sq-AL"/>
        </w:rPr>
        <w:t xml:space="preserve">- propozimin e masave në planet e veprimit për parandalimin dhe kundërshtimin e ekstremizmit të dhunshëm dhe luftën kundër terrorizmit dhe reflektimin e ndryshimeve të kuadrit ligjor dhe institucional në fushën e terrorizmit dhe ekstremizmit të dhunshëm, sipas fushës së përgjegjësisë institucionale; </w:t>
      </w:r>
    </w:p>
    <w:p w14:paraId="5FEEF4E6" w14:textId="77777777" w:rsidR="009824FF" w:rsidRPr="00795698" w:rsidRDefault="009824FF" w:rsidP="009824FF">
      <w:pPr>
        <w:pStyle w:val="TEKSTIIIII"/>
        <w:rPr>
          <w:lang w:val="sq-AL"/>
        </w:rPr>
      </w:pPr>
      <w:r w:rsidRPr="00795698">
        <w:rPr>
          <w:lang w:val="sq-AL"/>
        </w:rPr>
        <w:t xml:space="preserve">- hartimin e drafteve të dokumenteve strategjikë me strukturën, anekset përkatëse dhe metodologjinë e hartimit të dokumenteve strategjikë sipas sistemit IPSIS; </w:t>
      </w:r>
    </w:p>
    <w:p w14:paraId="5FEEF4E7" w14:textId="77777777" w:rsidR="009824FF" w:rsidRPr="00795698" w:rsidRDefault="009824FF" w:rsidP="009824FF">
      <w:pPr>
        <w:pStyle w:val="TEKSTIIIII"/>
        <w:rPr>
          <w:lang w:val="sq-AL"/>
        </w:rPr>
      </w:pPr>
      <w:r w:rsidRPr="00795698">
        <w:rPr>
          <w:lang w:val="sq-AL"/>
        </w:rPr>
        <w:t>- kostimin e masave bazuar në Programin Buxhetor Afatmesëm në fuqi dhe në asistencën e huaj, përmes projekteve të miratuara ose atyre në zbatim;</w:t>
      </w:r>
    </w:p>
    <w:p w14:paraId="5FEEF4E8" w14:textId="77777777" w:rsidR="009824FF" w:rsidRPr="00795698" w:rsidRDefault="009824FF" w:rsidP="009824FF">
      <w:pPr>
        <w:pStyle w:val="TEKSTIIIII"/>
        <w:rPr>
          <w:lang w:val="sq-AL"/>
        </w:rPr>
      </w:pPr>
      <w:r w:rsidRPr="00795698">
        <w:rPr>
          <w:lang w:val="sq-AL"/>
        </w:rPr>
        <w:t>- përcaktimin e treguesve të performancës së objektivave të dokumenteve strategjikë dhe metodologjinë e matjes së tyre, në pasaportën e indikatorëve të strategjisë ndërsektoriale të luftës kundër terrorizmit dhe parandalimit dhe kundërshtimit të ekstremizmit të dhunshëm;</w:t>
      </w:r>
    </w:p>
    <w:p w14:paraId="5FEEF4E9" w14:textId="18B9B2BA" w:rsidR="009824FF" w:rsidRPr="00795698" w:rsidRDefault="009824FF" w:rsidP="009824FF">
      <w:pPr>
        <w:pStyle w:val="TEKSTIIIII"/>
        <w:rPr>
          <w:lang w:val="sq-AL"/>
        </w:rPr>
      </w:pPr>
      <w:r w:rsidRPr="00795698">
        <w:rPr>
          <w:lang w:val="sq-AL"/>
        </w:rPr>
        <w:t xml:space="preserve">- konsultimin e </w:t>
      </w:r>
      <w:r w:rsidR="00593ADB" w:rsidRPr="00795698">
        <w:rPr>
          <w:lang w:val="sq-AL"/>
        </w:rPr>
        <w:t>dokumenteve</w:t>
      </w:r>
      <w:r w:rsidRPr="00795698">
        <w:rPr>
          <w:lang w:val="sq-AL"/>
        </w:rPr>
        <w:t xml:space="preserve"> strategjik</w:t>
      </w:r>
      <w:r w:rsidR="00593ADB" w:rsidRPr="00795698">
        <w:rPr>
          <w:lang w:val="sq-AL"/>
        </w:rPr>
        <w:t>e</w:t>
      </w:r>
      <w:r w:rsidRPr="00795698">
        <w:rPr>
          <w:lang w:val="sq-AL"/>
        </w:rPr>
        <w:t xml:space="preserve"> dhe reflektimin ose argumentimin e komenteve në draftin përfundimtar të tyre.</w:t>
      </w:r>
    </w:p>
    <w:p w14:paraId="5FEEF4EA" w14:textId="6E58C9EC" w:rsidR="009824FF" w:rsidRPr="00795698" w:rsidRDefault="009824FF" w:rsidP="009824FF">
      <w:pPr>
        <w:ind w:firstLine="284"/>
        <w:jc w:val="both"/>
        <w:rPr>
          <w:rFonts w:ascii="Garamond" w:hAnsi="Garamond"/>
        </w:rPr>
      </w:pPr>
      <w:r w:rsidRPr="00795698">
        <w:rPr>
          <w:rFonts w:ascii="Garamond" w:hAnsi="Garamond"/>
        </w:rPr>
        <w:t>Në hartimin e këtij dokumenti krahas infrastrukturës ligjore, programeve të ndryshme shtetërore, në analizën për vlerësimin e gjendjes dhe planifikimin e prioriteteve, objektivave dhe përcaktimit të vizionit për të ardhmen, janë marrë në konsideratë edhe gjetjet dhe rekomandimet e progres raporteve të Komisionit Evropian për përmbushjen e detyrimeve të Shqipërisë në kuadër të integrimit në Bashkimin Evropian, komentet dhe konsultimet e zhvilluara me shoqërinë civile dhe organizatat e huaja partnere me fokus çështjet e sigurisë dhe veçanërisht ato të parandalimit të ekstremizmit të dhunshëm dhe antiterrorizmit. Gjithashtu edhe analizat e institucioneve përgjegjëse për monitorimin e strategjisë së mëparshme të cilat kanë kontribuar në mënyrë thelbësore në përcaktimin e problematikave dhe sfidave në ardhmen bazuar në situatën aktuale dhe të pritshme të dinamikave në parandalimin e ekstremizmit të dhunshëm dhe luftën kundër terrorizmit. Si të tilla përmendim analizën e riskut për financimin e terrorizmit nga Drejtoria e Përgjithshme e Parandalimit të Pastrimit të Parave, SHISH por edhe publikime të organizmave të tjerë si publikimi i raportit të Komitetit të Helsinkit</w:t>
      </w:r>
      <w:r w:rsidR="007C064A" w:rsidRPr="00795698">
        <w:rPr>
          <w:rFonts w:ascii="Garamond" w:hAnsi="Garamond"/>
        </w:rPr>
        <w:t xml:space="preserve"> </w:t>
      </w:r>
      <w:r w:rsidRPr="00795698">
        <w:rPr>
          <w:rFonts w:ascii="Garamond" w:hAnsi="Garamond"/>
        </w:rPr>
        <w:t xml:space="preserve">“Bashkë kundër Ekstremizmit Terrorizmit dhe Radikalizmit 2018”, raportit “Radikalizmi i </w:t>
      </w:r>
      <w:r w:rsidR="00593ADB" w:rsidRPr="00795698">
        <w:rPr>
          <w:rFonts w:ascii="Garamond" w:hAnsi="Garamond"/>
        </w:rPr>
        <w:t xml:space="preserve">dhunshëm dhe ekstremizmi </w:t>
      </w:r>
      <w:r w:rsidRPr="00795698">
        <w:rPr>
          <w:rFonts w:ascii="Garamond" w:hAnsi="Garamond"/>
        </w:rPr>
        <w:t xml:space="preserve">në Shqipëri (IDM 2015)”, raportet e Departamentit Amerikan të Shtetit, raportet e EUROPOL, raportet e Komisionit Evropian përmes misionit TAIEX mbi kapacitetet në fushën e kundërshtimit të ekstremizmit të dhunshëm, Marrëveshja për zbatimin e Planit të Përbashkët të Veprimit kundër Terrorizmit për Ballkanin </w:t>
      </w:r>
      <w:r w:rsidRPr="00795698">
        <w:rPr>
          <w:rFonts w:ascii="Garamond" w:hAnsi="Garamond"/>
        </w:rPr>
        <w:lastRenderedPageBreak/>
        <w:t>Perëndimor ndërmjet Komisionit Evropian dhe autoriteteve të Shqipërisë etj. Në kuadër të përfshirjes së praktikave dhe eksperiencave më të mira në parandalimin e ekstremizmit të dhunshëm dhe luftës kundër terrorizmit koncepti i strategjisë është konsultuar me një sërë organizatash që veprojnë në fushën e sigurisë</w:t>
      </w:r>
      <w:r w:rsidR="00593ADB" w:rsidRPr="00795698">
        <w:rPr>
          <w:rFonts w:ascii="Garamond" w:hAnsi="Garamond"/>
        </w:rPr>
        <w:t>,</w:t>
      </w:r>
      <w:r w:rsidRPr="00795698">
        <w:rPr>
          <w:rFonts w:ascii="Garamond" w:hAnsi="Garamond"/>
        </w:rPr>
        <w:t xml:space="preserve"> si: OSBE</w:t>
      </w:r>
      <w:r w:rsidR="00496156" w:rsidRPr="00795698">
        <w:rPr>
          <w:rFonts w:ascii="Garamond" w:hAnsi="Garamond"/>
        </w:rPr>
        <w:t>-ja</w:t>
      </w:r>
      <w:r w:rsidRPr="00795698">
        <w:rPr>
          <w:rFonts w:ascii="Garamond" w:hAnsi="Garamond"/>
        </w:rPr>
        <w:t>, Delegacioni i Bashkimit Evropian në Shqipëri, IOM në Tiranë, Ambasada e Holandës, Instituti për Demokraci dhe Ndërmjetësim, Partners Albania. Me Delegacionin e Bashkimit Evropian në Shqipëri u zhvillua më datë 9.12.2022 edhe një takim konsultues me ekspertë të Rrjetit të Ndërgjegjësimit ndaj Radikalizmit</w:t>
      </w:r>
      <w:r w:rsidR="00593ADB" w:rsidRPr="00795698">
        <w:rPr>
          <w:rFonts w:ascii="Garamond" w:hAnsi="Garamond"/>
        </w:rPr>
        <w:t xml:space="preserve"> – </w:t>
      </w:r>
      <w:r w:rsidRPr="00795698">
        <w:rPr>
          <w:rFonts w:ascii="Garamond" w:hAnsi="Garamond"/>
        </w:rPr>
        <w:t>RAN (Radicalization Awareness Network), Komisionit Evropian dhe të Delegacionit të BE për përmirësimin e përmbajtjes së draftit, si edhe integrimin e aspekteve kryesore të politikave të BE në fushën e parandalimit të ekstremizmit të dhunshëm dhe luftës ndaj terrorizmit. Komentet dhe sugjerimet e dërguara nga këto organizata kanë kontribuar në hartimin e kësaj strategjie. Drafti është publikuar për konsultim publik edhe në Regjistrin Elektronik për Njoftimet dhe Konsultimet Publike në</w:t>
      </w:r>
      <w:r w:rsidR="007C064A" w:rsidRPr="00795698">
        <w:rPr>
          <w:rFonts w:ascii="Garamond" w:hAnsi="Garamond"/>
        </w:rPr>
        <w:t xml:space="preserve"> </w:t>
      </w:r>
      <w:r w:rsidRPr="00795698">
        <w:rPr>
          <w:rFonts w:ascii="Garamond" w:hAnsi="Garamond"/>
        </w:rPr>
        <w:t>linkun e konsultimit publik https://konsultimipublik.gov.al/Konsultime/Detaj</w:t>
      </w:r>
      <w:r w:rsidR="00623407" w:rsidRPr="00795698">
        <w:rPr>
          <w:rFonts w:ascii="Garamond" w:hAnsi="Garamond"/>
        </w:rPr>
        <w:t>e/507 të publikuar në datën 29.</w:t>
      </w:r>
      <w:r w:rsidRPr="00795698">
        <w:rPr>
          <w:rFonts w:ascii="Garamond" w:hAnsi="Garamond"/>
        </w:rPr>
        <w:t xml:space="preserve">8.2022 dhe ka </w:t>
      </w:r>
      <w:r w:rsidR="00623407" w:rsidRPr="00795698">
        <w:rPr>
          <w:rFonts w:ascii="Garamond" w:hAnsi="Garamond"/>
        </w:rPr>
        <w:t>qëndruar në konsultim deri më datë 26.</w:t>
      </w:r>
      <w:r w:rsidRPr="00795698">
        <w:rPr>
          <w:rFonts w:ascii="Garamond" w:hAnsi="Garamond"/>
        </w:rPr>
        <w:t>9.2022 ku ka qenë i disponueshëm për komente nga publiku i gj</w:t>
      </w:r>
      <w:r w:rsidR="00623407" w:rsidRPr="00795698">
        <w:rPr>
          <w:rFonts w:ascii="Garamond" w:hAnsi="Garamond"/>
        </w:rPr>
        <w:t>e</w:t>
      </w:r>
      <w:r w:rsidRPr="00795698">
        <w:rPr>
          <w:rFonts w:ascii="Garamond" w:hAnsi="Garamond"/>
        </w:rPr>
        <w:t>rë, organizatat e shoqërisë civile dhe çdo aktor i interesuar. Drafti është konsultuar në aspektin e objektivave strategjikë kombëtarë dhe përputhshmërisë me Strategjinë Kombëtare për Zhvillim dhe Integrim edhe me Agjencinë Shtetërore të Programimit Strategjik dhe Koordinimit të Ndihmës.</w:t>
      </w:r>
    </w:p>
    <w:p w14:paraId="5FEEF4EC" w14:textId="77777777" w:rsidR="009824FF" w:rsidRPr="00795698" w:rsidRDefault="009824FF" w:rsidP="009824FF">
      <w:pPr>
        <w:pStyle w:val="Heading2"/>
        <w:spacing w:before="0"/>
        <w:ind w:firstLine="284"/>
        <w:rPr>
          <w:rFonts w:ascii="Garamond" w:hAnsi="Garamond"/>
          <w:color w:val="000000" w:themeColor="text1"/>
          <w:spacing w:val="-5"/>
          <w:sz w:val="24"/>
          <w:szCs w:val="24"/>
        </w:rPr>
      </w:pPr>
      <w:bookmarkStart w:id="13" w:name="_bookmark2"/>
      <w:bookmarkStart w:id="14" w:name="_Toc108644253"/>
      <w:bookmarkStart w:id="15" w:name="_Hlk57241736"/>
      <w:bookmarkEnd w:id="13"/>
      <w:r w:rsidRPr="00795698">
        <w:rPr>
          <w:rFonts w:ascii="Garamond" w:hAnsi="Garamond"/>
          <w:color w:val="000000" w:themeColor="text1"/>
          <w:spacing w:val="-2"/>
          <w:sz w:val="24"/>
          <w:szCs w:val="24"/>
        </w:rPr>
        <w:t>1.1 K</w:t>
      </w:r>
      <w:r w:rsidRPr="00795698">
        <w:rPr>
          <w:rFonts w:ascii="Garamond" w:hAnsi="Garamond"/>
          <w:color w:val="000000" w:themeColor="text1"/>
          <w:spacing w:val="-3"/>
          <w:sz w:val="24"/>
          <w:szCs w:val="24"/>
        </w:rPr>
        <w:t>u</w:t>
      </w:r>
      <w:r w:rsidRPr="00795698">
        <w:rPr>
          <w:rFonts w:ascii="Garamond" w:hAnsi="Garamond"/>
          <w:color w:val="000000" w:themeColor="text1"/>
          <w:spacing w:val="-2"/>
          <w:sz w:val="24"/>
          <w:szCs w:val="24"/>
        </w:rPr>
        <w:t>a</w:t>
      </w:r>
      <w:r w:rsidRPr="00795698">
        <w:rPr>
          <w:rFonts w:ascii="Garamond" w:hAnsi="Garamond"/>
          <w:color w:val="000000" w:themeColor="text1"/>
          <w:spacing w:val="-3"/>
          <w:sz w:val="24"/>
          <w:szCs w:val="24"/>
        </w:rPr>
        <w:t>d</w:t>
      </w:r>
      <w:r w:rsidRPr="00795698">
        <w:rPr>
          <w:rFonts w:ascii="Garamond" w:hAnsi="Garamond"/>
          <w:color w:val="000000" w:themeColor="text1"/>
          <w:sz w:val="24"/>
          <w:szCs w:val="24"/>
        </w:rPr>
        <w:t>ri</w:t>
      </w:r>
      <w:r w:rsidRPr="00795698">
        <w:rPr>
          <w:rFonts w:ascii="Garamond" w:hAnsi="Garamond"/>
          <w:color w:val="000000" w:themeColor="text1"/>
          <w:spacing w:val="-11"/>
          <w:sz w:val="24"/>
          <w:szCs w:val="24"/>
        </w:rPr>
        <w:t xml:space="preserve"> </w:t>
      </w:r>
      <w:r w:rsidRPr="00795698">
        <w:rPr>
          <w:rFonts w:ascii="Garamond" w:hAnsi="Garamond"/>
          <w:color w:val="000000" w:themeColor="text1"/>
          <w:spacing w:val="-5"/>
          <w:sz w:val="24"/>
          <w:szCs w:val="24"/>
        </w:rPr>
        <w:t>l</w:t>
      </w:r>
      <w:r w:rsidRPr="00795698">
        <w:rPr>
          <w:rFonts w:ascii="Garamond" w:hAnsi="Garamond"/>
          <w:color w:val="000000" w:themeColor="text1"/>
          <w:spacing w:val="-2"/>
          <w:sz w:val="24"/>
          <w:szCs w:val="24"/>
        </w:rPr>
        <w:t>i</w:t>
      </w:r>
      <w:r w:rsidRPr="00795698">
        <w:rPr>
          <w:rFonts w:ascii="Garamond" w:hAnsi="Garamond"/>
          <w:color w:val="000000" w:themeColor="text1"/>
          <w:sz w:val="24"/>
          <w:szCs w:val="24"/>
        </w:rPr>
        <w:t>g</w:t>
      </w:r>
      <w:r w:rsidRPr="00795698">
        <w:rPr>
          <w:rFonts w:ascii="Garamond" w:hAnsi="Garamond"/>
          <w:color w:val="000000" w:themeColor="text1"/>
          <w:spacing w:val="-3"/>
          <w:sz w:val="24"/>
          <w:szCs w:val="24"/>
        </w:rPr>
        <w:t>j</w:t>
      </w:r>
      <w:r w:rsidRPr="00795698">
        <w:rPr>
          <w:rFonts w:ascii="Garamond" w:hAnsi="Garamond"/>
          <w:color w:val="000000" w:themeColor="text1"/>
          <w:spacing w:val="-5"/>
          <w:sz w:val="24"/>
          <w:szCs w:val="24"/>
        </w:rPr>
        <w:t>o</w:t>
      </w:r>
      <w:r w:rsidRPr="00795698">
        <w:rPr>
          <w:rFonts w:ascii="Garamond" w:hAnsi="Garamond"/>
          <w:color w:val="000000" w:themeColor="text1"/>
          <w:sz w:val="24"/>
          <w:szCs w:val="24"/>
        </w:rPr>
        <w:t>r</w:t>
      </w:r>
      <w:r w:rsidRPr="00795698">
        <w:rPr>
          <w:rFonts w:ascii="Garamond" w:hAnsi="Garamond"/>
          <w:color w:val="000000" w:themeColor="text1"/>
          <w:spacing w:val="-10"/>
          <w:sz w:val="24"/>
          <w:szCs w:val="24"/>
        </w:rPr>
        <w:t xml:space="preserve"> </w:t>
      </w:r>
      <w:r w:rsidRPr="00795698">
        <w:rPr>
          <w:rFonts w:ascii="Garamond" w:hAnsi="Garamond"/>
          <w:color w:val="000000" w:themeColor="text1"/>
          <w:spacing w:val="-3"/>
          <w:sz w:val="24"/>
          <w:szCs w:val="24"/>
        </w:rPr>
        <w:t>d</w:t>
      </w:r>
      <w:r w:rsidRPr="00795698">
        <w:rPr>
          <w:rFonts w:ascii="Garamond" w:hAnsi="Garamond"/>
          <w:color w:val="000000" w:themeColor="text1"/>
          <w:sz w:val="24"/>
          <w:szCs w:val="24"/>
        </w:rPr>
        <w:t>he</w:t>
      </w:r>
      <w:r w:rsidRPr="00795698">
        <w:rPr>
          <w:rFonts w:ascii="Garamond" w:hAnsi="Garamond"/>
          <w:color w:val="000000" w:themeColor="text1"/>
          <w:spacing w:val="-13"/>
          <w:sz w:val="24"/>
          <w:szCs w:val="24"/>
        </w:rPr>
        <w:t xml:space="preserve"> </w:t>
      </w:r>
      <w:r w:rsidRPr="00795698">
        <w:rPr>
          <w:rFonts w:ascii="Garamond" w:hAnsi="Garamond"/>
          <w:color w:val="000000" w:themeColor="text1"/>
          <w:spacing w:val="-1"/>
          <w:sz w:val="24"/>
          <w:szCs w:val="24"/>
        </w:rPr>
        <w:t>i</w:t>
      </w:r>
      <w:r w:rsidRPr="00795698">
        <w:rPr>
          <w:rFonts w:ascii="Garamond" w:hAnsi="Garamond"/>
          <w:color w:val="000000" w:themeColor="text1"/>
          <w:spacing w:val="-3"/>
          <w:sz w:val="24"/>
          <w:szCs w:val="24"/>
        </w:rPr>
        <w:t>n</w:t>
      </w:r>
      <w:r w:rsidRPr="00795698">
        <w:rPr>
          <w:rFonts w:ascii="Garamond" w:hAnsi="Garamond"/>
          <w:color w:val="000000" w:themeColor="text1"/>
          <w:spacing w:val="-2"/>
          <w:sz w:val="24"/>
          <w:szCs w:val="24"/>
        </w:rPr>
        <w:t>s</w:t>
      </w:r>
      <w:r w:rsidRPr="00795698">
        <w:rPr>
          <w:rFonts w:ascii="Garamond" w:hAnsi="Garamond"/>
          <w:color w:val="000000" w:themeColor="text1"/>
          <w:sz w:val="24"/>
          <w:szCs w:val="24"/>
        </w:rPr>
        <w:t>t</w:t>
      </w:r>
      <w:r w:rsidRPr="00795698">
        <w:rPr>
          <w:rFonts w:ascii="Garamond" w:hAnsi="Garamond"/>
          <w:color w:val="000000" w:themeColor="text1"/>
          <w:spacing w:val="-2"/>
          <w:sz w:val="24"/>
          <w:szCs w:val="24"/>
        </w:rPr>
        <w:t>it</w:t>
      </w:r>
      <w:r w:rsidRPr="00795698">
        <w:rPr>
          <w:rFonts w:ascii="Garamond" w:hAnsi="Garamond"/>
          <w:color w:val="000000" w:themeColor="text1"/>
          <w:spacing w:val="-3"/>
          <w:sz w:val="24"/>
          <w:szCs w:val="24"/>
        </w:rPr>
        <w:t>u</w:t>
      </w:r>
      <w:r w:rsidRPr="00795698">
        <w:rPr>
          <w:rFonts w:ascii="Garamond" w:hAnsi="Garamond"/>
          <w:color w:val="000000" w:themeColor="text1"/>
          <w:sz w:val="24"/>
          <w:szCs w:val="24"/>
        </w:rPr>
        <w:t>c</w:t>
      </w:r>
      <w:r w:rsidRPr="00795698">
        <w:rPr>
          <w:rFonts w:ascii="Garamond" w:hAnsi="Garamond"/>
          <w:color w:val="000000" w:themeColor="text1"/>
          <w:spacing w:val="-2"/>
          <w:sz w:val="24"/>
          <w:szCs w:val="24"/>
        </w:rPr>
        <w:t>i</w:t>
      </w:r>
      <w:r w:rsidRPr="00795698">
        <w:rPr>
          <w:rFonts w:ascii="Garamond" w:hAnsi="Garamond"/>
          <w:color w:val="000000" w:themeColor="text1"/>
          <w:spacing w:val="-5"/>
          <w:sz w:val="24"/>
          <w:szCs w:val="24"/>
        </w:rPr>
        <w:t>o</w:t>
      </w:r>
      <w:r w:rsidRPr="00795698">
        <w:rPr>
          <w:rFonts w:ascii="Garamond" w:hAnsi="Garamond"/>
          <w:color w:val="000000" w:themeColor="text1"/>
          <w:spacing w:val="-3"/>
          <w:sz w:val="24"/>
          <w:szCs w:val="24"/>
        </w:rPr>
        <w:t>n</w:t>
      </w:r>
      <w:r w:rsidRPr="00795698">
        <w:rPr>
          <w:rFonts w:ascii="Garamond" w:hAnsi="Garamond"/>
          <w:color w:val="000000" w:themeColor="text1"/>
          <w:sz w:val="24"/>
          <w:szCs w:val="24"/>
        </w:rPr>
        <w:t>a</w:t>
      </w:r>
      <w:r w:rsidRPr="00795698">
        <w:rPr>
          <w:rFonts w:ascii="Garamond" w:hAnsi="Garamond"/>
          <w:color w:val="000000" w:themeColor="text1"/>
          <w:spacing w:val="-2"/>
          <w:sz w:val="24"/>
          <w:szCs w:val="24"/>
        </w:rPr>
        <w:t>l</w:t>
      </w:r>
      <w:r w:rsidRPr="00795698">
        <w:rPr>
          <w:rFonts w:ascii="Garamond" w:hAnsi="Garamond"/>
          <w:color w:val="000000" w:themeColor="text1"/>
          <w:sz w:val="24"/>
          <w:szCs w:val="24"/>
        </w:rPr>
        <w:t>,</w:t>
      </w:r>
      <w:r w:rsidRPr="00795698">
        <w:rPr>
          <w:rFonts w:ascii="Garamond" w:hAnsi="Garamond"/>
          <w:color w:val="000000" w:themeColor="text1"/>
          <w:spacing w:val="-11"/>
          <w:sz w:val="24"/>
          <w:szCs w:val="24"/>
        </w:rPr>
        <w:t xml:space="preserve"> </w:t>
      </w:r>
      <w:r w:rsidRPr="00795698">
        <w:rPr>
          <w:rFonts w:ascii="Garamond" w:hAnsi="Garamond"/>
          <w:color w:val="000000" w:themeColor="text1"/>
          <w:spacing w:val="-2"/>
          <w:sz w:val="24"/>
          <w:szCs w:val="24"/>
        </w:rPr>
        <w:t>a</w:t>
      </w:r>
      <w:r w:rsidRPr="00795698">
        <w:rPr>
          <w:rFonts w:ascii="Garamond" w:hAnsi="Garamond"/>
          <w:color w:val="000000" w:themeColor="text1"/>
          <w:sz w:val="24"/>
          <w:szCs w:val="24"/>
        </w:rPr>
        <w:t>r</w:t>
      </w:r>
      <w:r w:rsidRPr="00795698">
        <w:rPr>
          <w:rFonts w:ascii="Garamond" w:hAnsi="Garamond"/>
          <w:color w:val="000000" w:themeColor="text1"/>
          <w:spacing w:val="-2"/>
          <w:sz w:val="24"/>
          <w:szCs w:val="24"/>
        </w:rPr>
        <w:t>rit</w:t>
      </w:r>
      <w:r w:rsidRPr="00795698">
        <w:rPr>
          <w:rFonts w:ascii="Garamond" w:hAnsi="Garamond"/>
          <w:color w:val="000000" w:themeColor="text1"/>
          <w:sz w:val="24"/>
          <w:szCs w:val="24"/>
        </w:rPr>
        <w:t>j</w:t>
      </w:r>
      <w:r w:rsidRPr="00795698">
        <w:rPr>
          <w:rFonts w:ascii="Garamond" w:hAnsi="Garamond"/>
          <w:color w:val="000000" w:themeColor="text1"/>
          <w:spacing w:val="-3"/>
          <w:sz w:val="24"/>
          <w:szCs w:val="24"/>
        </w:rPr>
        <w:t>e</w:t>
      </w:r>
      <w:r w:rsidRPr="00795698">
        <w:rPr>
          <w:rFonts w:ascii="Garamond" w:hAnsi="Garamond"/>
          <w:color w:val="000000" w:themeColor="text1"/>
          <w:spacing w:val="-2"/>
          <w:sz w:val="24"/>
          <w:szCs w:val="24"/>
        </w:rPr>
        <w:t>t</w:t>
      </w:r>
      <w:r w:rsidRPr="00795698">
        <w:rPr>
          <w:rFonts w:ascii="Garamond" w:hAnsi="Garamond"/>
          <w:color w:val="000000" w:themeColor="text1"/>
          <w:sz w:val="24"/>
          <w:szCs w:val="24"/>
        </w:rPr>
        <w:t>,</w:t>
      </w:r>
      <w:r w:rsidRPr="00795698">
        <w:rPr>
          <w:rFonts w:ascii="Garamond" w:hAnsi="Garamond"/>
          <w:color w:val="000000" w:themeColor="text1"/>
          <w:spacing w:val="-11"/>
          <w:sz w:val="24"/>
          <w:szCs w:val="24"/>
        </w:rPr>
        <w:t xml:space="preserve"> </w:t>
      </w:r>
      <w:r w:rsidRPr="00795698">
        <w:rPr>
          <w:rFonts w:ascii="Garamond" w:hAnsi="Garamond"/>
          <w:color w:val="000000" w:themeColor="text1"/>
          <w:spacing w:val="-5"/>
          <w:sz w:val="24"/>
          <w:szCs w:val="24"/>
        </w:rPr>
        <w:t>më</w:t>
      </w:r>
      <w:r w:rsidRPr="00795698">
        <w:rPr>
          <w:rFonts w:ascii="Garamond" w:hAnsi="Garamond"/>
          <w:color w:val="000000" w:themeColor="text1"/>
          <w:sz w:val="24"/>
          <w:szCs w:val="24"/>
        </w:rPr>
        <w:t>s</w:t>
      </w:r>
      <w:r w:rsidRPr="00795698">
        <w:rPr>
          <w:rFonts w:ascii="Garamond" w:hAnsi="Garamond"/>
          <w:color w:val="000000" w:themeColor="text1"/>
          <w:spacing w:val="-2"/>
          <w:sz w:val="24"/>
          <w:szCs w:val="24"/>
        </w:rPr>
        <w:t>im</w:t>
      </w:r>
      <w:r w:rsidRPr="00795698">
        <w:rPr>
          <w:rFonts w:ascii="Garamond" w:hAnsi="Garamond"/>
          <w:color w:val="000000" w:themeColor="text1"/>
          <w:spacing w:val="-5"/>
          <w:sz w:val="24"/>
          <w:szCs w:val="24"/>
        </w:rPr>
        <w:t>et</w:t>
      </w:r>
      <w:bookmarkEnd w:id="14"/>
    </w:p>
    <w:p w14:paraId="5FEEF4ED" w14:textId="33A45F91" w:rsidR="009824FF" w:rsidRPr="00795698" w:rsidRDefault="009824FF" w:rsidP="009824FF">
      <w:pPr>
        <w:ind w:firstLine="284"/>
        <w:jc w:val="both"/>
        <w:rPr>
          <w:rFonts w:ascii="Garamond" w:hAnsi="Garamond"/>
        </w:rPr>
      </w:pPr>
      <w:r w:rsidRPr="00795698">
        <w:rPr>
          <w:rFonts w:ascii="Garamond" w:hAnsi="Garamond"/>
        </w:rPr>
        <w:t xml:space="preserve">Kjo strategji plotëson detyrimin që rrjedh nga Strategjia e Sigurisë Kombëtare </w:t>
      </w:r>
      <w:r w:rsidR="00623407" w:rsidRPr="00795698">
        <w:rPr>
          <w:rFonts w:ascii="Garamond" w:hAnsi="Garamond"/>
        </w:rPr>
        <w:t>2016–</w:t>
      </w:r>
      <w:r w:rsidRPr="00795698">
        <w:rPr>
          <w:rFonts w:ascii="Garamond" w:hAnsi="Garamond"/>
        </w:rPr>
        <w:t xml:space="preserve">2020 për hartimin e strategjive sektoriale, Strategjia Kombëtare për Zhvillim dhe Integrim </w:t>
      </w:r>
      <w:r w:rsidR="00623407" w:rsidRPr="00795698">
        <w:rPr>
          <w:rFonts w:ascii="Garamond" w:hAnsi="Garamond"/>
        </w:rPr>
        <w:t>2015–</w:t>
      </w:r>
      <w:r w:rsidRPr="00795698">
        <w:rPr>
          <w:rFonts w:ascii="Garamond" w:hAnsi="Garamond"/>
        </w:rPr>
        <w:t>2020 dhe është komplementare me:</w:t>
      </w:r>
    </w:p>
    <w:p w14:paraId="5FEEF4EE" w14:textId="3EF348AF" w:rsidR="009824FF" w:rsidRPr="00795698" w:rsidRDefault="00BE0F29" w:rsidP="00BE0F29">
      <w:pPr>
        <w:pStyle w:val="TEKSTIIIII"/>
        <w:rPr>
          <w:lang w:val="sq-AL"/>
        </w:rPr>
      </w:pPr>
      <w:r w:rsidRPr="00795698">
        <w:rPr>
          <w:lang w:val="sq-AL"/>
        </w:rPr>
        <w:t>-</w:t>
      </w:r>
      <w:r w:rsidR="007C064A" w:rsidRPr="00795698">
        <w:rPr>
          <w:lang w:val="sq-AL"/>
        </w:rPr>
        <w:t xml:space="preserve"> </w:t>
      </w:r>
      <w:r w:rsidR="009824FF" w:rsidRPr="00795698">
        <w:rPr>
          <w:lang w:val="sq-AL"/>
        </w:rPr>
        <w:t xml:space="preserve">Strategjinë Ndërsektoriale kundër Krimit të Organizuar dhe Krimeve të Rënda </w:t>
      </w:r>
      <w:r w:rsidR="007C064A" w:rsidRPr="00795698">
        <w:rPr>
          <w:lang w:val="sq-AL"/>
        </w:rPr>
        <w:t>2021–2025</w:t>
      </w:r>
      <w:r w:rsidR="009824FF" w:rsidRPr="00795698">
        <w:rPr>
          <w:lang w:val="sq-AL"/>
        </w:rPr>
        <w:t>;</w:t>
      </w:r>
    </w:p>
    <w:p w14:paraId="5FEEF4EF" w14:textId="4FAC4EB1" w:rsidR="009824FF" w:rsidRPr="00795698" w:rsidRDefault="00BE0F29" w:rsidP="00BE0F29">
      <w:pPr>
        <w:pStyle w:val="TEKSTIIIII"/>
        <w:rPr>
          <w:lang w:val="sq-AL"/>
        </w:rPr>
      </w:pPr>
      <w:r w:rsidRPr="00795698">
        <w:rPr>
          <w:lang w:val="sq-AL"/>
        </w:rPr>
        <w:t xml:space="preserve">- </w:t>
      </w:r>
      <w:r w:rsidR="009824FF" w:rsidRPr="00795698">
        <w:rPr>
          <w:lang w:val="sq-AL"/>
        </w:rPr>
        <w:t xml:space="preserve">Strategjinë Kombëtare për Menaxhimin e Integruar të Kufirit </w:t>
      </w:r>
      <w:r w:rsidR="00623407" w:rsidRPr="00795698">
        <w:rPr>
          <w:lang w:val="sq-AL"/>
        </w:rPr>
        <w:t>2021–</w:t>
      </w:r>
      <w:r w:rsidR="009824FF" w:rsidRPr="00795698">
        <w:rPr>
          <w:lang w:val="sq-AL"/>
        </w:rPr>
        <w:t>2027;</w:t>
      </w:r>
    </w:p>
    <w:p w14:paraId="5FEEF4F0" w14:textId="77777777" w:rsidR="009824FF" w:rsidRPr="00795698" w:rsidRDefault="00BE0F29" w:rsidP="00BE0F29">
      <w:pPr>
        <w:pStyle w:val="TEKSTIIIII"/>
        <w:rPr>
          <w:lang w:val="sq-AL"/>
        </w:rPr>
      </w:pPr>
      <w:r w:rsidRPr="00795698">
        <w:rPr>
          <w:lang w:val="sq-AL"/>
        </w:rPr>
        <w:t xml:space="preserve">- </w:t>
      </w:r>
      <w:r w:rsidR="009824FF" w:rsidRPr="00795698">
        <w:rPr>
          <w:lang w:val="sq-AL"/>
        </w:rPr>
        <w:t>Strategjinë e Sigurisë Publike 2021–2025;</w:t>
      </w:r>
    </w:p>
    <w:p w14:paraId="5FEEF4F1" w14:textId="77777777" w:rsidR="009824FF" w:rsidRPr="00795698" w:rsidRDefault="00BE0F29" w:rsidP="00BE0F29">
      <w:pPr>
        <w:pStyle w:val="TEKSTIIIII"/>
        <w:rPr>
          <w:lang w:val="sq-AL"/>
        </w:rPr>
      </w:pPr>
      <w:r w:rsidRPr="00795698">
        <w:rPr>
          <w:lang w:val="sq-AL"/>
        </w:rPr>
        <w:t xml:space="preserve">- </w:t>
      </w:r>
      <w:r w:rsidR="009824FF" w:rsidRPr="00795698">
        <w:rPr>
          <w:lang w:val="sq-AL"/>
        </w:rPr>
        <w:t xml:space="preserve">Strategjinë Kombëtare për Mospërhapjen e Armëve të Dëmtimit në Masë; </w:t>
      </w:r>
    </w:p>
    <w:p w14:paraId="5FEEF4F2" w14:textId="474E4B70"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Planin Kombëtar të Veprimit për Integrim Evropian </w:t>
      </w:r>
      <w:r w:rsidR="00623407" w:rsidRPr="00795698">
        <w:rPr>
          <w:rFonts w:eastAsia="SimSun"/>
          <w:spacing w:val="-5"/>
          <w:lang w:val="sq-AL"/>
        </w:rPr>
        <w:t>2021–</w:t>
      </w:r>
      <w:r w:rsidR="009824FF" w:rsidRPr="00795698">
        <w:rPr>
          <w:rFonts w:eastAsia="SimSun"/>
          <w:spacing w:val="-5"/>
          <w:lang w:val="sq-AL"/>
        </w:rPr>
        <w:t>2023;</w:t>
      </w:r>
    </w:p>
    <w:p w14:paraId="5FEEF4F3" w14:textId="7F655F92"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Ndërsektoriale të Luftës </w:t>
      </w:r>
      <w:r w:rsidR="009C4DC2" w:rsidRPr="00795698">
        <w:rPr>
          <w:rFonts w:eastAsia="SimSun"/>
          <w:spacing w:val="-5"/>
          <w:lang w:val="sq-AL"/>
        </w:rPr>
        <w:t>k</w:t>
      </w:r>
      <w:r w:rsidR="009824FF" w:rsidRPr="00795698">
        <w:rPr>
          <w:rFonts w:eastAsia="SimSun"/>
          <w:spacing w:val="-5"/>
          <w:lang w:val="sq-AL"/>
        </w:rPr>
        <w:t xml:space="preserve">undër Terrorizmit </w:t>
      </w:r>
      <w:r w:rsidR="007C064A" w:rsidRPr="00795698">
        <w:rPr>
          <w:rFonts w:eastAsia="SimSun"/>
          <w:spacing w:val="-5"/>
          <w:lang w:val="sq-AL"/>
        </w:rPr>
        <w:t>2021–2025</w:t>
      </w:r>
      <w:r w:rsidR="009824FF" w:rsidRPr="00795698">
        <w:rPr>
          <w:rFonts w:eastAsia="SimSun"/>
          <w:spacing w:val="-5"/>
          <w:lang w:val="sq-AL"/>
        </w:rPr>
        <w:t xml:space="preserve"> dhe Planin e Veprimit </w:t>
      </w:r>
      <w:r w:rsidR="00623407" w:rsidRPr="00795698">
        <w:rPr>
          <w:rFonts w:eastAsia="SimSun"/>
          <w:spacing w:val="-5"/>
          <w:lang w:val="sq-AL"/>
        </w:rPr>
        <w:t>2021–</w:t>
      </w:r>
      <w:r w:rsidR="009824FF" w:rsidRPr="00795698">
        <w:rPr>
          <w:rFonts w:eastAsia="SimSun"/>
          <w:spacing w:val="-5"/>
          <w:lang w:val="sq-AL"/>
        </w:rPr>
        <w:t>2023;</w:t>
      </w:r>
    </w:p>
    <w:p w14:paraId="5FEEF4F4" w14:textId="486BDCD2"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Ndërsektoriale të Sigurisë në Komunitet </w:t>
      </w:r>
      <w:r w:rsidR="00623407" w:rsidRPr="00795698">
        <w:rPr>
          <w:rFonts w:eastAsia="SimSun"/>
          <w:spacing w:val="-5"/>
          <w:lang w:val="sq-AL"/>
        </w:rPr>
        <w:t>2021–</w:t>
      </w:r>
      <w:r w:rsidR="009824FF" w:rsidRPr="00795698">
        <w:rPr>
          <w:rFonts w:eastAsia="SimSun"/>
          <w:spacing w:val="-5"/>
          <w:lang w:val="sq-AL"/>
        </w:rPr>
        <w:t xml:space="preserve">2026 dhe Planin e Veprimit </w:t>
      </w:r>
      <w:r w:rsidR="00623407" w:rsidRPr="00795698">
        <w:rPr>
          <w:rFonts w:eastAsia="SimSun"/>
          <w:spacing w:val="-5"/>
          <w:lang w:val="sq-AL"/>
        </w:rPr>
        <w:t>2021–</w:t>
      </w:r>
      <w:r w:rsidR="009824FF" w:rsidRPr="00795698">
        <w:rPr>
          <w:rFonts w:eastAsia="SimSun"/>
          <w:spacing w:val="-5"/>
          <w:lang w:val="sq-AL"/>
        </w:rPr>
        <w:t>2023;</w:t>
      </w:r>
    </w:p>
    <w:p w14:paraId="5FEEF4F5" w14:textId="3381267C"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Kombëtare të Arsimit </w:t>
      </w:r>
      <w:r w:rsidR="00623407" w:rsidRPr="00795698">
        <w:rPr>
          <w:rFonts w:eastAsia="SimSun"/>
          <w:spacing w:val="-5"/>
          <w:lang w:val="sq-AL"/>
        </w:rPr>
        <w:t>2021–</w:t>
      </w:r>
      <w:r w:rsidR="009824FF" w:rsidRPr="00795698">
        <w:rPr>
          <w:rFonts w:eastAsia="SimSun"/>
          <w:spacing w:val="-5"/>
          <w:lang w:val="sq-AL"/>
        </w:rPr>
        <w:t>2026 dhe planit të veprimit për zbatimin e saj;</w:t>
      </w:r>
    </w:p>
    <w:p w14:paraId="5FEEF4F6" w14:textId="567F9889"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Kombëtare për Sigurinë Kibernetike dhe Planin e Veprimit </w:t>
      </w:r>
      <w:r w:rsidR="00623407" w:rsidRPr="00795698">
        <w:rPr>
          <w:rFonts w:eastAsia="SimSun"/>
          <w:spacing w:val="-5"/>
          <w:lang w:val="sq-AL"/>
        </w:rPr>
        <w:t>2020–</w:t>
      </w:r>
      <w:r w:rsidR="009824FF" w:rsidRPr="00795698">
        <w:rPr>
          <w:rFonts w:eastAsia="SimSun"/>
          <w:spacing w:val="-5"/>
          <w:lang w:val="sq-AL"/>
        </w:rPr>
        <w:t>2025;</w:t>
      </w:r>
    </w:p>
    <w:p w14:paraId="5FEEF4F7" w14:textId="7489571A"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për Edukim Ligjor të Publikut </w:t>
      </w:r>
      <w:r w:rsidR="00623407" w:rsidRPr="00795698">
        <w:rPr>
          <w:rFonts w:eastAsia="SimSun"/>
          <w:spacing w:val="-5"/>
          <w:lang w:val="sq-AL"/>
        </w:rPr>
        <w:t>2019–</w:t>
      </w:r>
      <w:r w:rsidR="009824FF" w:rsidRPr="00795698">
        <w:rPr>
          <w:rFonts w:eastAsia="SimSun"/>
          <w:spacing w:val="-5"/>
          <w:lang w:val="sq-AL"/>
        </w:rPr>
        <w:t xml:space="preserve">2023 dhe Planin e Veprimit </w:t>
      </w:r>
      <w:r w:rsidR="00623407" w:rsidRPr="00795698">
        <w:rPr>
          <w:rFonts w:eastAsia="SimSun"/>
          <w:spacing w:val="-5"/>
          <w:lang w:val="sq-AL"/>
        </w:rPr>
        <w:t>2020–</w:t>
      </w:r>
      <w:r w:rsidR="009824FF" w:rsidRPr="00795698">
        <w:rPr>
          <w:rFonts w:eastAsia="SimSun"/>
          <w:spacing w:val="-5"/>
          <w:lang w:val="sq-AL"/>
        </w:rPr>
        <w:t>2023;</w:t>
      </w:r>
    </w:p>
    <w:p w14:paraId="5FEEF4F8" w14:textId="68A9EF71"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Kombëtare të Mbrojtjes Sociale </w:t>
      </w:r>
      <w:r w:rsidR="00623407" w:rsidRPr="00795698">
        <w:rPr>
          <w:rFonts w:eastAsia="SimSun"/>
          <w:spacing w:val="-5"/>
          <w:lang w:val="sq-AL"/>
        </w:rPr>
        <w:t>2020–</w:t>
      </w:r>
      <w:r w:rsidR="009824FF" w:rsidRPr="00795698">
        <w:rPr>
          <w:rFonts w:eastAsia="SimSun"/>
          <w:spacing w:val="-5"/>
          <w:lang w:val="sq-AL"/>
        </w:rPr>
        <w:t>2023 dhe Planin e Veprimit në zbatim të saj;</w:t>
      </w:r>
    </w:p>
    <w:p w14:paraId="5FEEF4F9" w14:textId="5A1C4B9D"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Planin Kombëtar të Deinstitucionalizimit </w:t>
      </w:r>
      <w:r w:rsidR="00623407" w:rsidRPr="00795698">
        <w:rPr>
          <w:rFonts w:eastAsia="SimSun"/>
          <w:spacing w:val="-5"/>
          <w:lang w:val="sq-AL"/>
        </w:rPr>
        <w:t>2020–</w:t>
      </w:r>
      <w:r w:rsidR="009824FF" w:rsidRPr="00795698">
        <w:rPr>
          <w:rFonts w:eastAsia="SimSun"/>
          <w:spacing w:val="-5"/>
          <w:lang w:val="sq-AL"/>
        </w:rPr>
        <w:t>2022 dhe Planin e Veprimit për zbatimin e tij;</w:t>
      </w:r>
    </w:p>
    <w:p w14:paraId="5FEEF4FA" w14:textId="3CE4B9AE"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Strategjinë Kombëtare për Punësim dhe Aftësi </w:t>
      </w:r>
      <w:r w:rsidR="00623407" w:rsidRPr="00795698">
        <w:rPr>
          <w:rFonts w:eastAsia="SimSun"/>
          <w:spacing w:val="-5"/>
          <w:lang w:val="sq-AL"/>
        </w:rPr>
        <w:t>2019–</w:t>
      </w:r>
      <w:r w:rsidR="009824FF" w:rsidRPr="00795698">
        <w:rPr>
          <w:rFonts w:eastAsia="SimSun"/>
          <w:spacing w:val="-5"/>
          <w:lang w:val="sq-AL"/>
        </w:rPr>
        <w:t>2022 dhe Plani i Veprimit për zbatimin e saj;</w:t>
      </w:r>
    </w:p>
    <w:p w14:paraId="5FEEF4FB" w14:textId="77777777"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Strategjinë Kombëtare për Mospërhapjen e Armëve të Dëmtimit në Masë dhe Planin e Veprimit për zbatimin e saj;</w:t>
      </w:r>
    </w:p>
    <w:p w14:paraId="5FEEF4FC" w14:textId="2BE844E5"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Planin Kombëtar të Veprimit për Barazi, Përfshirje dhe Pjesëmarrjen e Romëve dhe Egjiptianëve </w:t>
      </w:r>
      <w:r w:rsidR="007C064A" w:rsidRPr="00795698">
        <w:rPr>
          <w:rFonts w:eastAsia="SimSun"/>
          <w:spacing w:val="-5"/>
          <w:lang w:val="sq-AL"/>
        </w:rPr>
        <w:t>2021–2025</w:t>
      </w:r>
      <w:r w:rsidR="009824FF" w:rsidRPr="00795698">
        <w:rPr>
          <w:rFonts w:eastAsia="SimSun"/>
          <w:spacing w:val="-5"/>
          <w:lang w:val="sq-AL"/>
        </w:rPr>
        <w:t>;</w:t>
      </w:r>
    </w:p>
    <w:p w14:paraId="5FEEF4FD" w14:textId="42153124" w:rsidR="009824FF" w:rsidRPr="00795698" w:rsidRDefault="00BE0F29" w:rsidP="00BE0F29">
      <w:pPr>
        <w:pStyle w:val="TEKSTIIIII"/>
        <w:rPr>
          <w:lang w:val="sq-AL"/>
        </w:rPr>
      </w:pPr>
      <w:r w:rsidRPr="00795698">
        <w:rPr>
          <w:rFonts w:eastAsia="SimSun"/>
          <w:spacing w:val="-5"/>
          <w:lang w:val="sq-AL"/>
        </w:rPr>
        <w:t xml:space="preserve">- </w:t>
      </w:r>
      <w:r w:rsidR="009824FF" w:rsidRPr="00795698">
        <w:rPr>
          <w:rFonts w:eastAsia="SimSun"/>
          <w:spacing w:val="-5"/>
          <w:lang w:val="sq-AL"/>
        </w:rPr>
        <w:t xml:space="preserve">Planin Kombëtar të Veprimit për Personat LGBTI+ </w:t>
      </w:r>
      <w:r w:rsidR="00623407" w:rsidRPr="00795698">
        <w:rPr>
          <w:rFonts w:eastAsia="SimSun"/>
          <w:spacing w:val="-5"/>
          <w:lang w:val="sq-AL"/>
        </w:rPr>
        <w:t>2021–</w:t>
      </w:r>
      <w:r w:rsidR="009824FF" w:rsidRPr="00795698">
        <w:rPr>
          <w:rFonts w:eastAsia="SimSun"/>
          <w:spacing w:val="-5"/>
          <w:lang w:val="sq-AL"/>
        </w:rPr>
        <w:t>2027;</w:t>
      </w:r>
    </w:p>
    <w:p w14:paraId="5FEEF4FE" w14:textId="341EC2F6" w:rsidR="009824FF" w:rsidRPr="00795698" w:rsidRDefault="009824FF" w:rsidP="009824FF">
      <w:pPr>
        <w:ind w:firstLine="284"/>
        <w:jc w:val="both"/>
        <w:rPr>
          <w:rFonts w:ascii="Garamond" w:hAnsi="Garamond"/>
        </w:rPr>
      </w:pPr>
      <w:r w:rsidRPr="00795698">
        <w:rPr>
          <w:rFonts w:ascii="Garamond" w:hAnsi="Garamond"/>
        </w:rPr>
        <w:t xml:space="preserve">Bashkërendimi i Strategjisë Ndërsektoriale për parandalimin e ekstremizmit të dhunshëm dhe luftën kundër terrorizmit </w:t>
      </w:r>
      <w:r w:rsidR="006249E3" w:rsidRPr="00795698">
        <w:rPr>
          <w:rFonts w:ascii="Garamond" w:hAnsi="Garamond"/>
        </w:rPr>
        <w:t>2023–2025</w:t>
      </w:r>
      <w:r w:rsidRPr="00795698">
        <w:rPr>
          <w:rFonts w:ascii="Garamond" w:hAnsi="Garamond"/>
        </w:rPr>
        <w:t xml:space="preserve"> me strategjitë e tjera kombëtare e sidomos me atë kundër Krimit të Organizuar dhe Krimeve të Rënda 2021–2025 etj</w:t>
      </w:r>
      <w:r w:rsidR="00623407" w:rsidRPr="00795698">
        <w:rPr>
          <w:rFonts w:ascii="Garamond" w:hAnsi="Garamond"/>
        </w:rPr>
        <w:t>.</w:t>
      </w:r>
      <w:r w:rsidRPr="00795698">
        <w:rPr>
          <w:rFonts w:ascii="Garamond" w:hAnsi="Garamond"/>
        </w:rPr>
        <w:t>, është i një rëndësie të veçantë pasi në shumë vende është vërejtur një trend i afrimit të organizatave terroriste me organizatat kriminale. Përmes krimit të organizuar e sidomos pastrimit të parave, terroristëve iu mundësohet të fshehin dhe legjitimojnë produktet e krimit. Trafikimi dhe kultivimi i drogës u ofron terroristëve burim të vlefshëm të të ardhurave të cilat ata i shndërrojnë në fonde për qëllime trajnimi të terroristëve, sigurimin e pajisjeve logjistike dhe teknologjinë, si dhe sigurimin e infrastrukturës së nevojshme.</w:t>
      </w:r>
    </w:p>
    <w:p w14:paraId="5FEEF4FF" w14:textId="77777777" w:rsidR="009824FF" w:rsidRPr="00795698" w:rsidRDefault="009824FF" w:rsidP="009824FF">
      <w:pPr>
        <w:ind w:firstLine="284"/>
        <w:jc w:val="both"/>
        <w:rPr>
          <w:rFonts w:ascii="Garamond" w:hAnsi="Garamond"/>
        </w:rPr>
      </w:pPr>
      <w:r w:rsidRPr="00795698">
        <w:rPr>
          <w:rFonts w:ascii="Garamond" w:hAnsi="Garamond"/>
        </w:rPr>
        <w:lastRenderedPageBreak/>
        <w:t>Për më tepër, Republika e Shqipërisë, si anëtare e koalicionit global kundër DAESH/ISIS dhe më gjerë ka treguar përkushtim dhe njëkohësisht ka marrë përgjegjësi dhe detyrime të caktuara, të cilat janë përfshirë në këtë strategji.</w:t>
      </w:r>
    </w:p>
    <w:p w14:paraId="5FEEF500" w14:textId="77777777" w:rsidR="009824FF" w:rsidRPr="00795698" w:rsidRDefault="009824FF" w:rsidP="009824FF">
      <w:pPr>
        <w:ind w:firstLine="284"/>
        <w:jc w:val="both"/>
        <w:rPr>
          <w:rFonts w:ascii="Garamond" w:hAnsi="Garamond"/>
        </w:rPr>
      </w:pPr>
      <w:r w:rsidRPr="00795698">
        <w:rPr>
          <w:rFonts w:ascii="Garamond" w:hAnsi="Garamond"/>
        </w:rPr>
        <w:t>Dokumenti përmban objektivat strategjike dhe objektiva të tjerë specifike për secilën nga shtyllat e sipërpërmendura. Strategjia do të shoqërohet me planin e veprimit për realizimin e objektivave dhe përcaktimin e mekanizmave implementues dhe koordinues.</w:t>
      </w:r>
    </w:p>
    <w:p w14:paraId="5FEEF501" w14:textId="31E8C194" w:rsidR="009824FF" w:rsidRPr="00795698" w:rsidRDefault="009824FF" w:rsidP="009824FF">
      <w:pPr>
        <w:pStyle w:val="Heading2"/>
        <w:spacing w:before="0"/>
        <w:ind w:firstLine="284"/>
        <w:rPr>
          <w:rFonts w:ascii="Garamond" w:hAnsi="Garamond"/>
          <w:color w:val="000000" w:themeColor="text1"/>
          <w:sz w:val="24"/>
          <w:szCs w:val="24"/>
        </w:rPr>
      </w:pPr>
      <w:bookmarkStart w:id="16" w:name="_Toc108644254"/>
      <w:bookmarkEnd w:id="15"/>
      <w:r w:rsidRPr="00795698">
        <w:rPr>
          <w:rFonts w:ascii="Garamond" w:hAnsi="Garamond"/>
          <w:color w:val="000000" w:themeColor="text1"/>
          <w:sz w:val="24"/>
          <w:szCs w:val="24"/>
        </w:rPr>
        <w:t>1.1.1</w:t>
      </w:r>
      <w:r w:rsidR="007C064A" w:rsidRPr="00795698">
        <w:rPr>
          <w:rFonts w:ascii="Garamond" w:hAnsi="Garamond"/>
          <w:color w:val="000000" w:themeColor="text1"/>
          <w:sz w:val="24"/>
          <w:szCs w:val="24"/>
        </w:rPr>
        <w:t xml:space="preserve"> </w:t>
      </w:r>
      <w:r w:rsidRPr="00795698">
        <w:rPr>
          <w:rFonts w:ascii="Garamond" w:hAnsi="Garamond"/>
          <w:color w:val="000000" w:themeColor="text1"/>
          <w:sz w:val="24"/>
          <w:szCs w:val="24"/>
        </w:rPr>
        <w:t>Kuadri</w:t>
      </w:r>
      <w:r w:rsidR="007C064A" w:rsidRPr="00795698">
        <w:rPr>
          <w:rFonts w:ascii="Garamond" w:hAnsi="Garamond"/>
          <w:color w:val="000000" w:themeColor="text1"/>
          <w:sz w:val="24"/>
          <w:szCs w:val="24"/>
        </w:rPr>
        <w:t xml:space="preserve"> </w:t>
      </w:r>
      <w:r w:rsidRPr="00795698">
        <w:rPr>
          <w:rFonts w:ascii="Garamond" w:hAnsi="Garamond"/>
          <w:color w:val="000000" w:themeColor="text1"/>
          <w:sz w:val="24"/>
          <w:szCs w:val="24"/>
        </w:rPr>
        <w:t>ligjor</w:t>
      </w:r>
      <w:bookmarkEnd w:id="16"/>
    </w:p>
    <w:p w14:paraId="5FEEF502" w14:textId="4DA90598" w:rsidR="009824FF" w:rsidRPr="00795698" w:rsidRDefault="009824FF" w:rsidP="009824FF">
      <w:pPr>
        <w:pStyle w:val="Qeveria"/>
        <w:spacing w:line="240" w:lineRule="auto"/>
        <w:ind w:firstLine="284"/>
        <w:rPr>
          <w:rFonts w:ascii="Garamond" w:hAnsi="Garamond"/>
          <w:sz w:val="24"/>
          <w:szCs w:val="24"/>
        </w:rPr>
      </w:pPr>
      <w:r w:rsidRPr="00795698">
        <w:rPr>
          <w:rFonts w:ascii="Garamond" w:hAnsi="Garamond"/>
          <w:sz w:val="24"/>
          <w:szCs w:val="24"/>
        </w:rPr>
        <w:t>Legjislacioni shqiptar në fushën e luftës kundër terrorizmit është mjaft i gj</w:t>
      </w:r>
      <w:r w:rsidR="00496156" w:rsidRPr="00795698">
        <w:rPr>
          <w:rFonts w:ascii="Garamond" w:hAnsi="Garamond"/>
          <w:sz w:val="24"/>
          <w:szCs w:val="24"/>
        </w:rPr>
        <w:t>e</w:t>
      </w:r>
      <w:r w:rsidRPr="00795698">
        <w:rPr>
          <w:rFonts w:ascii="Garamond" w:hAnsi="Garamond"/>
          <w:sz w:val="24"/>
          <w:szCs w:val="24"/>
        </w:rPr>
        <w:t xml:space="preserve">rë dhe ka pësuar ndryshime e përmirësime të dukshme, bazuar në legjislacionin ndërkombëtar dhe u diktuar nga situata e terrorizmit në aspektin kombëtar e ndërkombëtar. </w:t>
      </w:r>
    </w:p>
    <w:p w14:paraId="5FEEF503" w14:textId="77777777" w:rsidR="009824FF" w:rsidRPr="00795698" w:rsidRDefault="009824FF" w:rsidP="009824FF">
      <w:pPr>
        <w:pStyle w:val="Qeveria"/>
        <w:spacing w:line="240" w:lineRule="auto"/>
        <w:ind w:firstLine="284"/>
        <w:rPr>
          <w:rFonts w:ascii="Garamond" w:hAnsi="Garamond"/>
          <w:sz w:val="24"/>
          <w:szCs w:val="24"/>
        </w:rPr>
      </w:pPr>
      <w:r w:rsidRPr="00795698">
        <w:rPr>
          <w:rFonts w:ascii="Garamond" w:hAnsi="Garamond"/>
          <w:sz w:val="24"/>
          <w:szCs w:val="24"/>
        </w:rPr>
        <w:t>Në fushën e terrorizmit, Republika e Shqipërisë ka në zbatim një kuadër të plotë ligjor dhe mekanizma institucionalë efektivë, të cilat përfshijnë, edhe pse jo shteruese, aktet e mëposhtme:</w:t>
      </w:r>
    </w:p>
    <w:p w14:paraId="5FEEF504" w14:textId="77777777" w:rsidR="009824FF" w:rsidRPr="00795698" w:rsidRDefault="00BE0F29" w:rsidP="00BE0F29">
      <w:pPr>
        <w:pStyle w:val="TEKSTIIIII"/>
        <w:rPr>
          <w:lang w:val="sq-AL"/>
        </w:rPr>
      </w:pPr>
      <w:r w:rsidRPr="00795698">
        <w:rPr>
          <w:lang w:val="sq-AL"/>
        </w:rPr>
        <w:t xml:space="preserve">- </w:t>
      </w:r>
      <w:r w:rsidR="009824FF" w:rsidRPr="00795698">
        <w:rPr>
          <w:lang w:val="sq-AL"/>
        </w:rPr>
        <w:t>Kushtetuta e Republikës së Shqipërisë;</w:t>
      </w:r>
    </w:p>
    <w:p w14:paraId="5FEEF505" w14:textId="5338FC72" w:rsidR="009824FF" w:rsidRPr="00795698" w:rsidRDefault="00BE0F29" w:rsidP="00BE0F29">
      <w:pPr>
        <w:pStyle w:val="TEKSTIIIII"/>
        <w:rPr>
          <w:lang w:val="sq-AL"/>
        </w:rPr>
      </w:pPr>
      <w:r w:rsidRPr="00795698">
        <w:rPr>
          <w:lang w:val="sq-AL"/>
        </w:rPr>
        <w:t xml:space="preserve">- </w:t>
      </w:r>
      <w:r w:rsidR="009824FF" w:rsidRPr="00795698">
        <w:rPr>
          <w:lang w:val="sq-AL"/>
        </w:rPr>
        <w:t xml:space="preserve">Kodi Penal i Republikës së Shqipërisë (ndryshuar me ligjin nr. 36/2017, ligjin 89/2017) ku në nenin 28 të të cilit “Forma të veçanta të bashkëpunimit”, në pikën 2, jepet përkufizimi i organizatës terroriste dhe në vijim parashikohen veprat penale të kryera me qëllime terroriste, parashikuar në </w:t>
      </w:r>
      <w:r w:rsidR="009C4DC2" w:rsidRPr="00795698">
        <w:rPr>
          <w:lang w:val="sq-AL"/>
        </w:rPr>
        <w:t>k</w:t>
      </w:r>
      <w:r w:rsidR="009824FF" w:rsidRPr="00795698">
        <w:rPr>
          <w:lang w:val="sq-AL"/>
        </w:rPr>
        <w:t>reun VII të këtij kodi, si dhe nenet 265/a,</w:t>
      </w:r>
      <w:r w:rsidR="00496156" w:rsidRPr="00795698">
        <w:rPr>
          <w:lang w:val="sq-AL"/>
        </w:rPr>
        <w:t xml:space="preserve"> </w:t>
      </w:r>
      <w:r w:rsidR="009824FF" w:rsidRPr="00795698">
        <w:rPr>
          <w:lang w:val="sq-AL"/>
        </w:rPr>
        <w:t>265/b dhe 265/c që parashikojnë sanksione për pjesëmarrësit në veprime luftarake në një shtet të huaj (ndryshime sipas ligjit nr. 98,</w:t>
      </w:r>
      <w:r w:rsidR="00CC0F8B" w:rsidRPr="00795698">
        <w:rPr>
          <w:lang w:val="sq-AL"/>
        </w:rPr>
        <w:t xml:space="preserve"> datë 31.</w:t>
      </w:r>
      <w:r w:rsidR="009824FF" w:rsidRPr="00795698">
        <w:rPr>
          <w:lang w:val="sq-AL"/>
        </w:rPr>
        <w:t>7.2014);</w:t>
      </w:r>
    </w:p>
    <w:p w14:paraId="5FEEF506" w14:textId="58BE27BB" w:rsidR="009824FF" w:rsidRPr="00795698" w:rsidRDefault="00D6236E" w:rsidP="00D6236E">
      <w:pPr>
        <w:pStyle w:val="TEKSTIIIII"/>
        <w:rPr>
          <w:lang w:val="sq-AL"/>
        </w:rPr>
      </w:pPr>
      <w:r w:rsidRPr="00795698">
        <w:rPr>
          <w:lang w:val="sq-AL"/>
        </w:rPr>
        <w:t xml:space="preserve">- </w:t>
      </w:r>
      <w:r w:rsidR="009824FF" w:rsidRPr="00795698">
        <w:rPr>
          <w:lang w:val="sq-AL"/>
        </w:rPr>
        <w:t xml:space="preserve">Kodi i Procedurës Penale të Republikës së Shqipërisë, i </w:t>
      </w:r>
      <w:r w:rsidR="00CC0F8B" w:rsidRPr="00795698">
        <w:rPr>
          <w:lang w:val="sq-AL"/>
        </w:rPr>
        <w:t>ndryshuar</w:t>
      </w:r>
      <w:r w:rsidR="009824FF" w:rsidRPr="00795698">
        <w:rPr>
          <w:lang w:val="sq-AL"/>
        </w:rPr>
        <w:t xml:space="preserve"> ku përcaktohet kompetenca e hetimit të veprave penale që lidhen me terrorizmin, si dhe ligji nr. 95/2016</w:t>
      </w:r>
      <w:r w:rsidR="00CC0F8B" w:rsidRPr="00795698">
        <w:rPr>
          <w:lang w:val="sq-AL"/>
        </w:rPr>
        <w:t>,</w:t>
      </w:r>
      <w:r w:rsidR="009824FF" w:rsidRPr="00795698">
        <w:rPr>
          <w:lang w:val="sq-AL"/>
        </w:rPr>
        <w:t xml:space="preserve"> “Për organizimin dhe funksionimin</w:t>
      </w:r>
      <w:r w:rsidR="007C064A" w:rsidRPr="00795698">
        <w:rPr>
          <w:lang w:val="sq-AL"/>
        </w:rPr>
        <w:t xml:space="preserve"> </w:t>
      </w:r>
      <w:r w:rsidR="009824FF" w:rsidRPr="00795698">
        <w:rPr>
          <w:lang w:val="sq-AL"/>
        </w:rPr>
        <w:t>e institucioneve për të luftuar korrupsionin dhe krimin e organizuar”, në bazë të të cilit është krijuar Prokuroria e Posaçme, që ka në kompetencë hetimin e veprave të kryera nga grupet terroriste;</w:t>
      </w:r>
    </w:p>
    <w:p w14:paraId="5FEEF507" w14:textId="43DAC660" w:rsidR="009824FF" w:rsidRPr="00795698" w:rsidRDefault="00D6236E" w:rsidP="00D6236E">
      <w:pPr>
        <w:pStyle w:val="TEKSTIIIII"/>
        <w:rPr>
          <w:lang w:val="sq-AL"/>
        </w:rPr>
      </w:pPr>
      <w:r w:rsidRPr="00795698">
        <w:rPr>
          <w:lang w:val="sq-AL"/>
        </w:rPr>
        <w:t xml:space="preserve">- </w:t>
      </w:r>
      <w:r w:rsidR="00CC0F8B" w:rsidRPr="00795698">
        <w:rPr>
          <w:lang w:val="sq-AL"/>
        </w:rPr>
        <w:t>Ligji nr. 9917, datë 19.</w:t>
      </w:r>
      <w:r w:rsidR="009824FF" w:rsidRPr="00795698">
        <w:rPr>
          <w:lang w:val="sq-AL"/>
        </w:rPr>
        <w:t>5.2008</w:t>
      </w:r>
      <w:r w:rsidR="00CC0F8B" w:rsidRPr="00795698">
        <w:rPr>
          <w:lang w:val="sq-AL"/>
        </w:rPr>
        <w:t>,</w:t>
      </w:r>
      <w:r w:rsidR="009824FF" w:rsidRPr="00795698">
        <w:rPr>
          <w:lang w:val="sq-AL"/>
        </w:rPr>
        <w:t xml:space="preserve"> “Për parandalimin e pastrimit të parave dhe financimit të terrorizmit”, i ndryshuar </w:t>
      </w:r>
      <w:r w:rsidR="009824FF" w:rsidRPr="00795698">
        <w:rPr>
          <w:i/>
          <w:lang w:val="sq-AL"/>
        </w:rPr>
        <w:t>(ndryshuar me ligjin nr.</w:t>
      </w:r>
      <w:r w:rsidR="00CC0F8B" w:rsidRPr="00795698">
        <w:rPr>
          <w:i/>
          <w:lang w:val="sq-AL"/>
        </w:rPr>
        <w:t xml:space="preserve"> </w:t>
      </w:r>
      <w:r w:rsidR="009824FF" w:rsidRPr="00795698">
        <w:rPr>
          <w:i/>
          <w:lang w:val="sq-AL"/>
        </w:rPr>
        <w:t>10 391, datë 3.3.2011; nr. 66/2012, datë 7.6.2012; nr. 44/2017, datë 6.4.2017; nr. 33/2019, datë 17.6.2019, nr. 120/2021, datë 2.12.2021).</w:t>
      </w:r>
      <w:r w:rsidR="009824FF" w:rsidRPr="00795698">
        <w:rPr>
          <w:lang w:val="sq-AL"/>
        </w:rPr>
        <w:t xml:space="preserve"> Ky ligj ka për qëllim të parandalojë pastrimin e parave dhe të produkteve që burojnë nga veprat penale, si dhe parandalimin e financimit të terrorizmit. Ky ligj gjithashtu parashikon detyrime dhe procedura për raportimin për subjektet e ligjit te strukturat përgjegjëse në funksion të zbatimit të tij, kompetencat e autoriteteve mbikëqyrëse dhe autoritetit përgjegjës;</w:t>
      </w:r>
    </w:p>
    <w:p w14:paraId="5FEEF508" w14:textId="3AF938E0" w:rsidR="009824FF" w:rsidRPr="00795698" w:rsidRDefault="00D6236E" w:rsidP="00D6236E">
      <w:pPr>
        <w:pStyle w:val="TEKSTIIIII"/>
        <w:rPr>
          <w:lang w:val="sq-AL"/>
        </w:rPr>
      </w:pPr>
      <w:r w:rsidRPr="00795698">
        <w:rPr>
          <w:lang w:val="sq-AL"/>
        </w:rPr>
        <w:t>-</w:t>
      </w:r>
      <w:r w:rsidR="00C62D65" w:rsidRPr="00795698">
        <w:rPr>
          <w:lang w:val="sq-AL"/>
        </w:rPr>
        <w:t xml:space="preserve"> </w:t>
      </w:r>
      <w:r w:rsidR="00CC0F8B" w:rsidRPr="00795698">
        <w:rPr>
          <w:lang w:val="sq-AL"/>
        </w:rPr>
        <w:t xml:space="preserve">Ligji nr. 10192, datë </w:t>
      </w:r>
      <w:r w:rsidR="009824FF" w:rsidRPr="00795698">
        <w:rPr>
          <w:lang w:val="sq-AL"/>
        </w:rPr>
        <w:t>3.12.2009</w:t>
      </w:r>
      <w:r w:rsidR="00CC0F8B" w:rsidRPr="00795698">
        <w:rPr>
          <w:lang w:val="sq-AL"/>
        </w:rPr>
        <w:t>,</w:t>
      </w:r>
      <w:r w:rsidR="009824FF" w:rsidRPr="00795698">
        <w:rPr>
          <w:lang w:val="sq-AL"/>
        </w:rPr>
        <w:t xml:space="preserve"> “Për el</w:t>
      </w:r>
      <w:r w:rsidR="00CC0F8B" w:rsidRPr="00795698">
        <w:rPr>
          <w:lang w:val="sq-AL"/>
        </w:rPr>
        <w:t>i</w:t>
      </w:r>
      <w:r w:rsidR="009824FF" w:rsidRPr="00795698">
        <w:rPr>
          <w:lang w:val="sq-AL"/>
        </w:rPr>
        <w:t xml:space="preserve">minimin dhe goditjen e krimit të organizuar dhe trafikimin, nëpërmjet masave ndaluese kundër pasurisë”, i ndryshuar </w:t>
      </w:r>
      <w:r w:rsidR="009824FF" w:rsidRPr="00795698">
        <w:rPr>
          <w:i/>
          <w:lang w:val="sq-AL"/>
        </w:rPr>
        <w:t>(ndryshuar me ligjin nr. 24/2014, datë 20.3.2014, nr. 70/2017, datë 27.4.2017, 34/2019,</w:t>
      </w:r>
      <w:r w:rsidR="00CC0F8B" w:rsidRPr="00795698">
        <w:rPr>
          <w:i/>
          <w:lang w:val="sq-AL"/>
        </w:rPr>
        <w:t xml:space="preserve"> </w:t>
      </w:r>
      <w:r w:rsidR="009824FF" w:rsidRPr="00795698">
        <w:rPr>
          <w:i/>
          <w:lang w:val="sq-AL"/>
        </w:rPr>
        <w:t>datë 17.6.2019, nr. 85/2020, datë 2.7.2020)</w:t>
      </w:r>
      <w:r w:rsidR="009824FF" w:rsidRPr="00795698">
        <w:rPr>
          <w:lang w:val="sq-AL"/>
        </w:rPr>
        <w:t xml:space="preserve"> zbatohen edhe për pasuritë e personave, mbi të cilët ekziston një dyshim i arsyeshëm, bazuar në indicie, edhe për pjesëmarrje në organizata terroriste ose në banda të armatosura;</w:t>
      </w:r>
    </w:p>
    <w:p w14:paraId="5FEEF509" w14:textId="0607C7B7" w:rsidR="009824FF" w:rsidRPr="00795698" w:rsidRDefault="00D6236E" w:rsidP="00D6236E">
      <w:pPr>
        <w:pStyle w:val="TEKSTIIIII"/>
        <w:rPr>
          <w:lang w:val="sq-AL"/>
        </w:rPr>
      </w:pPr>
      <w:r w:rsidRPr="00795698">
        <w:rPr>
          <w:lang w:val="sq-AL"/>
        </w:rPr>
        <w:t xml:space="preserve">- </w:t>
      </w:r>
      <w:r w:rsidR="009824FF" w:rsidRPr="00795698">
        <w:rPr>
          <w:lang w:val="sq-AL"/>
        </w:rPr>
        <w:t>Ligj nr. 157/2013</w:t>
      </w:r>
      <w:r w:rsidR="00C62D65" w:rsidRPr="00795698">
        <w:rPr>
          <w:lang w:val="sq-AL"/>
        </w:rPr>
        <w:t>,</w:t>
      </w:r>
      <w:r w:rsidR="009824FF" w:rsidRPr="00795698">
        <w:rPr>
          <w:lang w:val="sq-AL"/>
        </w:rPr>
        <w:t xml:space="preserve"> “Për masat kundër financimit të terrorizmit”, i ndryshuar </w:t>
      </w:r>
      <w:r w:rsidR="009824FF" w:rsidRPr="00795698">
        <w:rPr>
          <w:i/>
          <w:lang w:val="sq-AL"/>
        </w:rPr>
        <w:t>(ndryshuar me ligjin nr. 43/2017, datë 6.4.2017; nr. 32, datë 17.6.2019)</w:t>
      </w:r>
      <w:r w:rsidR="009824FF" w:rsidRPr="00795698">
        <w:rPr>
          <w:lang w:val="sq-AL"/>
        </w:rPr>
        <w:t>. Ky ligj është në përputhje me kërkesat e rezolutës 1373 (2001) të Këshillit të Sigurimit të Kombeve të Bashkuara. Zbatimi i këtij ligji bëhet nga një sërë institucionesh dhe agjencish si Ministria e Drejtësisë, Banka e Shqipërisë, Drejtoria e Përgjithshme e Parandalimit të Pastrimit të Parave (DPPP) dhe Autoriteti i Mbikëqyrjes Financiare, ndërsa administrimi i llogarive dhe aseteve të ngrira/sekuestruara/konfiskuara bëhet nga Agjencia për Administrimin e Pasurive të Sekuestruara dhe Konfiskuara. Me këto ndryshime është synuar përmbushja e detyrimeve që rrjedhin nga Rekomandimi 6 i FATF dhe kriteret përkatëse të këtij rekomandimi, për të kaluar nga pjesërisht në plotësisht i përmbushur, pasi ky rekomandim është në grupin e atyre që konsiderohen kyçe në sistem parandalues dhe goditës ndaj terrorizmit dhe financimit të tij. Me ndryshimet ligjore është arritur që afatet për njoftim të Këshillit të Sigurimit të OKB të jenë të njëjta sipas kërkesave të rezolutave të komiteteve përkatëse; të ndiqen procedurat dhe formularët standarde, siç janë miratuar nga Komitetet përkatëse</w:t>
      </w:r>
      <w:r w:rsidR="007C064A" w:rsidRPr="00795698">
        <w:rPr>
          <w:lang w:val="sq-AL"/>
        </w:rPr>
        <w:t xml:space="preserve"> </w:t>
      </w:r>
      <w:r w:rsidR="009824FF" w:rsidRPr="00795698">
        <w:rPr>
          <w:lang w:val="sq-AL"/>
        </w:rPr>
        <w:t xml:space="preserve">(Komiteti I 1267/1989 ose </w:t>
      </w:r>
      <w:r w:rsidR="009824FF" w:rsidRPr="00795698">
        <w:rPr>
          <w:lang w:val="sq-AL"/>
        </w:rPr>
        <w:lastRenderedPageBreak/>
        <w:t>Komiteti i 1988); sigurimi i sa më shumë informacioni identifikues që të jetë e mundur, dhe informacioni të posaçëm që mbështet shpalljen, kur i kërkohet një vendi tjetër njohja e masave të nisura nën mekanizmin e bllokimit. Ndryshimet synojnë gjithashtu vendosjen e procedurave për paraqitjen pranë Komiteteve përkatës të OKB-së të kërkesave për heqje nga lista të personave apo enteve të shpallur sipas Regjimit të Sanksioneve të OKB-së të cilët sipas vlerësimit të vendit nuk plotësojnë kriteret për shpallje. Gjithashtu janë përcaktuar masa më shtrënguese që fondet dhe asetet e personave apo enteve të shpallura të bllokohen pa njoftim paraprak;</w:t>
      </w:r>
    </w:p>
    <w:p w14:paraId="5FEEF50A" w14:textId="0410F61E" w:rsidR="009824FF" w:rsidRPr="00795698" w:rsidRDefault="00D6236E" w:rsidP="00D6236E">
      <w:pPr>
        <w:pStyle w:val="TEKSTIIIII"/>
        <w:rPr>
          <w:lang w:val="sq-AL"/>
        </w:rPr>
      </w:pPr>
      <w:r w:rsidRPr="00795698">
        <w:rPr>
          <w:lang w:val="sq-AL"/>
        </w:rPr>
        <w:t xml:space="preserve">- </w:t>
      </w:r>
      <w:r w:rsidR="009824FF" w:rsidRPr="00795698">
        <w:rPr>
          <w:lang w:val="sq-AL"/>
        </w:rPr>
        <w:t>Vendimi i Këshillit Mbikëqyrës të Bankës</w:t>
      </w:r>
      <w:r w:rsidR="009C4DC2" w:rsidRPr="00795698">
        <w:rPr>
          <w:lang w:val="sq-AL"/>
        </w:rPr>
        <w:t xml:space="preserve"> së Shqipërisë nr. 44, datë 10.</w:t>
      </w:r>
      <w:r w:rsidR="009824FF" w:rsidRPr="00795698">
        <w:rPr>
          <w:lang w:val="sq-AL"/>
        </w:rPr>
        <w:t>6.2009, “Për miratimin e rregullores “Për parandalimin e pastrimin e parave dhe financimit të terrorizmit”;</w:t>
      </w:r>
    </w:p>
    <w:p w14:paraId="5FEEF50B" w14:textId="3C4E6039" w:rsidR="009824FF" w:rsidRPr="00795698" w:rsidRDefault="00D6236E" w:rsidP="00D6236E">
      <w:pPr>
        <w:pStyle w:val="TEKSTIIIII"/>
        <w:rPr>
          <w:i/>
          <w:kern w:val="16"/>
          <w:lang w:val="sq-AL"/>
        </w:rPr>
      </w:pPr>
      <w:r w:rsidRPr="00795698">
        <w:rPr>
          <w:kern w:val="16"/>
          <w:lang w:val="sq-AL"/>
        </w:rPr>
        <w:t xml:space="preserve">- </w:t>
      </w:r>
      <w:r w:rsidR="009C4DC2" w:rsidRPr="00795698">
        <w:rPr>
          <w:kern w:val="16"/>
          <w:lang w:val="sq-AL"/>
        </w:rPr>
        <w:t>VKM nr. 140, datë 13.</w:t>
      </w:r>
      <w:r w:rsidR="009824FF" w:rsidRPr="00795698">
        <w:rPr>
          <w:kern w:val="16"/>
          <w:lang w:val="sq-AL"/>
        </w:rPr>
        <w:t>2.2008, “Për mënyrën e administrimit të pasurive të paluajtshme të sekuestruara, në kuadër të masave kundër financimit të terrorizmit”;</w:t>
      </w:r>
    </w:p>
    <w:p w14:paraId="5FEEF50C" w14:textId="07D25F96" w:rsidR="009824FF" w:rsidRPr="00795698" w:rsidRDefault="00D6236E" w:rsidP="00D6236E">
      <w:pPr>
        <w:pStyle w:val="TEKSTIIIII"/>
        <w:rPr>
          <w:i/>
          <w:lang w:val="sq-AL"/>
        </w:rPr>
      </w:pPr>
      <w:r w:rsidRPr="00795698">
        <w:rPr>
          <w:lang w:val="sq-AL"/>
        </w:rPr>
        <w:t xml:space="preserve">- </w:t>
      </w:r>
      <w:r w:rsidR="009824FF" w:rsidRPr="00795698">
        <w:rPr>
          <w:lang w:val="sq-AL"/>
        </w:rPr>
        <w:t xml:space="preserve">Rekomandimi i </w:t>
      </w:r>
      <w:r w:rsidR="009C4DC2" w:rsidRPr="00795698">
        <w:rPr>
          <w:lang w:val="sq-AL"/>
        </w:rPr>
        <w:t>v</w:t>
      </w:r>
      <w:r w:rsidR="009824FF" w:rsidRPr="00795698">
        <w:rPr>
          <w:lang w:val="sq-AL"/>
        </w:rPr>
        <w:t xml:space="preserve">endimit Kuadër i KE-së, </w:t>
      </w:r>
      <w:r w:rsidR="009C4DC2" w:rsidRPr="00795698">
        <w:rPr>
          <w:lang w:val="sq-AL"/>
        </w:rPr>
        <w:t>n</w:t>
      </w:r>
      <w:r w:rsidR="009824FF" w:rsidRPr="00795698">
        <w:rPr>
          <w:lang w:val="sq-AL"/>
        </w:rPr>
        <w:t xml:space="preserve">eni 5, </w:t>
      </w:r>
      <w:r w:rsidR="009C4DC2" w:rsidRPr="00795698">
        <w:rPr>
          <w:lang w:val="sq-AL"/>
        </w:rPr>
        <w:t>d</w:t>
      </w:r>
      <w:r w:rsidR="009824FF" w:rsidRPr="00795698">
        <w:rPr>
          <w:lang w:val="sq-AL"/>
        </w:rPr>
        <w:t>ënimet - “Masat e ndëshkimit dhe dënimit të terroristëve”,</w:t>
      </w:r>
      <w:r w:rsidR="007C064A" w:rsidRPr="00795698">
        <w:rPr>
          <w:lang w:val="sq-AL"/>
        </w:rPr>
        <w:t xml:space="preserve"> </w:t>
      </w:r>
      <w:r w:rsidR="009824FF" w:rsidRPr="00795698">
        <w:rPr>
          <w:lang w:val="sq-AL"/>
        </w:rPr>
        <w:t>dhe të</w:t>
      </w:r>
      <w:r w:rsidR="007C064A" w:rsidRPr="00795698">
        <w:rPr>
          <w:lang w:val="sq-AL"/>
        </w:rPr>
        <w:t xml:space="preserve"> </w:t>
      </w:r>
      <w:r w:rsidR="009824FF" w:rsidRPr="00795698">
        <w:rPr>
          <w:lang w:val="sq-AL"/>
        </w:rPr>
        <w:t>nenit 2 të tij, për krimet e lidhura me grupet terroriste;</w:t>
      </w:r>
    </w:p>
    <w:p w14:paraId="5FEEF50D" w14:textId="044B98A2" w:rsidR="009824FF" w:rsidRPr="00795698" w:rsidRDefault="00D6236E" w:rsidP="00D6236E">
      <w:pPr>
        <w:pStyle w:val="TEKSTIIIII"/>
        <w:rPr>
          <w:lang w:val="sq-AL"/>
        </w:rPr>
      </w:pPr>
      <w:r w:rsidRPr="00795698">
        <w:rPr>
          <w:kern w:val="16"/>
          <w:lang w:val="sq-AL"/>
        </w:rPr>
        <w:t xml:space="preserve">- </w:t>
      </w:r>
      <w:r w:rsidR="009C4DC2" w:rsidRPr="00795698">
        <w:rPr>
          <w:kern w:val="16"/>
          <w:lang w:val="sq-AL"/>
        </w:rPr>
        <w:t>Me ligjin nr. 9110, datë 24.</w:t>
      </w:r>
      <w:r w:rsidR="009824FF" w:rsidRPr="00795698">
        <w:rPr>
          <w:kern w:val="16"/>
          <w:lang w:val="sq-AL"/>
        </w:rPr>
        <w:t xml:space="preserve">7.2003 “Për organizimin dhe funksionimin e </w:t>
      </w:r>
      <w:r w:rsidR="009C4DC2" w:rsidRPr="00795698">
        <w:rPr>
          <w:kern w:val="16"/>
          <w:lang w:val="sq-AL"/>
        </w:rPr>
        <w:t>gjykatave për krimet e rënda</w:t>
      </w:r>
      <w:r w:rsidR="009824FF" w:rsidRPr="00795698">
        <w:rPr>
          <w:kern w:val="16"/>
          <w:lang w:val="sq-AL"/>
        </w:rPr>
        <w:t xml:space="preserve">”, </w:t>
      </w:r>
      <w:r w:rsidR="009824FF" w:rsidRPr="00795698">
        <w:rPr>
          <w:lang w:val="sq-AL"/>
        </w:rPr>
        <w:t xml:space="preserve">u krijua Gjykata </w:t>
      </w:r>
      <w:r w:rsidR="009C4DC2" w:rsidRPr="00795698">
        <w:rPr>
          <w:lang w:val="sq-AL"/>
        </w:rPr>
        <w:t>p</w:t>
      </w:r>
      <w:r w:rsidR="009824FF" w:rsidRPr="00795698">
        <w:rPr>
          <w:lang w:val="sq-AL"/>
        </w:rPr>
        <w:t xml:space="preserve">ër Krime të Rënda, dhe Prokuroria për Krimet e Rënda, </w:t>
      </w:r>
      <w:r w:rsidR="009824FF" w:rsidRPr="00795698">
        <w:rPr>
          <w:kern w:val="16"/>
          <w:lang w:val="sq-AL"/>
        </w:rPr>
        <w:t>e cila ka në kompetencë edhe hetimin e v</w:t>
      </w:r>
      <w:r w:rsidR="009824FF" w:rsidRPr="00795698">
        <w:rPr>
          <w:lang w:val="sq-AL"/>
        </w:rPr>
        <w:t>eprave penale në fushën kundër terrorizmit;</w:t>
      </w:r>
    </w:p>
    <w:p w14:paraId="5FEEF50E" w14:textId="63365DC4" w:rsidR="009824FF" w:rsidRPr="00795698" w:rsidRDefault="00D6236E" w:rsidP="00D6236E">
      <w:pPr>
        <w:pStyle w:val="TEKSTIIIII"/>
        <w:rPr>
          <w:lang w:val="sq-AL"/>
        </w:rPr>
      </w:pPr>
      <w:r w:rsidRPr="00795698">
        <w:rPr>
          <w:lang w:val="sq-AL"/>
        </w:rPr>
        <w:t xml:space="preserve">- </w:t>
      </w:r>
      <w:r w:rsidR="009824FF" w:rsidRPr="00795698">
        <w:rPr>
          <w:lang w:val="sq-AL"/>
        </w:rPr>
        <w:t>Ligj nr. 95/2016</w:t>
      </w:r>
      <w:r w:rsidR="009C4DC2" w:rsidRPr="00795698">
        <w:rPr>
          <w:lang w:val="sq-AL"/>
        </w:rPr>
        <w:t>,</w:t>
      </w:r>
      <w:r w:rsidR="009824FF" w:rsidRPr="00795698">
        <w:rPr>
          <w:lang w:val="sq-AL"/>
        </w:rPr>
        <w:t xml:space="preserve"> “Për organizimin dhe funksionimin e institucioneve për të luftuar korrupsionin dhe krimin e organizuar”; </w:t>
      </w:r>
    </w:p>
    <w:p w14:paraId="5FEEF50F" w14:textId="632B4090" w:rsidR="009824FF" w:rsidRPr="00795698" w:rsidRDefault="00D6236E" w:rsidP="00D6236E">
      <w:pPr>
        <w:pStyle w:val="TEKSTIIIII"/>
        <w:rPr>
          <w:lang w:val="sq-AL"/>
        </w:rPr>
      </w:pPr>
      <w:r w:rsidRPr="00795698">
        <w:rPr>
          <w:lang w:val="sq-AL"/>
        </w:rPr>
        <w:t xml:space="preserve">- </w:t>
      </w:r>
      <w:r w:rsidR="009824FF" w:rsidRPr="00795698">
        <w:rPr>
          <w:lang w:val="sq-AL"/>
        </w:rPr>
        <w:t>Ligj nr. 97/2016</w:t>
      </w:r>
      <w:r w:rsidR="009C4DC2" w:rsidRPr="00795698">
        <w:rPr>
          <w:lang w:val="sq-AL"/>
        </w:rPr>
        <w:t>,</w:t>
      </w:r>
      <w:r w:rsidR="009824FF" w:rsidRPr="00795698">
        <w:rPr>
          <w:lang w:val="sq-AL"/>
        </w:rPr>
        <w:t xml:space="preserve"> “Për organizimin dhe funksionimin e prokurorisë në Republikën e Shqipërisë”; </w:t>
      </w:r>
    </w:p>
    <w:p w14:paraId="5FEEF510" w14:textId="0D58B99E" w:rsidR="009824FF" w:rsidRPr="00795698" w:rsidRDefault="00D6236E" w:rsidP="00D6236E">
      <w:pPr>
        <w:pStyle w:val="TEKSTIIIII"/>
        <w:rPr>
          <w:lang w:val="sq-AL"/>
        </w:rPr>
      </w:pPr>
      <w:r w:rsidRPr="00795698">
        <w:rPr>
          <w:lang w:val="sq-AL"/>
        </w:rPr>
        <w:t xml:space="preserve">- </w:t>
      </w:r>
      <w:r w:rsidR="009824FF" w:rsidRPr="00795698">
        <w:rPr>
          <w:lang w:val="sq-AL"/>
        </w:rPr>
        <w:t>Ligj nr. 98/2016</w:t>
      </w:r>
      <w:r w:rsidR="009C4DC2" w:rsidRPr="00795698">
        <w:rPr>
          <w:lang w:val="sq-AL"/>
        </w:rPr>
        <w:t>,</w:t>
      </w:r>
      <w:r w:rsidR="009824FF" w:rsidRPr="00795698">
        <w:rPr>
          <w:lang w:val="sq-AL"/>
        </w:rPr>
        <w:t xml:space="preserve"> “Për organizimin e pushtetit gjyqësor në Republikën e Shqipërisë”</w:t>
      </w:r>
    </w:p>
    <w:p w14:paraId="5FEEF511" w14:textId="1FD5AC0E" w:rsidR="009824FF" w:rsidRPr="00795698" w:rsidRDefault="00D6236E" w:rsidP="00D6236E">
      <w:pPr>
        <w:pStyle w:val="TEKSTIIIII"/>
        <w:rPr>
          <w:lang w:val="sq-AL"/>
        </w:rPr>
      </w:pPr>
      <w:r w:rsidRPr="00795698">
        <w:rPr>
          <w:lang w:val="sq-AL"/>
        </w:rPr>
        <w:t xml:space="preserve">- </w:t>
      </w:r>
      <w:r w:rsidR="009824FF" w:rsidRPr="00795698">
        <w:rPr>
          <w:lang w:val="sq-AL"/>
        </w:rPr>
        <w:t xml:space="preserve">Ligji </w:t>
      </w:r>
      <w:r w:rsidR="009824FF" w:rsidRPr="00795698">
        <w:rPr>
          <w:kern w:val="16"/>
          <w:lang w:val="sq-AL"/>
        </w:rPr>
        <w:t>nr.</w:t>
      </w:r>
      <w:r w:rsidR="009824FF" w:rsidRPr="00795698">
        <w:rPr>
          <w:lang w:val="sq-AL"/>
        </w:rPr>
        <w:t xml:space="preserve"> 10173, datë 22.10.2009</w:t>
      </w:r>
      <w:r w:rsidR="009C4DC2" w:rsidRPr="00795698">
        <w:rPr>
          <w:lang w:val="sq-AL"/>
        </w:rPr>
        <w:t>,</w:t>
      </w:r>
      <w:r w:rsidR="009824FF" w:rsidRPr="00795698">
        <w:rPr>
          <w:lang w:val="sq-AL"/>
        </w:rPr>
        <w:t xml:space="preserve"> “Për mbrojtjen e dëshmitarëve dhe bashkëpunëtorëve të drejtësisë”;</w:t>
      </w:r>
    </w:p>
    <w:p w14:paraId="5FEEF512" w14:textId="79D58A04" w:rsidR="009824FF" w:rsidRPr="00795698" w:rsidRDefault="00D6236E" w:rsidP="00D6236E">
      <w:pPr>
        <w:pStyle w:val="TEKSTIIIII"/>
        <w:rPr>
          <w:lang w:val="sq-AL"/>
        </w:rPr>
      </w:pPr>
      <w:r w:rsidRPr="00795698">
        <w:rPr>
          <w:lang w:val="sq-AL"/>
        </w:rPr>
        <w:t xml:space="preserve">- </w:t>
      </w:r>
      <w:r w:rsidR="009824FF" w:rsidRPr="00795698">
        <w:rPr>
          <w:lang w:val="sq-AL"/>
        </w:rPr>
        <w:t>Ligj nr. 108/2013</w:t>
      </w:r>
      <w:r w:rsidR="009C4DC2" w:rsidRPr="00795698">
        <w:rPr>
          <w:lang w:val="sq-AL"/>
        </w:rPr>
        <w:t>,</w:t>
      </w:r>
      <w:r w:rsidR="009824FF" w:rsidRPr="00795698">
        <w:rPr>
          <w:lang w:val="sq-AL"/>
        </w:rPr>
        <w:t xml:space="preserve"> “Për të huajt” (ndryshuar me ligjin nr. 74/2016, datë 14.7.2016 dhe </w:t>
      </w:r>
      <w:r w:rsidR="009C4DC2" w:rsidRPr="00795698">
        <w:rPr>
          <w:lang w:val="sq-AL"/>
        </w:rPr>
        <w:t>l</w:t>
      </w:r>
      <w:r w:rsidR="009824FF" w:rsidRPr="00795698">
        <w:rPr>
          <w:lang w:val="sq-AL"/>
        </w:rPr>
        <w:t>igjin nr.</w:t>
      </w:r>
      <w:r w:rsidR="009C4DC2" w:rsidRPr="00795698">
        <w:rPr>
          <w:lang w:val="sq-AL"/>
        </w:rPr>
        <w:t xml:space="preserve"> </w:t>
      </w:r>
      <w:r w:rsidR="009824FF" w:rsidRPr="00795698">
        <w:rPr>
          <w:lang w:val="sq-AL"/>
        </w:rPr>
        <w:t>13/2020) i cili rregullon regjimin e hyrjes, të qëndrimit, të punësimit dhe të daljes së të huajve në/nga Republika e Shqipërisë;</w:t>
      </w:r>
    </w:p>
    <w:p w14:paraId="5FEEF513" w14:textId="7ED2D8D6" w:rsidR="009824FF" w:rsidRPr="00795698" w:rsidRDefault="00D6236E" w:rsidP="00D6236E">
      <w:pPr>
        <w:pStyle w:val="TEKSTIIIII"/>
        <w:rPr>
          <w:lang w:val="sq-AL"/>
        </w:rPr>
      </w:pPr>
      <w:r w:rsidRPr="00795698">
        <w:rPr>
          <w:lang w:val="sq-AL"/>
        </w:rPr>
        <w:t xml:space="preserve">- </w:t>
      </w:r>
      <w:r w:rsidR="009C4DC2" w:rsidRPr="00795698">
        <w:rPr>
          <w:lang w:val="sq-AL"/>
        </w:rPr>
        <w:t xml:space="preserve">Ligji nr. 10193, datë </w:t>
      </w:r>
      <w:r w:rsidR="009824FF" w:rsidRPr="00795698">
        <w:rPr>
          <w:lang w:val="sq-AL"/>
        </w:rPr>
        <w:t>3.12.2009, “Për marrëdhëniet juridiksionale me autoritetet e huaja në çështjet penale”;</w:t>
      </w:r>
    </w:p>
    <w:p w14:paraId="5FEEF514" w14:textId="101CBA76" w:rsidR="009824FF" w:rsidRPr="00795698" w:rsidRDefault="00D6236E" w:rsidP="00D6236E">
      <w:pPr>
        <w:pStyle w:val="TEKSTIIIII"/>
        <w:rPr>
          <w:lang w:val="sq-AL"/>
        </w:rPr>
      </w:pPr>
      <w:r w:rsidRPr="00795698">
        <w:rPr>
          <w:lang w:val="sq-AL"/>
        </w:rPr>
        <w:t xml:space="preserve">- </w:t>
      </w:r>
      <w:r w:rsidR="009824FF" w:rsidRPr="00795698">
        <w:rPr>
          <w:lang w:val="sq-AL"/>
        </w:rPr>
        <w:t>Ligj nr. 79/2020</w:t>
      </w:r>
      <w:r w:rsidR="009C4DC2" w:rsidRPr="00795698">
        <w:rPr>
          <w:lang w:val="sq-AL"/>
        </w:rPr>
        <w:t>,</w:t>
      </w:r>
      <w:r w:rsidR="009824FF" w:rsidRPr="00795698">
        <w:rPr>
          <w:lang w:val="sq-AL"/>
        </w:rPr>
        <w:t xml:space="preserve"> “Për ekzekutimin e vendimeve penale”;</w:t>
      </w:r>
    </w:p>
    <w:p w14:paraId="5FEEF515" w14:textId="3929EFD9" w:rsidR="009824FF" w:rsidRPr="00795698" w:rsidRDefault="00D6236E" w:rsidP="00D6236E">
      <w:pPr>
        <w:pStyle w:val="TEKSTIIIII"/>
        <w:rPr>
          <w:lang w:val="sq-AL"/>
        </w:rPr>
      </w:pPr>
      <w:r w:rsidRPr="00795698">
        <w:rPr>
          <w:lang w:val="sq-AL"/>
        </w:rPr>
        <w:t xml:space="preserve">- </w:t>
      </w:r>
      <w:r w:rsidR="009824FF" w:rsidRPr="00795698">
        <w:rPr>
          <w:lang w:val="sq-AL"/>
        </w:rPr>
        <w:t>Ligj nr. 45/2019</w:t>
      </w:r>
      <w:r w:rsidR="009C4DC2" w:rsidRPr="00795698">
        <w:rPr>
          <w:lang w:val="sq-AL"/>
        </w:rPr>
        <w:t>,</w:t>
      </w:r>
      <w:r w:rsidR="009824FF" w:rsidRPr="00795698">
        <w:rPr>
          <w:lang w:val="sq-AL"/>
        </w:rPr>
        <w:t xml:space="preserve"> “Për mbrojtjen civile”;</w:t>
      </w:r>
    </w:p>
    <w:p w14:paraId="5FEEF516" w14:textId="18E32D67" w:rsidR="009824FF" w:rsidRPr="00795698" w:rsidRDefault="00D6236E" w:rsidP="00D6236E">
      <w:pPr>
        <w:pStyle w:val="TEKSTIIIII"/>
        <w:rPr>
          <w:lang w:val="sq-AL"/>
        </w:rPr>
      </w:pPr>
      <w:r w:rsidRPr="00795698">
        <w:rPr>
          <w:lang w:val="sq-AL"/>
        </w:rPr>
        <w:t xml:space="preserve">- </w:t>
      </w:r>
      <w:r w:rsidR="009824FF" w:rsidRPr="00795698">
        <w:rPr>
          <w:lang w:val="sq-AL"/>
        </w:rPr>
        <w:t>Vendim nr. 847, datë 24.12.2019</w:t>
      </w:r>
      <w:r w:rsidR="009C4DC2" w:rsidRPr="00795698">
        <w:rPr>
          <w:lang w:val="sq-AL"/>
        </w:rPr>
        <w:t>,</w:t>
      </w:r>
      <w:r w:rsidR="009824FF" w:rsidRPr="00795698">
        <w:rPr>
          <w:lang w:val="sq-AL"/>
        </w:rPr>
        <w:t xml:space="preserve"> “Për disa shtesa dhe ndryshime në vendimin nr. 343, datë 8.4.2009, të Këshillit të Ministrave, “Për mënyrat dhe procedurat e raportimit të autoriteteve licencuese dhe/ose mbikëqyrëse”;</w:t>
      </w:r>
    </w:p>
    <w:p w14:paraId="5FEEF517" w14:textId="1631B868" w:rsidR="009824FF" w:rsidRPr="00795698" w:rsidRDefault="00D6236E" w:rsidP="00D6236E">
      <w:pPr>
        <w:pStyle w:val="TEKSTIIIII"/>
        <w:rPr>
          <w:lang w:val="sq-AL"/>
        </w:rPr>
      </w:pPr>
      <w:r w:rsidRPr="00795698">
        <w:rPr>
          <w:lang w:val="sq-AL"/>
        </w:rPr>
        <w:t xml:space="preserve">- </w:t>
      </w:r>
      <w:r w:rsidR="009824FF" w:rsidRPr="00795698">
        <w:rPr>
          <w:lang w:val="sq-AL"/>
        </w:rPr>
        <w:t>Ligj nr. 72/2019</w:t>
      </w:r>
      <w:r w:rsidR="009C4DC2" w:rsidRPr="00795698">
        <w:rPr>
          <w:lang w:val="sq-AL"/>
        </w:rPr>
        <w:t>,</w:t>
      </w:r>
      <w:r w:rsidR="009824FF" w:rsidRPr="00795698">
        <w:rPr>
          <w:lang w:val="sq-AL"/>
        </w:rPr>
        <w:t xml:space="preserve"> “Për masat shtrënguese ndërkombëtare në Republikën e Shqipërisë”</w:t>
      </w:r>
      <w:r w:rsidR="009C4DC2" w:rsidRPr="00795698">
        <w:rPr>
          <w:lang w:val="sq-AL"/>
        </w:rPr>
        <w:t>;</w:t>
      </w:r>
    </w:p>
    <w:p w14:paraId="5FEEF518" w14:textId="7988F526" w:rsidR="009824FF" w:rsidRPr="00795698" w:rsidRDefault="00D6236E" w:rsidP="00D6236E">
      <w:pPr>
        <w:pStyle w:val="TEKSTIIIII"/>
        <w:rPr>
          <w:lang w:val="sq-AL"/>
        </w:rPr>
      </w:pPr>
      <w:r w:rsidRPr="00795698">
        <w:rPr>
          <w:lang w:val="sq-AL"/>
        </w:rPr>
        <w:t xml:space="preserve">- </w:t>
      </w:r>
      <w:r w:rsidR="009824FF" w:rsidRPr="00795698">
        <w:rPr>
          <w:lang w:val="sq-AL"/>
        </w:rPr>
        <w:t>Ligji nr. 112/2020, “Për regjistrin e pronarëve përfitues” ka hyrë në fuqi në shtator të vitit 2020. Ligji parashikon që QKB</w:t>
      </w:r>
      <w:r w:rsidR="009C4DC2" w:rsidRPr="00795698">
        <w:rPr>
          <w:lang w:val="sq-AL"/>
        </w:rPr>
        <w:t>-ja</w:t>
      </w:r>
      <w:r w:rsidR="009824FF" w:rsidRPr="00795698">
        <w:rPr>
          <w:lang w:val="sq-AL"/>
        </w:rPr>
        <w:t xml:space="preserve"> do të trajtojë procesin e regjistrimit të pronarëve përfitues të subjekteve raportuese në regjistrin e pronarëve përfitues. Regjistri i Pronarëve Përfitues do të jetë i aksesueshëm dhe i hapur për të gjitha institucionet shtetërore përgjegjëse për të marrë informacion mbi pronarët përfitues të subjekteve raportuese (përfshirë personat juridikë/bizneset);</w:t>
      </w:r>
    </w:p>
    <w:p w14:paraId="5FEEF519" w14:textId="36657178" w:rsidR="009824FF" w:rsidRPr="00795698" w:rsidRDefault="00D6236E" w:rsidP="00D6236E">
      <w:pPr>
        <w:pStyle w:val="TEKSTIIIII"/>
        <w:rPr>
          <w:lang w:val="sq-AL"/>
        </w:rPr>
      </w:pPr>
      <w:r w:rsidRPr="00795698">
        <w:rPr>
          <w:lang w:val="sq-AL"/>
        </w:rPr>
        <w:t xml:space="preserve">- </w:t>
      </w:r>
      <w:r w:rsidR="009824FF" w:rsidRPr="00795698">
        <w:rPr>
          <w:lang w:val="sq-AL"/>
        </w:rPr>
        <w:t>Në këtë drejtim Kuvendi i Shqipërisë miratoi ligjin nr. 154/2020</w:t>
      </w:r>
      <w:r w:rsidR="009C4DC2" w:rsidRPr="00795698">
        <w:rPr>
          <w:lang w:val="sq-AL"/>
        </w:rPr>
        <w:t>,</w:t>
      </w:r>
      <w:r w:rsidR="009824FF" w:rsidRPr="00795698">
        <w:rPr>
          <w:lang w:val="sq-AL"/>
        </w:rPr>
        <w:t xml:space="preserve"> datë 17.12.2020</w:t>
      </w:r>
      <w:r w:rsidR="009C4DC2" w:rsidRPr="00795698">
        <w:rPr>
          <w:lang w:val="sq-AL"/>
        </w:rPr>
        <w:t>,</w:t>
      </w:r>
      <w:r w:rsidR="009824FF" w:rsidRPr="00795698">
        <w:rPr>
          <w:lang w:val="sq-AL"/>
        </w:rPr>
        <w:t xml:space="preserve"> “Për regjistrin qendror të llogarive bankare”. Kjo nismë ligjore është në përputhje me nenin 32/a të </w:t>
      </w:r>
      <w:r w:rsidR="009C4DC2" w:rsidRPr="00795698">
        <w:rPr>
          <w:lang w:val="sq-AL"/>
        </w:rPr>
        <w:t>d</w:t>
      </w:r>
      <w:r w:rsidR="009824FF" w:rsidRPr="00795698">
        <w:rPr>
          <w:lang w:val="sq-AL"/>
        </w:rPr>
        <w:t>irektivës së BE-së kundër Pastrimit të Parave (</w:t>
      </w:r>
      <w:r w:rsidR="009C4DC2" w:rsidRPr="00795698">
        <w:rPr>
          <w:lang w:val="sq-AL"/>
        </w:rPr>
        <w:t>d</w:t>
      </w:r>
      <w:r w:rsidR="009824FF" w:rsidRPr="00795698">
        <w:rPr>
          <w:lang w:val="sq-AL"/>
        </w:rPr>
        <w:t>irektiva 2015/849 e ndryshuar nga direktiva 2018/843);</w:t>
      </w:r>
    </w:p>
    <w:p w14:paraId="5FEEF51A" w14:textId="0C0BD1CD" w:rsidR="009824FF" w:rsidRPr="00795698" w:rsidRDefault="00D6236E" w:rsidP="00D6236E">
      <w:pPr>
        <w:pStyle w:val="TEKSTIIIII"/>
        <w:rPr>
          <w:lang w:val="sq-AL"/>
        </w:rPr>
      </w:pPr>
      <w:r w:rsidRPr="00795698">
        <w:rPr>
          <w:lang w:val="sq-AL"/>
        </w:rPr>
        <w:t xml:space="preserve">- </w:t>
      </w:r>
      <w:r w:rsidR="009824FF" w:rsidRPr="00795698">
        <w:rPr>
          <w:lang w:val="sq-AL"/>
        </w:rPr>
        <w:t>Ligj nr. 8457/1999</w:t>
      </w:r>
      <w:r w:rsidR="009C4DC2" w:rsidRPr="00795698">
        <w:rPr>
          <w:lang w:val="sq-AL"/>
        </w:rPr>
        <w:t>,</w:t>
      </w:r>
      <w:r w:rsidR="009824FF" w:rsidRPr="00795698">
        <w:rPr>
          <w:lang w:val="sq-AL"/>
        </w:rPr>
        <w:t xml:space="preserve"> “Për informacionin e klasifikuar “Sekret shtetëror”, i ndryshuar me ligjin nr. 9541, datë 22.5.2006</w:t>
      </w:r>
      <w:r w:rsidR="009C4DC2" w:rsidRPr="00795698">
        <w:rPr>
          <w:lang w:val="sq-AL"/>
        </w:rPr>
        <w:t>,</w:t>
      </w:r>
      <w:r w:rsidR="009824FF" w:rsidRPr="00795698">
        <w:rPr>
          <w:lang w:val="sq-AL"/>
        </w:rPr>
        <w:t xml:space="preserve"> “Për disa shtesa e ndryshime në ligjin nr. 8457, datë 11.2.1999</w:t>
      </w:r>
      <w:r w:rsidR="009C4DC2" w:rsidRPr="00795698">
        <w:rPr>
          <w:lang w:val="sq-AL"/>
        </w:rPr>
        <w:t>,</w:t>
      </w:r>
      <w:r w:rsidR="009824FF" w:rsidRPr="00795698">
        <w:rPr>
          <w:lang w:val="sq-AL"/>
        </w:rPr>
        <w:t xml:space="preserve"> “Për informacionin e klasifikuar “sekret shtetëror”“;</w:t>
      </w:r>
    </w:p>
    <w:p w14:paraId="5FEEF51B" w14:textId="7AA73314" w:rsidR="009824FF" w:rsidRPr="00795698" w:rsidRDefault="00D6236E" w:rsidP="00D6236E">
      <w:pPr>
        <w:pStyle w:val="TEKSTIIIII"/>
        <w:rPr>
          <w:lang w:val="sq-AL"/>
        </w:rPr>
      </w:pPr>
      <w:r w:rsidRPr="00795698">
        <w:rPr>
          <w:lang w:val="sq-AL"/>
        </w:rPr>
        <w:t xml:space="preserve">- </w:t>
      </w:r>
      <w:r w:rsidR="009824FF" w:rsidRPr="00795698">
        <w:rPr>
          <w:lang w:val="sq-AL"/>
        </w:rPr>
        <w:t xml:space="preserve">Ligji nr. 2/2017 “Për sigurinë kibernetike”, i cili përafrohet me </w:t>
      </w:r>
      <w:r w:rsidR="009C4DC2" w:rsidRPr="00795698">
        <w:rPr>
          <w:lang w:val="sq-AL"/>
        </w:rPr>
        <w:t>d</w:t>
      </w:r>
      <w:r w:rsidR="009824FF" w:rsidRPr="00795698">
        <w:rPr>
          <w:lang w:val="sq-AL"/>
        </w:rPr>
        <w:t>irektivën</w:t>
      </w:r>
      <w:r w:rsidR="007C064A" w:rsidRPr="00795698">
        <w:rPr>
          <w:lang w:val="sq-AL"/>
        </w:rPr>
        <w:t xml:space="preserve"> </w:t>
      </w:r>
      <w:r w:rsidR="009824FF" w:rsidRPr="00795698">
        <w:rPr>
          <w:lang w:val="sq-AL"/>
        </w:rPr>
        <w:t xml:space="preserve">(BE) 2016/1148 të </w:t>
      </w:r>
      <w:r w:rsidR="009C4DC2" w:rsidRPr="00795698">
        <w:rPr>
          <w:lang w:val="sq-AL"/>
        </w:rPr>
        <w:t>P</w:t>
      </w:r>
      <w:r w:rsidR="009824FF" w:rsidRPr="00795698">
        <w:rPr>
          <w:lang w:val="sq-AL"/>
        </w:rPr>
        <w:t>arlamentit E</w:t>
      </w:r>
      <w:r w:rsidR="009C4DC2" w:rsidRPr="00795698">
        <w:rPr>
          <w:lang w:val="sq-AL"/>
        </w:rPr>
        <w:t>v</w:t>
      </w:r>
      <w:r w:rsidR="009824FF" w:rsidRPr="00795698">
        <w:rPr>
          <w:lang w:val="sq-AL"/>
        </w:rPr>
        <w:t>ropian dhe Këshillit</w:t>
      </w:r>
      <w:r w:rsidR="009C4DC2" w:rsidRPr="00795698">
        <w:rPr>
          <w:lang w:val="sq-AL"/>
        </w:rPr>
        <w:t>,</w:t>
      </w:r>
      <w:r w:rsidR="009824FF" w:rsidRPr="00795698">
        <w:rPr>
          <w:lang w:val="sq-AL"/>
        </w:rPr>
        <w:t xml:space="preserve"> </w:t>
      </w:r>
      <w:r w:rsidR="009C4DC2" w:rsidRPr="00795698">
        <w:rPr>
          <w:lang w:val="sq-AL"/>
        </w:rPr>
        <w:t>d</w:t>
      </w:r>
      <w:r w:rsidR="009824FF" w:rsidRPr="00795698">
        <w:rPr>
          <w:lang w:val="sq-AL"/>
        </w:rPr>
        <w:t>atë 6 korrik 2016;</w:t>
      </w:r>
    </w:p>
    <w:p w14:paraId="5FEEF51C" w14:textId="47468273" w:rsidR="009824FF" w:rsidRPr="00795698" w:rsidRDefault="00D6236E" w:rsidP="00D6236E">
      <w:pPr>
        <w:pStyle w:val="TEKSTIIIII"/>
        <w:rPr>
          <w:lang w:val="sq-AL"/>
        </w:rPr>
      </w:pPr>
      <w:r w:rsidRPr="00795698">
        <w:rPr>
          <w:lang w:val="sq-AL"/>
        </w:rPr>
        <w:lastRenderedPageBreak/>
        <w:t xml:space="preserve">- </w:t>
      </w:r>
      <w:r w:rsidR="009824FF" w:rsidRPr="00795698">
        <w:rPr>
          <w:lang w:val="sq-AL"/>
        </w:rPr>
        <w:t>Ligji nr. 71/2016</w:t>
      </w:r>
      <w:r w:rsidR="00666444" w:rsidRPr="00795698">
        <w:rPr>
          <w:lang w:val="sq-AL"/>
        </w:rPr>
        <w:t>,</w:t>
      </w:r>
      <w:r w:rsidR="009824FF" w:rsidRPr="00795698">
        <w:rPr>
          <w:lang w:val="sq-AL"/>
        </w:rPr>
        <w:t xml:space="preserve"> “Për kontrollin kufitar”, i ndryshuar, i cili përcakton rregullat për transmetimin e të dhënave të pasagjerit dhe regjimin e kontrollit kufitar të personave që kalojnë kufirin shtetëror të Republikës së Shqipërisë.</w:t>
      </w:r>
    </w:p>
    <w:p w14:paraId="5FEEF51D" w14:textId="350E1682" w:rsidR="009824FF" w:rsidRPr="00795698" w:rsidRDefault="00D6236E" w:rsidP="00D6236E">
      <w:pPr>
        <w:pStyle w:val="TEKSTIIIII"/>
        <w:rPr>
          <w:lang w:val="sq-AL"/>
        </w:rPr>
      </w:pPr>
      <w:r w:rsidRPr="00795698">
        <w:rPr>
          <w:lang w:val="sq-AL"/>
        </w:rPr>
        <w:t xml:space="preserve">- </w:t>
      </w:r>
      <w:r w:rsidR="009824FF" w:rsidRPr="00795698">
        <w:rPr>
          <w:lang w:val="sq-AL"/>
        </w:rPr>
        <w:t>Udhëzimi i përbashkët nr. 464, datë 10.12.2020</w:t>
      </w:r>
      <w:r w:rsidR="00666444" w:rsidRPr="00795698">
        <w:rPr>
          <w:lang w:val="sq-AL"/>
        </w:rPr>
        <w:t>,</w:t>
      </w:r>
      <w:r w:rsidR="009824FF" w:rsidRPr="00795698">
        <w:rPr>
          <w:lang w:val="sq-AL"/>
        </w:rPr>
        <w:t xml:space="preserve"> “Për </w:t>
      </w:r>
      <w:r w:rsidR="00666444" w:rsidRPr="00795698">
        <w:rPr>
          <w:lang w:val="sq-AL"/>
        </w:rPr>
        <w:t>transmetimin e të dhënave të pasagjerit te njësia e informacionit të pasagjerit</w:t>
      </w:r>
      <w:r w:rsidR="009824FF" w:rsidRPr="00795698">
        <w:rPr>
          <w:lang w:val="sq-AL"/>
        </w:rPr>
        <w:t>”.</w:t>
      </w:r>
    </w:p>
    <w:p w14:paraId="5FEEF51E" w14:textId="13C13597" w:rsidR="009824FF" w:rsidRPr="00795698" w:rsidRDefault="00D6236E" w:rsidP="00D6236E">
      <w:pPr>
        <w:pStyle w:val="TEKSTIIIII"/>
        <w:rPr>
          <w:lang w:val="sq-AL"/>
        </w:rPr>
      </w:pPr>
      <w:r w:rsidRPr="00795698">
        <w:rPr>
          <w:lang w:val="sq-AL"/>
        </w:rPr>
        <w:t xml:space="preserve">- </w:t>
      </w:r>
      <w:r w:rsidR="009824FF" w:rsidRPr="00795698">
        <w:rPr>
          <w:lang w:val="sq-AL"/>
        </w:rPr>
        <w:t xml:space="preserve">Ligji </w:t>
      </w:r>
      <w:r w:rsidR="00666444" w:rsidRPr="00795698">
        <w:rPr>
          <w:lang w:val="sq-AL"/>
        </w:rPr>
        <w:t>n</w:t>
      </w:r>
      <w:r w:rsidR="009824FF" w:rsidRPr="00795698">
        <w:rPr>
          <w:lang w:val="sq-AL"/>
        </w:rPr>
        <w:t>r. 81/2020</w:t>
      </w:r>
      <w:r w:rsidR="00666444" w:rsidRPr="00795698">
        <w:rPr>
          <w:lang w:val="sq-AL"/>
        </w:rPr>
        <w:t>,</w:t>
      </w:r>
      <w:r w:rsidR="009824FF" w:rsidRPr="00795698">
        <w:rPr>
          <w:lang w:val="sq-AL"/>
        </w:rPr>
        <w:t xml:space="preserve"> “Për të drejtat dhe trajtimin e të dënuarve me burgim dhe të paraburgosurve”, i cili përcakton të drejtat dhe trajtimin e të paraburgosurve dhe të dënuarve me burgim, organ</w:t>
      </w:r>
      <w:r w:rsidR="00666444" w:rsidRPr="00795698">
        <w:rPr>
          <w:lang w:val="sq-AL"/>
        </w:rPr>
        <w:t>i</w:t>
      </w:r>
      <w:r w:rsidR="009824FF" w:rsidRPr="00795698">
        <w:rPr>
          <w:lang w:val="sq-AL"/>
        </w:rPr>
        <w:t>zimin e sistemit të burgjeve, si dhe kompetencat dhe detyrat e organeve shtetërore kompetente.</w:t>
      </w:r>
    </w:p>
    <w:p w14:paraId="5FEEF51F" w14:textId="77777777" w:rsidR="009824FF" w:rsidRPr="00795698" w:rsidRDefault="00D6236E" w:rsidP="00D6236E">
      <w:pPr>
        <w:pStyle w:val="TEKSTIIIII"/>
        <w:rPr>
          <w:rStyle w:val="eop"/>
          <w:color w:val="000000"/>
          <w:lang w:val="sq-AL"/>
        </w:rPr>
      </w:pPr>
      <w:r w:rsidRPr="00795698">
        <w:rPr>
          <w:lang w:val="sq-AL"/>
        </w:rPr>
        <w:t xml:space="preserve">- </w:t>
      </w:r>
      <w:hyperlink r:id="rId13" w:history="1">
        <w:r w:rsidR="009824FF" w:rsidRPr="00795698">
          <w:rPr>
            <w:rStyle w:val="Hyperlink"/>
            <w:rFonts w:eastAsiaTheme="majorEastAsia"/>
            <w:color w:val="000000"/>
            <w:u w:val="none"/>
            <w:lang w:val="sq-AL"/>
          </w:rPr>
          <w:t>Strategjia e Sigurisë Kombëtare</w:t>
        </w:r>
      </w:hyperlink>
      <w:r w:rsidR="009824FF" w:rsidRPr="00795698">
        <w:rPr>
          <w:rStyle w:val="normaltextrun"/>
          <w:color w:val="000000"/>
          <w:lang w:val="sq-AL"/>
        </w:rPr>
        <w:t>;</w:t>
      </w:r>
    </w:p>
    <w:p w14:paraId="5FEEF520" w14:textId="658226D8" w:rsidR="009824FF" w:rsidRPr="00795698" w:rsidRDefault="00D6236E" w:rsidP="00D6236E">
      <w:pPr>
        <w:pStyle w:val="TEKSTIIIII"/>
        <w:rPr>
          <w:rStyle w:val="eop"/>
          <w:color w:val="000000"/>
          <w:szCs w:val="24"/>
          <w:lang w:val="sq-AL"/>
        </w:rPr>
      </w:pPr>
      <w:r w:rsidRPr="00795698">
        <w:rPr>
          <w:lang w:val="sq-AL"/>
        </w:rPr>
        <w:t xml:space="preserve">- </w:t>
      </w:r>
      <w:hyperlink r:id="rId14" w:history="1">
        <w:r w:rsidR="009824FF" w:rsidRPr="00795698">
          <w:rPr>
            <w:rStyle w:val="Hyperlink"/>
            <w:rFonts w:eastAsiaTheme="majorEastAsia"/>
            <w:color w:val="000000"/>
            <w:u w:val="none"/>
            <w:lang w:val="sq-AL"/>
          </w:rPr>
          <w:t xml:space="preserve">Strategjia Kombëtare për Zhvillim dhe Integrim </w:t>
        </w:r>
        <w:r w:rsidR="00623407" w:rsidRPr="00795698">
          <w:rPr>
            <w:rStyle w:val="Hyperlink"/>
            <w:rFonts w:eastAsiaTheme="majorEastAsia"/>
            <w:color w:val="000000"/>
            <w:u w:val="none"/>
            <w:lang w:val="sq-AL"/>
          </w:rPr>
          <w:t>2015–</w:t>
        </w:r>
        <w:r w:rsidR="009824FF" w:rsidRPr="00795698">
          <w:rPr>
            <w:rStyle w:val="Hyperlink"/>
            <w:rFonts w:eastAsiaTheme="majorEastAsia"/>
            <w:color w:val="000000"/>
            <w:u w:val="none"/>
            <w:lang w:val="sq-AL"/>
          </w:rPr>
          <w:t>2020</w:t>
        </w:r>
      </w:hyperlink>
      <w:r w:rsidR="009824FF" w:rsidRPr="00795698">
        <w:rPr>
          <w:rStyle w:val="Hyperlink"/>
          <w:rFonts w:eastAsiaTheme="majorEastAsia"/>
          <w:color w:val="000000"/>
          <w:u w:val="none"/>
          <w:lang w:val="sq-AL"/>
        </w:rPr>
        <w:t xml:space="preserve">, në rishikim për periudhën </w:t>
      </w:r>
      <w:r w:rsidR="00666444" w:rsidRPr="00795698">
        <w:rPr>
          <w:rStyle w:val="Hyperlink"/>
          <w:rFonts w:eastAsiaTheme="majorEastAsia"/>
          <w:color w:val="000000"/>
          <w:u w:val="none"/>
          <w:lang w:val="sq-AL"/>
        </w:rPr>
        <w:t>2022–</w:t>
      </w:r>
      <w:r w:rsidR="009824FF" w:rsidRPr="00795698">
        <w:rPr>
          <w:rStyle w:val="Hyperlink"/>
          <w:rFonts w:eastAsiaTheme="majorEastAsia"/>
          <w:color w:val="000000"/>
          <w:u w:val="none"/>
          <w:lang w:val="sq-AL"/>
        </w:rPr>
        <w:t>2030</w:t>
      </w:r>
      <w:r w:rsidR="009824FF" w:rsidRPr="00795698">
        <w:rPr>
          <w:rStyle w:val="eop"/>
          <w:color w:val="000000"/>
          <w:szCs w:val="24"/>
          <w:lang w:val="sq-AL"/>
        </w:rPr>
        <w:t>;</w:t>
      </w:r>
    </w:p>
    <w:p w14:paraId="5FEEF521" w14:textId="6A929093" w:rsidR="009824FF" w:rsidRPr="00795698" w:rsidRDefault="00D6236E" w:rsidP="00D6236E">
      <w:pPr>
        <w:pStyle w:val="TEKSTIIIII"/>
        <w:rPr>
          <w:rStyle w:val="Hyperlink"/>
          <w:rFonts w:eastAsiaTheme="majorEastAsia"/>
          <w:color w:val="000000"/>
          <w:u w:val="none"/>
          <w:lang w:val="sq-AL"/>
        </w:rPr>
      </w:pPr>
      <w:r w:rsidRPr="00795698">
        <w:rPr>
          <w:lang w:val="sq-AL"/>
        </w:rPr>
        <w:t xml:space="preserve">- </w:t>
      </w:r>
      <w:hyperlink r:id="rId15" w:history="1">
        <w:r w:rsidR="009824FF" w:rsidRPr="00795698">
          <w:rPr>
            <w:rStyle w:val="Hyperlink"/>
            <w:rFonts w:eastAsiaTheme="majorEastAsia"/>
            <w:color w:val="000000"/>
            <w:u w:val="none"/>
            <w:lang w:val="sq-AL"/>
          </w:rPr>
          <w:t xml:space="preserve">Strategjia Ndërsektoriale për Parandalimin e Ekstremizmit të Dhunshëm dhe Luftën </w:t>
        </w:r>
        <w:r w:rsidR="00666444" w:rsidRPr="00795698">
          <w:rPr>
            <w:rStyle w:val="Hyperlink"/>
            <w:rFonts w:eastAsiaTheme="majorEastAsia"/>
            <w:color w:val="000000"/>
            <w:u w:val="none"/>
            <w:lang w:val="sq-AL"/>
          </w:rPr>
          <w:t>k</w:t>
        </w:r>
        <w:r w:rsidR="009824FF" w:rsidRPr="00795698">
          <w:rPr>
            <w:rStyle w:val="Hyperlink"/>
            <w:rFonts w:eastAsiaTheme="majorEastAsia"/>
            <w:color w:val="000000"/>
            <w:u w:val="none"/>
            <w:lang w:val="sq-AL"/>
          </w:rPr>
          <w:t xml:space="preserve">undër Terrorizmit dhe Plani i Veprimit </w:t>
        </w:r>
        <w:r w:rsidR="00623407" w:rsidRPr="00795698">
          <w:rPr>
            <w:rStyle w:val="Hyperlink"/>
            <w:rFonts w:eastAsiaTheme="majorEastAsia"/>
            <w:color w:val="000000"/>
            <w:u w:val="none"/>
            <w:lang w:val="sq-AL"/>
          </w:rPr>
          <w:t>2016–</w:t>
        </w:r>
        <w:r w:rsidR="009824FF" w:rsidRPr="00795698">
          <w:rPr>
            <w:rStyle w:val="Hyperlink"/>
            <w:rFonts w:eastAsiaTheme="majorEastAsia"/>
            <w:color w:val="000000"/>
            <w:u w:val="none"/>
            <w:lang w:val="sq-AL"/>
          </w:rPr>
          <w:t>2020</w:t>
        </w:r>
      </w:hyperlink>
      <w:r w:rsidR="009824FF" w:rsidRPr="00795698">
        <w:rPr>
          <w:rStyle w:val="Hyperlink"/>
          <w:rFonts w:eastAsiaTheme="majorEastAsia"/>
          <w:color w:val="000000"/>
          <w:u w:val="none"/>
          <w:lang w:val="sq-AL"/>
        </w:rPr>
        <w:t>;</w:t>
      </w:r>
    </w:p>
    <w:p w14:paraId="5FEEF522" w14:textId="77777777" w:rsidR="009824FF" w:rsidRPr="00795698" w:rsidRDefault="00D6236E" w:rsidP="00D6236E">
      <w:pPr>
        <w:pStyle w:val="TEKSTIIIII"/>
        <w:rPr>
          <w:rStyle w:val="eop"/>
          <w:szCs w:val="24"/>
          <w:lang w:val="sq-AL"/>
        </w:rPr>
      </w:pPr>
      <w:r w:rsidRPr="00795698">
        <w:rPr>
          <w:rStyle w:val="normaltextrun"/>
          <w:szCs w:val="24"/>
          <w:lang w:val="sq-AL"/>
        </w:rPr>
        <w:t xml:space="preserve">- </w:t>
      </w:r>
      <w:r w:rsidR="009824FF" w:rsidRPr="00795698">
        <w:rPr>
          <w:rStyle w:val="normaltextrun"/>
          <w:szCs w:val="24"/>
          <w:lang w:val="sq-AL"/>
        </w:rPr>
        <w:t>Prioritetet e Ministrisë së Brendshme;</w:t>
      </w:r>
    </w:p>
    <w:p w14:paraId="5FEEF523" w14:textId="300C005B" w:rsidR="009824FF" w:rsidRPr="00795698" w:rsidRDefault="00D6236E" w:rsidP="00D6236E">
      <w:pPr>
        <w:pStyle w:val="TEKSTIIIII"/>
        <w:rPr>
          <w:rStyle w:val="eop"/>
          <w:szCs w:val="24"/>
          <w:lang w:val="sq-AL"/>
        </w:rPr>
      </w:pPr>
      <w:r w:rsidRPr="00795698">
        <w:rPr>
          <w:rStyle w:val="eop"/>
          <w:szCs w:val="24"/>
          <w:lang w:val="sq-AL"/>
        </w:rPr>
        <w:t xml:space="preserve">- </w:t>
      </w:r>
      <w:r w:rsidR="009824FF" w:rsidRPr="00795698">
        <w:rPr>
          <w:rStyle w:val="eop"/>
          <w:szCs w:val="24"/>
          <w:lang w:val="sq-AL"/>
        </w:rPr>
        <w:t xml:space="preserve">Plani i Përbashkët i Veprimit </w:t>
      </w:r>
      <w:r w:rsidR="00075100" w:rsidRPr="00795698">
        <w:rPr>
          <w:rStyle w:val="eop"/>
          <w:szCs w:val="24"/>
          <w:lang w:val="sq-AL"/>
        </w:rPr>
        <w:t xml:space="preserve">kundër </w:t>
      </w:r>
      <w:r w:rsidR="009824FF" w:rsidRPr="00795698">
        <w:rPr>
          <w:rStyle w:val="eop"/>
          <w:szCs w:val="24"/>
          <w:lang w:val="sq-AL"/>
        </w:rPr>
        <w:t xml:space="preserve">Terrorizmit për Ballkanin Perëndimor ndërmjet Shqipërisë dhe Komisionit Evropian. Rishikuar marrëveshja zbatuese dypalëshe mes Komisionit Evropian dhe autoriteteve shqiptare për implementimin e Planit të Përbashkët të Veprimit </w:t>
      </w:r>
      <w:r w:rsidR="00075100" w:rsidRPr="00795698">
        <w:rPr>
          <w:rStyle w:val="eop"/>
          <w:szCs w:val="24"/>
          <w:lang w:val="sq-AL"/>
        </w:rPr>
        <w:t xml:space="preserve">kundër </w:t>
      </w:r>
      <w:r w:rsidR="009824FF" w:rsidRPr="00795698">
        <w:rPr>
          <w:rStyle w:val="eop"/>
          <w:szCs w:val="24"/>
          <w:lang w:val="sq-AL"/>
        </w:rPr>
        <w:t xml:space="preserve">Terrorizmit për Ballkanin Perëndimor, nënshkruar më 9 dhjetor 2022. </w:t>
      </w:r>
    </w:p>
    <w:p w14:paraId="5FEEF524" w14:textId="77777777" w:rsidR="009824FF" w:rsidRPr="00795698" w:rsidRDefault="009824FF" w:rsidP="009824FF">
      <w:pPr>
        <w:pStyle w:val="Heading3"/>
        <w:spacing w:before="0"/>
        <w:ind w:firstLine="284"/>
        <w:rPr>
          <w:rFonts w:ascii="Garamond" w:hAnsi="Garamond"/>
          <w:color w:val="auto"/>
        </w:rPr>
      </w:pPr>
      <w:bookmarkStart w:id="17" w:name="_Toc108644255"/>
      <w:bookmarkStart w:id="18" w:name="_Hlk57241008"/>
      <w:r w:rsidRPr="00795698">
        <w:rPr>
          <w:rFonts w:ascii="Garamond" w:hAnsi="Garamond"/>
          <w:color w:val="auto"/>
        </w:rPr>
        <w:t>1.1.2 Instrumentet ligjore ndërkombëtare</w:t>
      </w:r>
      <w:bookmarkEnd w:id="17"/>
      <w:r w:rsidRPr="00795698">
        <w:rPr>
          <w:rFonts w:ascii="Garamond" w:hAnsi="Garamond"/>
          <w:color w:val="auto"/>
        </w:rPr>
        <w:t xml:space="preserve"> </w:t>
      </w:r>
      <w:bookmarkEnd w:id="18"/>
    </w:p>
    <w:p w14:paraId="5FEEF525" w14:textId="77777777" w:rsidR="009824FF" w:rsidRPr="00795698" w:rsidRDefault="009824FF" w:rsidP="009824FF">
      <w:pPr>
        <w:pStyle w:val="paragraph"/>
        <w:spacing w:before="0" w:beforeAutospacing="0" w:after="0" w:afterAutospacing="0"/>
        <w:ind w:firstLine="284"/>
        <w:jc w:val="both"/>
        <w:textAlignment w:val="baseline"/>
        <w:rPr>
          <w:rFonts w:ascii="Garamond" w:eastAsia="SimSun" w:hAnsi="Garamond"/>
          <w:spacing w:val="-5"/>
          <w:lang w:val="sq-AL"/>
        </w:rPr>
      </w:pPr>
      <w:r w:rsidRPr="00795698">
        <w:rPr>
          <w:rFonts w:ascii="Garamond" w:eastAsia="SimSun" w:hAnsi="Garamond"/>
          <w:spacing w:val="-5"/>
          <w:lang w:val="sq-AL"/>
        </w:rPr>
        <w:t>Ky dokument strategjik i referohet dhe marrëveshjeve ndërkombëtare, ku Republika e Shqipërisë është palë dhe në veçanti në marrëveshjet e mëposhtme:</w:t>
      </w:r>
    </w:p>
    <w:p w14:paraId="5FEEF526" w14:textId="77777777" w:rsidR="009824FF" w:rsidRPr="00795698" w:rsidRDefault="00C75B81" w:rsidP="00C75B81">
      <w:pPr>
        <w:pStyle w:val="TEKSTIIIII"/>
        <w:rPr>
          <w:rFonts w:eastAsia="SimSun"/>
          <w:lang w:val="sq-AL"/>
        </w:rPr>
      </w:pPr>
      <w:r w:rsidRPr="00795698">
        <w:rPr>
          <w:rFonts w:eastAsia="SimSun"/>
          <w:lang w:val="sq-AL"/>
        </w:rPr>
        <w:t xml:space="preserve">1. </w:t>
      </w:r>
      <w:r w:rsidR="009824FF" w:rsidRPr="00795698">
        <w:rPr>
          <w:rFonts w:eastAsia="SimSun"/>
          <w:lang w:val="sq-AL"/>
        </w:rPr>
        <w:t xml:space="preserve">Plani i Përbashkët i Veprimit kundër terrorizmit për Ballkanin Perëndimor ndërmjet Shqipërisë dhe Komisionit Evropian; </w:t>
      </w:r>
    </w:p>
    <w:p w14:paraId="5FEEF527" w14:textId="175F5EE0" w:rsidR="009824FF" w:rsidRPr="00795698" w:rsidRDefault="00C75B81" w:rsidP="00C75B81">
      <w:pPr>
        <w:pStyle w:val="TEKSTIIIII"/>
        <w:rPr>
          <w:rFonts w:eastAsia="SimSun"/>
          <w:lang w:val="sq-AL"/>
        </w:rPr>
      </w:pPr>
      <w:r w:rsidRPr="00795698">
        <w:rPr>
          <w:rFonts w:eastAsia="SimSun"/>
          <w:lang w:val="sq-AL"/>
        </w:rPr>
        <w:t xml:space="preserve">2. </w:t>
      </w:r>
      <w:r w:rsidR="009824FF" w:rsidRPr="00795698">
        <w:rPr>
          <w:rFonts w:eastAsia="SimSun"/>
          <w:lang w:val="sq-AL"/>
        </w:rPr>
        <w:t>Marrëveshje me EUROPOL, INTERPOL;</w:t>
      </w:r>
      <w:r w:rsidR="007C064A" w:rsidRPr="00795698">
        <w:rPr>
          <w:rFonts w:eastAsia="SimSun"/>
          <w:lang w:val="sq-AL"/>
        </w:rPr>
        <w:t xml:space="preserve"> </w:t>
      </w:r>
    </w:p>
    <w:p w14:paraId="5FEEF528" w14:textId="77777777" w:rsidR="009824FF" w:rsidRPr="00795698" w:rsidRDefault="00C75B81" w:rsidP="00C75B81">
      <w:pPr>
        <w:pStyle w:val="TEKSTIIIII"/>
        <w:rPr>
          <w:rFonts w:eastAsia="SimSun"/>
          <w:lang w:val="sq-AL"/>
        </w:rPr>
      </w:pPr>
      <w:r w:rsidRPr="00795698">
        <w:rPr>
          <w:rFonts w:eastAsia="SimSun"/>
          <w:lang w:val="sq-AL"/>
        </w:rPr>
        <w:t xml:space="preserve">3. </w:t>
      </w:r>
      <w:r w:rsidR="009824FF" w:rsidRPr="00795698">
        <w:rPr>
          <w:rFonts w:eastAsia="SimSun"/>
          <w:lang w:val="sq-AL"/>
        </w:rPr>
        <w:t xml:space="preserve">Konventa kundër krimit të organizuar trans-nacional; </w:t>
      </w:r>
    </w:p>
    <w:p w14:paraId="5FEEF529" w14:textId="59077D56" w:rsidR="009824FF" w:rsidRPr="00795698" w:rsidRDefault="00C75B81" w:rsidP="00C75B81">
      <w:pPr>
        <w:pStyle w:val="TEKSTIIIII"/>
        <w:rPr>
          <w:rFonts w:eastAsia="SimSun"/>
          <w:lang w:val="sq-AL"/>
        </w:rPr>
      </w:pPr>
      <w:r w:rsidRPr="00795698">
        <w:rPr>
          <w:rFonts w:eastAsia="SimSun"/>
          <w:lang w:val="sq-AL"/>
        </w:rPr>
        <w:t xml:space="preserve">4. </w:t>
      </w:r>
      <w:r w:rsidR="009824FF" w:rsidRPr="00795698">
        <w:rPr>
          <w:rFonts w:eastAsia="SimSun"/>
          <w:lang w:val="sq-AL"/>
        </w:rPr>
        <w:t xml:space="preserve">Prioritetet e Shqipërisë në Këshillin e Sigurimit </w:t>
      </w:r>
      <w:r w:rsidR="00666444" w:rsidRPr="00795698">
        <w:rPr>
          <w:rFonts w:eastAsia="SimSun"/>
          <w:lang w:val="sq-AL"/>
        </w:rPr>
        <w:t>2022–</w:t>
      </w:r>
      <w:r w:rsidR="009824FF" w:rsidRPr="00795698">
        <w:rPr>
          <w:rFonts w:eastAsia="SimSun"/>
          <w:lang w:val="sq-AL"/>
        </w:rPr>
        <w:t>2023</w:t>
      </w:r>
    </w:p>
    <w:p w14:paraId="5FEEF52A" w14:textId="77777777" w:rsidR="009824FF" w:rsidRPr="00795698" w:rsidRDefault="00C75B81" w:rsidP="00C75B81">
      <w:pPr>
        <w:pStyle w:val="TEKSTIIIII"/>
        <w:rPr>
          <w:rFonts w:eastAsia="SimSun"/>
          <w:lang w:val="sq-AL"/>
        </w:rPr>
      </w:pPr>
      <w:r w:rsidRPr="00795698">
        <w:rPr>
          <w:rFonts w:eastAsia="SimSun"/>
          <w:lang w:val="sq-AL"/>
        </w:rPr>
        <w:t xml:space="preserve">5. </w:t>
      </w:r>
      <w:r w:rsidR="009824FF" w:rsidRPr="00795698">
        <w:rPr>
          <w:rFonts w:eastAsia="SimSun"/>
          <w:lang w:val="sq-AL"/>
        </w:rPr>
        <w:t>Strategjia Globale e Kombeve të Bashkuara, Konventat dhe protokollet e Kombeve të Bashkuara kundër terrorizmit;</w:t>
      </w:r>
    </w:p>
    <w:p w14:paraId="5FEEF52B" w14:textId="77777777" w:rsidR="009824FF" w:rsidRPr="00795698" w:rsidRDefault="00C75B81" w:rsidP="00C75B81">
      <w:pPr>
        <w:pStyle w:val="TEKSTIIIII"/>
        <w:rPr>
          <w:rFonts w:eastAsia="SimSun"/>
          <w:lang w:val="sq-AL"/>
        </w:rPr>
      </w:pPr>
      <w:r w:rsidRPr="00795698">
        <w:rPr>
          <w:rFonts w:eastAsia="SimSun"/>
          <w:lang w:val="sq-AL"/>
        </w:rPr>
        <w:t xml:space="preserve">6. </w:t>
      </w:r>
      <w:r w:rsidR="009824FF" w:rsidRPr="00795698">
        <w:rPr>
          <w:rFonts w:eastAsia="SimSun"/>
          <w:lang w:val="sq-AL"/>
        </w:rPr>
        <w:t>Konventa e Këshillit të Evropës për parandalimin e Terrorizmit.</w:t>
      </w:r>
    </w:p>
    <w:p w14:paraId="5FEEF52C" w14:textId="77777777" w:rsidR="009824FF" w:rsidRPr="00795698" w:rsidRDefault="00C75B81" w:rsidP="00C75B81">
      <w:pPr>
        <w:pStyle w:val="TEKSTIIIII"/>
        <w:rPr>
          <w:rFonts w:eastAsia="SimSun"/>
          <w:lang w:val="sq-AL"/>
        </w:rPr>
      </w:pPr>
      <w:r w:rsidRPr="00795698">
        <w:rPr>
          <w:rFonts w:eastAsia="SimSun"/>
          <w:lang w:val="sq-AL"/>
        </w:rPr>
        <w:t xml:space="preserve">7. </w:t>
      </w:r>
      <w:r w:rsidR="009824FF" w:rsidRPr="00795698">
        <w:rPr>
          <w:rFonts w:eastAsia="SimSun"/>
          <w:lang w:val="sq-AL"/>
        </w:rPr>
        <w:t>Protokolli i bashkëpunimit me Maqedoninë e Veriut (2019) dhe Plani i Përbashkët i Veprimit në Luftën kundër Terrorizmit.</w:t>
      </w:r>
    </w:p>
    <w:p w14:paraId="5FEEF52D" w14:textId="77777777" w:rsidR="009824FF" w:rsidRPr="00795698" w:rsidRDefault="009824FF" w:rsidP="009824FF">
      <w:pPr>
        <w:pStyle w:val="Heading3"/>
        <w:spacing w:before="0"/>
        <w:ind w:firstLine="284"/>
        <w:rPr>
          <w:rFonts w:ascii="Garamond" w:hAnsi="Garamond"/>
          <w:color w:val="auto"/>
        </w:rPr>
      </w:pPr>
      <w:bookmarkStart w:id="19" w:name="_Toc108644256"/>
      <w:r w:rsidRPr="00795698">
        <w:rPr>
          <w:rFonts w:ascii="Garamond" w:hAnsi="Garamond"/>
          <w:color w:val="auto"/>
        </w:rPr>
        <w:t xml:space="preserve">1.1.2.1 </w:t>
      </w:r>
      <w:bookmarkStart w:id="20" w:name="_Hlk57241069"/>
      <w:r w:rsidRPr="00795698">
        <w:rPr>
          <w:rFonts w:ascii="Garamond" w:hAnsi="Garamond"/>
          <w:color w:val="auto"/>
        </w:rPr>
        <w:t>Konventat dhe protokollet ndërkombëtare</w:t>
      </w:r>
      <w:bookmarkEnd w:id="19"/>
    </w:p>
    <w:bookmarkEnd w:id="20"/>
    <w:p w14:paraId="5FEEF52E" w14:textId="429DF8D3" w:rsidR="009824FF" w:rsidRPr="00795698" w:rsidRDefault="009824FF" w:rsidP="009824FF">
      <w:pPr>
        <w:pStyle w:val="NoSpacing"/>
        <w:shd w:val="clear" w:color="auto" w:fill="FFFFFF"/>
        <w:ind w:firstLine="284"/>
        <w:jc w:val="both"/>
        <w:rPr>
          <w:rFonts w:ascii="Garamond" w:hAnsi="Garamond"/>
          <w:lang w:val="sq-AL"/>
        </w:rPr>
      </w:pPr>
      <w:r w:rsidRPr="00795698">
        <w:rPr>
          <w:rFonts w:ascii="Garamond" w:hAnsi="Garamond"/>
          <w:lang w:val="sq-AL"/>
        </w:rPr>
        <w:t>Republika e Shqipërisë në kuadër të bashkëpunimit</w:t>
      </w:r>
      <w:r w:rsidR="007C064A" w:rsidRPr="00795698">
        <w:rPr>
          <w:rFonts w:ascii="Garamond" w:hAnsi="Garamond"/>
          <w:lang w:val="sq-AL"/>
        </w:rPr>
        <w:t xml:space="preserve"> </w:t>
      </w:r>
      <w:r w:rsidRPr="00795698">
        <w:rPr>
          <w:rFonts w:ascii="Garamond" w:hAnsi="Garamond"/>
          <w:lang w:val="sq-AL"/>
        </w:rPr>
        <w:t>në</w:t>
      </w:r>
      <w:r w:rsidR="007C064A" w:rsidRPr="00795698">
        <w:rPr>
          <w:rFonts w:ascii="Garamond" w:hAnsi="Garamond"/>
          <w:lang w:val="sq-AL"/>
        </w:rPr>
        <w:t xml:space="preserve"> </w:t>
      </w:r>
      <w:r w:rsidRPr="00795698">
        <w:rPr>
          <w:rFonts w:ascii="Garamond" w:hAnsi="Garamond"/>
          <w:lang w:val="sq-AL"/>
        </w:rPr>
        <w:t>luftën</w:t>
      </w:r>
      <w:r w:rsidR="007C064A" w:rsidRPr="00795698">
        <w:rPr>
          <w:rFonts w:ascii="Garamond" w:hAnsi="Garamond"/>
          <w:lang w:val="sq-AL"/>
        </w:rPr>
        <w:t xml:space="preserve"> </w:t>
      </w:r>
      <w:r w:rsidRPr="00795698">
        <w:rPr>
          <w:rFonts w:ascii="Garamond" w:hAnsi="Garamond"/>
          <w:lang w:val="sq-AL"/>
        </w:rPr>
        <w:t>kundër terrorizmit ka nënshkruar dhe ratifikuar konventat dhe protokollet ndërkombëtare që përbëjnë instrumentet e së drejtës ndërkombëtare në fushën e luftës kundër terrorizmit. Shqipëria u është bashkuar iniciativave të OKB-së për të luftuar terrorizmin dhe ka ratifikuar tashmë 12 prej tyre. Krahas tyre ekzistojnë edhe një sërë rezolutash të Këshillit të Sigurimit të OKB-së më vlerë detyruese për shtetet anëtare, si edhe konventa dhe protokolle të ashtuquajtura rajonale. Në këtë kuadër, Shqipëria aderon në të gjitha konventat dhe protokollet e Këshillit të Evropës kundër krimit të organizuar dhe terrorizmit (aktualisht 16 të tilla) dhe konkretisht:</w:t>
      </w:r>
    </w:p>
    <w:p w14:paraId="5FEEF52F" w14:textId="40979C76"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mbi Veprat Penale dhe Aktet e tjera të Kryera</w:t>
      </w:r>
      <w:r w:rsidR="00666444" w:rsidRPr="00795698">
        <w:rPr>
          <w:rFonts w:ascii="Garamond" w:hAnsi="Garamond"/>
          <w:lang w:val="sq-AL"/>
        </w:rPr>
        <w:t xml:space="preserve"> në Bordin Avionit”, Tokio, 14.</w:t>
      </w:r>
      <w:r w:rsidRPr="00795698">
        <w:rPr>
          <w:rFonts w:ascii="Garamond" w:hAnsi="Garamond"/>
          <w:lang w:val="sq-AL"/>
        </w:rPr>
        <w:t>9.1963, ratif</w:t>
      </w:r>
      <w:r w:rsidR="00666444" w:rsidRPr="00795698">
        <w:rPr>
          <w:rFonts w:ascii="Garamond" w:hAnsi="Garamond"/>
          <w:lang w:val="sq-AL"/>
        </w:rPr>
        <w:t xml:space="preserve">ikuar me ligjin nr. 8197, datë </w:t>
      </w:r>
      <w:r w:rsidRPr="00795698">
        <w:rPr>
          <w:rFonts w:ascii="Garamond" w:hAnsi="Garamond"/>
          <w:lang w:val="sq-AL"/>
        </w:rPr>
        <w:t>6.3.1999, Fletore Zyrtare nr. 3, datë 28.3.1997, faqe 52.</w:t>
      </w:r>
    </w:p>
    <w:p w14:paraId="5FEEF530" w14:textId="4605EAC8"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mbi Shtypjen e Akteve të Paligjshme të Rrëmbimit të Avionit”, Hagë, 16.12.1970, ratif</w:t>
      </w:r>
      <w:r w:rsidR="00666444" w:rsidRPr="00795698">
        <w:rPr>
          <w:rFonts w:ascii="Garamond" w:hAnsi="Garamond"/>
          <w:lang w:val="sq-AL"/>
        </w:rPr>
        <w:t>ikuar me ligjin nr. 8197, datë 6.</w:t>
      </w:r>
      <w:r w:rsidRPr="00795698">
        <w:rPr>
          <w:rFonts w:ascii="Garamond" w:hAnsi="Garamond"/>
          <w:lang w:val="sq-AL"/>
        </w:rPr>
        <w:t xml:space="preserve">3.1997. </w:t>
      </w:r>
      <w:r w:rsidR="00666444" w:rsidRPr="00795698">
        <w:rPr>
          <w:rFonts w:ascii="Garamond" w:hAnsi="Garamond"/>
          <w:lang w:val="sq-AL"/>
        </w:rPr>
        <w:t>Fletore Zyrtare nr. 3, datë 28.</w:t>
      </w:r>
      <w:r w:rsidRPr="00795698">
        <w:rPr>
          <w:rFonts w:ascii="Garamond" w:hAnsi="Garamond"/>
          <w:lang w:val="sq-AL"/>
        </w:rPr>
        <w:t>3.1997, faqe 52.</w:t>
      </w:r>
    </w:p>
    <w:p w14:paraId="5FEEF531" w14:textId="6148F130"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mbi Shtypjen e Akteve të Paligjshme kundër Sigurisë së Aviaci</w:t>
      </w:r>
      <w:r w:rsidR="00666444" w:rsidRPr="00795698">
        <w:rPr>
          <w:rFonts w:ascii="Garamond" w:hAnsi="Garamond"/>
          <w:lang w:val="sq-AL"/>
        </w:rPr>
        <w:t>onit Civil”, Montreal, datë 23.</w:t>
      </w:r>
      <w:r w:rsidRPr="00795698">
        <w:rPr>
          <w:rFonts w:ascii="Garamond" w:hAnsi="Garamond"/>
          <w:lang w:val="sq-AL"/>
        </w:rPr>
        <w:t>9.1971, ratifiku</w:t>
      </w:r>
      <w:r w:rsidR="00666444" w:rsidRPr="00795698">
        <w:rPr>
          <w:rFonts w:ascii="Garamond" w:hAnsi="Garamond"/>
          <w:lang w:val="sq-AL"/>
        </w:rPr>
        <w:t>ar me ligjin nr. 8191, datë 6.</w:t>
      </w:r>
      <w:r w:rsidRPr="00795698">
        <w:rPr>
          <w:rFonts w:ascii="Garamond" w:hAnsi="Garamond"/>
          <w:lang w:val="sq-AL"/>
        </w:rPr>
        <w:t xml:space="preserve">3.1997. </w:t>
      </w:r>
      <w:r w:rsidR="00666444" w:rsidRPr="00795698">
        <w:rPr>
          <w:rFonts w:ascii="Garamond" w:hAnsi="Garamond"/>
          <w:lang w:val="sq-AL"/>
        </w:rPr>
        <w:t>Fletore Zyrtare nr. 3, datë 28.</w:t>
      </w:r>
      <w:r w:rsidRPr="00795698">
        <w:rPr>
          <w:rFonts w:ascii="Garamond" w:hAnsi="Garamond"/>
          <w:lang w:val="sq-AL"/>
        </w:rPr>
        <w:t>3.997, faqe 52.</w:t>
      </w:r>
    </w:p>
    <w:p w14:paraId="5FEEF532" w14:textId="037A39E6"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lastRenderedPageBreak/>
        <w:t>“Konventa mbi Parandalimin dhe Ndëshkimin e Krimeve kundër Personave me Imunitet Ndërkombëtar, përfshirë Agjentët Diplomatikë”, Nju</w:t>
      </w:r>
      <w:r w:rsidR="00666444" w:rsidRPr="00795698">
        <w:rPr>
          <w:rFonts w:ascii="Garamond" w:hAnsi="Garamond"/>
          <w:lang w:val="sq-AL"/>
        </w:rPr>
        <w:t>-</w:t>
      </w:r>
      <w:r w:rsidRPr="00795698">
        <w:rPr>
          <w:rFonts w:ascii="Garamond" w:hAnsi="Garamond"/>
          <w:lang w:val="sq-AL"/>
        </w:rPr>
        <w:t>Jork, 14.12.1973, ratifikuar me ligjin nr. 8832, datë 22.11.2001. Fletore Zyrtare nr. 56, datë 21.12.2001, faqe 1762.</w:t>
      </w:r>
    </w:p>
    <w:p w14:paraId="5FEEF533" w14:textId="2D46DB60"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Evropiane mbi Shtypjen</w:t>
      </w:r>
      <w:r w:rsidR="00666444" w:rsidRPr="00795698">
        <w:rPr>
          <w:rFonts w:ascii="Garamond" w:hAnsi="Garamond"/>
          <w:lang w:val="sq-AL"/>
        </w:rPr>
        <w:t xml:space="preserve"> e Terrorizmit”, Strasburg, 27.</w:t>
      </w:r>
      <w:r w:rsidRPr="00795698">
        <w:rPr>
          <w:rFonts w:ascii="Garamond" w:hAnsi="Garamond"/>
          <w:lang w:val="sq-AL"/>
        </w:rPr>
        <w:t>1.1979 ratifikuar me ligjin nr. 8642, datë 13.7.2000. F</w:t>
      </w:r>
      <w:r w:rsidR="00666444" w:rsidRPr="00795698">
        <w:rPr>
          <w:rFonts w:ascii="Garamond" w:hAnsi="Garamond"/>
          <w:lang w:val="sq-AL"/>
        </w:rPr>
        <w:t>letore Zyrtare nr. 22, datë 19.</w:t>
      </w:r>
      <w:r w:rsidRPr="00795698">
        <w:rPr>
          <w:rFonts w:ascii="Garamond" w:hAnsi="Garamond"/>
          <w:lang w:val="sq-AL"/>
        </w:rPr>
        <w:t>7.2000, faqe 1087.</w:t>
      </w:r>
    </w:p>
    <w:p w14:paraId="5FEEF534" w14:textId="73A5E322"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 xml:space="preserve">“Konventa ndërkombëtare </w:t>
      </w:r>
      <w:r w:rsidR="00075100" w:rsidRPr="00795698">
        <w:rPr>
          <w:rFonts w:ascii="Garamond" w:hAnsi="Garamond"/>
          <w:lang w:val="sq-AL"/>
        </w:rPr>
        <w:t>k</w:t>
      </w:r>
      <w:r w:rsidRPr="00795698">
        <w:rPr>
          <w:rFonts w:ascii="Garamond" w:hAnsi="Garamond"/>
          <w:lang w:val="sq-AL"/>
        </w:rPr>
        <w:t>undër Marrjes së Pengjeve”, Nju</w:t>
      </w:r>
      <w:r w:rsidR="00666444" w:rsidRPr="00795698">
        <w:rPr>
          <w:rFonts w:ascii="Garamond" w:hAnsi="Garamond"/>
          <w:lang w:val="sq-AL"/>
        </w:rPr>
        <w:t>-</w:t>
      </w:r>
      <w:r w:rsidRPr="00795698">
        <w:rPr>
          <w:rFonts w:ascii="Garamond" w:hAnsi="Garamond"/>
          <w:lang w:val="sq-AL"/>
        </w:rPr>
        <w:t>Jork 17.12.1979, ratifikuar me ligjin nr. 8837, datë 22.11.200</w:t>
      </w:r>
      <w:r w:rsidR="00666444" w:rsidRPr="00795698">
        <w:rPr>
          <w:rFonts w:ascii="Garamond" w:hAnsi="Garamond"/>
          <w:lang w:val="sq-AL"/>
        </w:rPr>
        <w:t>1. Fletore Zyrtare 22, datë 19.</w:t>
      </w:r>
      <w:r w:rsidRPr="00795698">
        <w:rPr>
          <w:rFonts w:ascii="Garamond" w:hAnsi="Garamond"/>
          <w:lang w:val="sq-AL"/>
        </w:rPr>
        <w:t>7.2000, faqe 1087.</w:t>
      </w:r>
    </w:p>
    <w:p w14:paraId="5FEEF535" w14:textId="7DED22DF"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mbi Mbrojtjen Fizike të Materi</w:t>
      </w:r>
      <w:r w:rsidR="00797976" w:rsidRPr="00795698">
        <w:rPr>
          <w:rFonts w:ascii="Garamond" w:hAnsi="Garamond"/>
          <w:lang w:val="sq-AL"/>
        </w:rPr>
        <w:t>alit Bërthamor”, Vjenë më datë 3.</w:t>
      </w:r>
      <w:r w:rsidRPr="00795698">
        <w:rPr>
          <w:rFonts w:ascii="Garamond" w:hAnsi="Garamond"/>
          <w:lang w:val="sq-AL"/>
        </w:rPr>
        <w:t>3.1980, ratifiku</w:t>
      </w:r>
      <w:r w:rsidR="00666444" w:rsidRPr="00795698">
        <w:rPr>
          <w:rFonts w:ascii="Garamond" w:hAnsi="Garamond"/>
          <w:lang w:val="sq-AL"/>
        </w:rPr>
        <w:t>ar me ligjin nr. 8853, datë 31.</w:t>
      </w:r>
      <w:r w:rsidRPr="00795698">
        <w:rPr>
          <w:rFonts w:ascii="Garamond" w:hAnsi="Garamond"/>
          <w:lang w:val="sq-AL"/>
        </w:rPr>
        <w:t>1.</w:t>
      </w:r>
      <w:r w:rsidR="00666444" w:rsidRPr="00795698">
        <w:rPr>
          <w:rFonts w:ascii="Garamond" w:hAnsi="Garamond"/>
          <w:lang w:val="sq-AL"/>
        </w:rPr>
        <w:t>2002. Fletore Zyrtare 12, datë 8.</w:t>
      </w:r>
      <w:r w:rsidRPr="00795698">
        <w:rPr>
          <w:rFonts w:ascii="Garamond" w:hAnsi="Garamond"/>
          <w:lang w:val="sq-AL"/>
        </w:rPr>
        <w:t>2.2002, faqe 19.</w:t>
      </w:r>
    </w:p>
    <w:p w14:paraId="5FEEF536" w14:textId="43D02443"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 xml:space="preserve">“Protokolli </w:t>
      </w:r>
      <w:r w:rsidR="00075100" w:rsidRPr="00795698">
        <w:rPr>
          <w:rFonts w:ascii="Garamond" w:hAnsi="Garamond"/>
          <w:lang w:val="sq-AL"/>
        </w:rPr>
        <w:t>m</w:t>
      </w:r>
      <w:r w:rsidRPr="00795698">
        <w:rPr>
          <w:rFonts w:ascii="Garamond" w:hAnsi="Garamond"/>
          <w:lang w:val="sq-AL"/>
        </w:rPr>
        <w:t>bi Shtypjen e Akteve të Paligjshme të Dhunës në Aeroport që i shërbejnë Aviacionit Civ</w:t>
      </w:r>
      <w:r w:rsidR="00666444" w:rsidRPr="00795698">
        <w:rPr>
          <w:rFonts w:ascii="Garamond" w:hAnsi="Garamond"/>
          <w:lang w:val="sq-AL"/>
        </w:rPr>
        <w:t>il Ndërkombëtar”, Montreal, 24.</w:t>
      </w:r>
      <w:r w:rsidRPr="00795698">
        <w:rPr>
          <w:rFonts w:ascii="Garamond" w:hAnsi="Garamond"/>
          <w:lang w:val="sq-AL"/>
        </w:rPr>
        <w:t>2.1991 ratifikuar me ligjin nr. 8835, datë 22.11.2001. Fletore Zyrtare nr. 56, datë 21.12.2001, faqe 1785.</w:t>
      </w:r>
    </w:p>
    <w:p w14:paraId="5FEEF537" w14:textId="4304A6BE"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mbi Shtypjen e Akteve të Paligjshme kundër Sigurisë</w:t>
      </w:r>
      <w:r w:rsidR="00BF041F" w:rsidRPr="00795698">
        <w:rPr>
          <w:rFonts w:ascii="Garamond" w:hAnsi="Garamond"/>
          <w:lang w:val="sq-AL"/>
        </w:rPr>
        <w:t xml:space="preserve"> së Lundrimit Detar”, Romë, 10.</w:t>
      </w:r>
      <w:r w:rsidRPr="00795698">
        <w:rPr>
          <w:rFonts w:ascii="Garamond" w:hAnsi="Garamond"/>
          <w:lang w:val="sq-AL"/>
        </w:rPr>
        <w:t>3.1998, ratifikuar me ligjin nr. 8850, datë 27.12.2001. Fletore Zyrtare nr. 60, datë 31.12.2001, faqe 1886.</w:t>
      </w:r>
    </w:p>
    <w:p w14:paraId="5FEEF538" w14:textId="1CAD4572"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“Protokolli mbi Shtypjen e Akteve të Paligjshme kundër Sigurisë së Platformave Fikse, të Vendosura në Pla</w:t>
      </w:r>
      <w:r w:rsidR="00666444" w:rsidRPr="00795698">
        <w:rPr>
          <w:rFonts w:ascii="Garamond" w:hAnsi="Garamond"/>
          <w:lang w:val="sq-AL"/>
        </w:rPr>
        <w:t>tformën Kontinental”, Romë, 10.</w:t>
      </w:r>
      <w:r w:rsidRPr="00795698">
        <w:rPr>
          <w:rFonts w:ascii="Garamond" w:hAnsi="Garamond"/>
          <w:lang w:val="sq-AL"/>
        </w:rPr>
        <w:t>3.1988, ratifikuar me ligjin nr. 8850, datë 27.12.2001. Fletore Zyrtare nr. 60, datë 31.12.2001, faqe 1886.</w:t>
      </w:r>
    </w:p>
    <w:p w14:paraId="5FEEF539" w14:textId="57405E41"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mbi Etiketimin e Eksploziv</w:t>
      </w:r>
      <w:r w:rsidR="00666444" w:rsidRPr="00795698">
        <w:rPr>
          <w:rFonts w:ascii="Garamond" w:hAnsi="Garamond"/>
          <w:lang w:val="sq-AL"/>
        </w:rPr>
        <w:t>ë</w:t>
      </w:r>
      <w:r w:rsidRPr="00795698">
        <w:rPr>
          <w:rFonts w:ascii="Garamond" w:hAnsi="Garamond"/>
          <w:lang w:val="sq-AL"/>
        </w:rPr>
        <w:t>ve Plastik</w:t>
      </w:r>
      <w:r w:rsidR="00666444" w:rsidRPr="00795698">
        <w:rPr>
          <w:rFonts w:ascii="Garamond" w:hAnsi="Garamond"/>
          <w:lang w:val="sq-AL"/>
        </w:rPr>
        <w:t>ë</w:t>
      </w:r>
      <w:r w:rsidRPr="00795698">
        <w:rPr>
          <w:rFonts w:ascii="Garamond" w:hAnsi="Garamond"/>
          <w:lang w:val="sq-AL"/>
        </w:rPr>
        <w:t xml:space="preserve"> për</w:t>
      </w:r>
      <w:r w:rsidR="00666444" w:rsidRPr="00795698">
        <w:rPr>
          <w:rFonts w:ascii="Garamond" w:hAnsi="Garamond"/>
          <w:lang w:val="sq-AL"/>
        </w:rPr>
        <w:t xml:space="preserve"> Qëllim Zbulimi”, Montreal, 1.</w:t>
      </w:r>
      <w:r w:rsidRPr="00795698">
        <w:rPr>
          <w:rFonts w:ascii="Garamond" w:hAnsi="Garamond"/>
          <w:lang w:val="sq-AL"/>
        </w:rPr>
        <w:t>3.1991, ratif</w:t>
      </w:r>
      <w:r w:rsidR="00666444" w:rsidRPr="00795698">
        <w:rPr>
          <w:rFonts w:ascii="Garamond" w:hAnsi="Garamond"/>
          <w:lang w:val="sq-AL"/>
        </w:rPr>
        <w:t xml:space="preserve">ikuar me ligjin nr. 9020, datë </w:t>
      </w:r>
      <w:r w:rsidRPr="00795698">
        <w:rPr>
          <w:rFonts w:ascii="Garamond" w:hAnsi="Garamond"/>
          <w:lang w:val="sq-AL"/>
        </w:rPr>
        <w:t>6.3.2003. F</w:t>
      </w:r>
      <w:r w:rsidR="000C2409" w:rsidRPr="00795698">
        <w:rPr>
          <w:rFonts w:ascii="Garamond" w:hAnsi="Garamond"/>
          <w:lang w:val="sq-AL"/>
        </w:rPr>
        <w:t>letore Zyrtare nr. 21, datë 28.</w:t>
      </w:r>
      <w:r w:rsidRPr="00795698">
        <w:rPr>
          <w:rFonts w:ascii="Garamond" w:hAnsi="Garamond"/>
          <w:lang w:val="sq-AL"/>
        </w:rPr>
        <w:t>3.2003, faqe 649.</w:t>
      </w:r>
    </w:p>
    <w:p w14:paraId="5FEEF53A" w14:textId="7C6B15F1"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 xml:space="preserve">“Konventa Ndërkombëtare mbi Ndalimin e Bombardimeve Terroriste”, </w:t>
      </w:r>
      <w:r w:rsidR="00F03E63" w:rsidRPr="00795698">
        <w:rPr>
          <w:rFonts w:ascii="Garamond" w:hAnsi="Garamond"/>
          <w:lang w:val="sq-AL"/>
        </w:rPr>
        <w:t>Nju-Jork</w:t>
      </w:r>
      <w:r w:rsidRPr="00795698">
        <w:rPr>
          <w:rFonts w:ascii="Garamond" w:hAnsi="Garamond"/>
          <w:lang w:val="sq-AL"/>
        </w:rPr>
        <w:t>, 15.12.1997, ratifikuar me ligjin nr. 8836, datë 22.11.2001. Fletore Zyrtare nr. 57, datë 21.12.2001, faqe 1801.</w:t>
      </w:r>
    </w:p>
    <w:p w14:paraId="5FEEF53B" w14:textId="76117848"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 xml:space="preserve">“Konventa ndërkombëtare për luftën kundër financimit të terrorizmit” </w:t>
      </w:r>
      <w:r w:rsidR="00F03E63" w:rsidRPr="00795698">
        <w:rPr>
          <w:rFonts w:ascii="Garamond" w:hAnsi="Garamond"/>
          <w:lang w:val="sq-AL"/>
        </w:rPr>
        <w:t>Nju-Jork</w:t>
      </w:r>
      <w:r w:rsidR="00075100" w:rsidRPr="00795698">
        <w:rPr>
          <w:rFonts w:ascii="Garamond" w:hAnsi="Garamond"/>
          <w:lang w:val="sq-AL"/>
        </w:rPr>
        <w:t>, 10.</w:t>
      </w:r>
      <w:r w:rsidRPr="00795698">
        <w:rPr>
          <w:rFonts w:ascii="Garamond" w:hAnsi="Garamond"/>
          <w:lang w:val="sq-AL"/>
        </w:rPr>
        <w:t>1.2000, ratifikuar nga parlamenti Shqipt</w:t>
      </w:r>
      <w:r w:rsidR="000C2409" w:rsidRPr="00795698">
        <w:rPr>
          <w:rFonts w:ascii="Garamond" w:hAnsi="Garamond"/>
          <w:lang w:val="sq-AL"/>
        </w:rPr>
        <w:t>ar me ligjin nr. 8865, datë 14.</w:t>
      </w:r>
      <w:r w:rsidRPr="00795698">
        <w:rPr>
          <w:rFonts w:ascii="Garamond" w:hAnsi="Garamond"/>
          <w:lang w:val="sq-AL"/>
        </w:rPr>
        <w:t>3.2002</w:t>
      </w:r>
      <w:r w:rsidR="00075100" w:rsidRPr="00795698">
        <w:rPr>
          <w:rFonts w:ascii="Garamond" w:hAnsi="Garamond"/>
          <w:lang w:val="sq-AL"/>
        </w:rPr>
        <w:t>. Fletore Zyrtare, nr. 7, datë 5.</w:t>
      </w:r>
      <w:r w:rsidRPr="00795698">
        <w:rPr>
          <w:rFonts w:ascii="Garamond" w:hAnsi="Garamond"/>
          <w:lang w:val="sq-AL"/>
        </w:rPr>
        <w:t>4.2002, faqe 170.</w:t>
      </w:r>
    </w:p>
    <w:p w14:paraId="5FEEF53C" w14:textId="7D5CCB19"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E</w:t>
      </w:r>
      <w:r w:rsidR="00F03E63" w:rsidRPr="00795698">
        <w:rPr>
          <w:rFonts w:ascii="Garamond" w:hAnsi="Garamond"/>
          <w:lang w:val="sq-AL"/>
        </w:rPr>
        <w:t>v</w:t>
      </w:r>
      <w:r w:rsidRPr="00795698">
        <w:rPr>
          <w:rFonts w:ascii="Garamond" w:hAnsi="Garamond"/>
          <w:lang w:val="sq-AL"/>
        </w:rPr>
        <w:t>ropiane (Strasburgut), për pastrimin, depistimin, kapjen dhe konfiskimin e produkteve të krimit”, ratifikuar me ligjin nr. 8646, datë 20.7.2000. fl</w:t>
      </w:r>
      <w:r w:rsidR="00F03E63" w:rsidRPr="00795698">
        <w:rPr>
          <w:rFonts w:ascii="Garamond" w:hAnsi="Garamond"/>
          <w:lang w:val="sq-AL"/>
        </w:rPr>
        <w:t>etore Zyrtare, nr. 23, datë 4.</w:t>
      </w:r>
      <w:r w:rsidRPr="00795698">
        <w:rPr>
          <w:rFonts w:ascii="Garamond" w:hAnsi="Garamond"/>
          <w:lang w:val="sq-AL"/>
        </w:rPr>
        <w:t>8.2000, faqe 1183.</w:t>
      </w:r>
    </w:p>
    <w:p w14:paraId="5FEEF53D" w14:textId="1D5A85F7"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e Këshillit të E</w:t>
      </w:r>
      <w:r w:rsidR="00F03E63" w:rsidRPr="00795698">
        <w:rPr>
          <w:rFonts w:ascii="Garamond" w:hAnsi="Garamond"/>
          <w:lang w:val="sq-AL"/>
        </w:rPr>
        <w:t>v</w:t>
      </w:r>
      <w:r w:rsidRPr="00795698">
        <w:rPr>
          <w:rFonts w:ascii="Garamond" w:hAnsi="Garamond"/>
          <w:lang w:val="sq-AL"/>
        </w:rPr>
        <w:t>ropës, mbi pastrimin, kërkimin dhe konfiskimin e procedurave të krimit të organizuar dhe financimit të terrorizmit”, datë 6.5.2005, nënshkruar m</w:t>
      </w:r>
      <w:r w:rsidR="000C2409" w:rsidRPr="00795698">
        <w:rPr>
          <w:rFonts w:ascii="Garamond" w:hAnsi="Garamond"/>
          <w:lang w:val="sq-AL"/>
        </w:rPr>
        <w:t>ë</w:t>
      </w:r>
      <w:r w:rsidRPr="00795698">
        <w:rPr>
          <w:rFonts w:ascii="Garamond" w:hAnsi="Garamond"/>
          <w:lang w:val="sq-AL"/>
        </w:rPr>
        <w:t xml:space="preserve"> 22 dhjetor 2005, hyrë në fuqi m</w:t>
      </w:r>
      <w:r w:rsidR="00F03E63" w:rsidRPr="00795698">
        <w:rPr>
          <w:rFonts w:ascii="Garamond" w:hAnsi="Garamond"/>
          <w:lang w:val="sq-AL"/>
        </w:rPr>
        <w:t>ë</w:t>
      </w:r>
      <w:r w:rsidRPr="00795698">
        <w:rPr>
          <w:rFonts w:ascii="Garamond" w:hAnsi="Garamond"/>
          <w:lang w:val="sq-AL"/>
        </w:rPr>
        <w:t xml:space="preserve"> 1 </w:t>
      </w:r>
      <w:r w:rsidR="00F03E63" w:rsidRPr="00795698">
        <w:rPr>
          <w:rFonts w:ascii="Garamond" w:hAnsi="Garamond"/>
          <w:lang w:val="sq-AL"/>
        </w:rPr>
        <w:t>m</w:t>
      </w:r>
      <w:r w:rsidRPr="00795698">
        <w:rPr>
          <w:rFonts w:ascii="Garamond" w:hAnsi="Garamond"/>
          <w:lang w:val="sq-AL"/>
        </w:rPr>
        <w:t xml:space="preserve">aj 2008. </w:t>
      </w:r>
    </w:p>
    <w:p w14:paraId="5FEEF53E" w14:textId="31A026E9"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e Këshillit të E</w:t>
      </w:r>
      <w:r w:rsidR="00F03E63" w:rsidRPr="00795698">
        <w:rPr>
          <w:rFonts w:ascii="Garamond" w:hAnsi="Garamond"/>
          <w:lang w:val="sq-AL"/>
        </w:rPr>
        <w:t>v</w:t>
      </w:r>
      <w:r w:rsidRPr="00795698">
        <w:rPr>
          <w:rFonts w:ascii="Garamond" w:hAnsi="Garamond"/>
          <w:lang w:val="sq-AL"/>
        </w:rPr>
        <w:t>ropës për pastrimin, kërkimin, kapjen dhe konfiskimin e produkteve të krimit dhe për financimin e terrorizmit”, ratifikuar me ligjin nr. 9646, datë 27.11.2006. Fletore Zyrtare nr. 134, datë 22.12.2006, faqe 5221.</w:t>
      </w:r>
    </w:p>
    <w:p w14:paraId="5FEEF53F" w14:textId="7168A498"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Ratifikimi i “Protokollit ndryshues i konventës e</w:t>
      </w:r>
      <w:r w:rsidR="00F03E63" w:rsidRPr="00795698">
        <w:rPr>
          <w:rFonts w:ascii="Garamond" w:hAnsi="Garamond"/>
          <w:lang w:val="sq-AL"/>
        </w:rPr>
        <w:t>v</w:t>
      </w:r>
      <w:r w:rsidRPr="00795698">
        <w:rPr>
          <w:rFonts w:ascii="Garamond" w:hAnsi="Garamond"/>
          <w:lang w:val="sq-AL"/>
        </w:rPr>
        <w:t>ropiane për shtypjen e terrorizmit”, ratifikuar me ligjin nr. 9230, datë 13.5.2004. Fletore Zyrtare nr</w:t>
      </w:r>
      <w:r w:rsidR="00F03E63" w:rsidRPr="00795698">
        <w:rPr>
          <w:rFonts w:ascii="Garamond" w:hAnsi="Garamond"/>
          <w:lang w:val="sq-AL"/>
        </w:rPr>
        <w:t>. 38, datë 16.</w:t>
      </w:r>
      <w:r w:rsidRPr="00795698">
        <w:rPr>
          <w:rFonts w:ascii="Garamond" w:hAnsi="Garamond"/>
          <w:lang w:val="sq-AL"/>
        </w:rPr>
        <w:t>6.2004</w:t>
      </w:r>
      <w:r w:rsidR="00607049" w:rsidRPr="00795698">
        <w:rPr>
          <w:rFonts w:ascii="Garamond" w:hAnsi="Garamond"/>
          <w:lang w:val="sq-AL"/>
        </w:rPr>
        <w:t>,</w:t>
      </w:r>
      <w:r w:rsidRPr="00795698">
        <w:rPr>
          <w:rFonts w:ascii="Garamond" w:hAnsi="Garamond"/>
          <w:lang w:val="sq-AL"/>
        </w:rPr>
        <w:t xml:space="preserve"> faqe 2793.</w:t>
      </w:r>
    </w:p>
    <w:p w14:paraId="5FEEF540" w14:textId="1F0CF458"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Për ratifikimin e “Konventës e</w:t>
      </w:r>
      <w:r w:rsidR="00F03E63" w:rsidRPr="00795698">
        <w:rPr>
          <w:rFonts w:ascii="Garamond" w:hAnsi="Garamond"/>
          <w:lang w:val="sq-AL"/>
        </w:rPr>
        <w:t>v</w:t>
      </w:r>
      <w:r w:rsidRPr="00795698">
        <w:rPr>
          <w:rFonts w:ascii="Garamond" w:hAnsi="Garamond"/>
          <w:lang w:val="sq-AL"/>
        </w:rPr>
        <w:t>ropiane për kompensimin e viktimave të krimeve të dhunshme” me ligjin nr. 9265, datë 29.7.2004.</w:t>
      </w:r>
    </w:p>
    <w:p w14:paraId="5FEEF541" w14:textId="77777777" w:rsidR="009824FF" w:rsidRPr="00795698" w:rsidRDefault="009824FF" w:rsidP="009824FF">
      <w:pPr>
        <w:pStyle w:val="NoSpacing"/>
        <w:shd w:val="clear" w:color="auto" w:fill="FFFFFF"/>
        <w:tabs>
          <w:tab w:val="left" w:pos="9000"/>
        </w:tabs>
        <w:ind w:firstLine="284"/>
        <w:jc w:val="both"/>
        <w:rPr>
          <w:rFonts w:ascii="Garamond" w:hAnsi="Garamond"/>
          <w:lang w:val="sq-AL"/>
        </w:rPr>
      </w:pPr>
      <w:r w:rsidRPr="00795698">
        <w:rPr>
          <w:rFonts w:ascii="Garamond" w:hAnsi="Garamond"/>
          <w:lang w:val="sq-AL"/>
        </w:rPr>
        <w:t>“Konventa Ndërkombëtarë për Shtypjen e Akteve të Terrorizmit Nuklear (Bërthamor) (2005)”, nënshkruar nga vendi ynë.</w:t>
      </w:r>
    </w:p>
    <w:p w14:paraId="5FEEF542" w14:textId="2C6C87CE" w:rsidR="009824FF" w:rsidRPr="00795698" w:rsidRDefault="009824FF" w:rsidP="009824FF">
      <w:pPr>
        <w:pStyle w:val="Heading3"/>
        <w:spacing w:before="0"/>
        <w:ind w:firstLine="284"/>
        <w:rPr>
          <w:rFonts w:ascii="Garamond" w:hAnsi="Garamond"/>
          <w:color w:val="auto"/>
        </w:rPr>
      </w:pPr>
      <w:bookmarkStart w:id="21" w:name="_Toc108644257"/>
      <w:bookmarkStart w:id="22" w:name="_Hlk57241111"/>
      <w:r w:rsidRPr="00795698">
        <w:rPr>
          <w:rFonts w:ascii="Garamond" w:hAnsi="Garamond"/>
          <w:color w:val="auto"/>
        </w:rPr>
        <w:t>1.1.2.2 Marrëveshj</w:t>
      </w:r>
      <w:r w:rsidR="00F03E63" w:rsidRPr="00795698">
        <w:rPr>
          <w:rFonts w:ascii="Garamond" w:hAnsi="Garamond"/>
          <w:color w:val="auto"/>
        </w:rPr>
        <w:t>e dy</w:t>
      </w:r>
      <w:r w:rsidRPr="00795698">
        <w:rPr>
          <w:rFonts w:ascii="Garamond" w:hAnsi="Garamond"/>
          <w:color w:val="auto"/>
        </w:rPr>
        <w:t>palëshe në fushën e luftës kundër terrorizmit</w:t>
      </w:r>
      <w:bookmarkEnd w:id="21"/>
    </w:p>
    <w:bookmarkEnd w:id="22"/>
    <w:p w14:paraId="5FEEF543" w14:textId="6E14194A" w:rsidR="009824FF" w:rsidRPr="00795698" w:rsidRDefault="009824FF" w:rsidP="009824FF">
      <w:pPr>
        <w:pStyle w:val="NoSpacing"/>
        <w:shd w:val="clear" w:color="auto" w:fill="FFFFFF"/>
        <w:ind w:firstLine="284"/>
        <w:jc w:val="both"/>
        <w:rPr>
          <w:rFonts w:ascii="Garamond" w:hAnsi="Garamond"/>
          <w:lang w:val="sq-AL"/>
        </w:rPr>
      </w:pPr>
      <w:r w:rsidRPr="00795698">
        <w:rPr>
          <w:rFonts w:ascii="Garamond" w:hAnsi="Garamond"/>
          <w:lang w:val="sq-AL"/>
        </w:rPr>
        <w:t>Planifikimi dhe kryerja</w:t>
      </w:r>
      <w:r w:rsidR="007C064A" w:rsidRPr="00795698">
        <w:rPr>
          <w:rFonts w:ascii="Garamond" w:hAnsi="Garamond"/>
          <w:lang w:val="sq-AL"/>
        </w:rPr>
        <w:t xml:space="preserve"> </w:t>
      </w:r>
      <w:r w:rsidRPr="00795698">
        <w:rPr>
          <w:rFonts w:ascii="Garamond" w:hAnsi="Garamond"/>
          <w:lang w:val="sq-AL"/>
        </w:rPr>
        <w:t>e aktiviteteve terroriste është një proces i vështirë që rrallë herë ndodh brenda territorit të një vendi dhe në zbatim të Strategjisë Globale të OKB-së për Terrorizmin e cila kërkon bashkëpunim në nivel global, rajonal dhe kombëtar, në zbatim të rekomandimit të rezolutës së Asamblesë së Përgjithshme të OKB-së 49/60 (1995). Shqipëria ka nënshkruar dhe po zbaton 21 marrëveshje bashkëpunimi me vende të rajonit, E</w:t>
      </w:r>
      <w:r w:rsidR="00607049" w:rsidRPr="00795698">
        <w:rPr>
          <w:rFonts w:ascii="Garamond" w:hAnsi="Garamond"/>
          <w:lang w:val="sq-AL"/>
        </w:rPr>
        <w:t>v</w:t>
      </w:r>
      <w:r w:rsidRPr="00795698">
        <w:rPr>
          <w:rFonts w:ascii="Garamond" w:hAnsi="Garamond"/>
          <w:lang w:val="sq-AL"/>
        </w:rPr>
        <w:t>ropës dhe SHBA-të, në fushën e sigurisë dhe shkëmbimit të informacionit për verifikimin dhe luftën kundër terrorizmit, konkretisht:</w:t>
      </w:r>
    </w:p>
    <w:p w14:paraId="5FEEF544" w14:textId="1FFFEDB5"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lastRenderedPageBreak/>
        <w:t xml:space="preserve">1. </w:t>
      </w:r>
      <w:r w:rsidR="009824FF" w:rsidRPr="00795698">
        <w:rPr>
          <w:rFonts w:ascii="Garamond" w:hAnsi="Garamond"/>
          <w:b/>
          <w:lang w:val="sq-AL"/>
        </w:rPr>
        <w:t xml:space="preserve">Me Slloveninë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bashkëpunimin në luftën kundër terrorizmit, trafikut të paligjshëm të drogës dhe krimit të organizuar, nënshkruar m</w:t>
      </w:r>
      <w:r w:rsidR="00607049" w:rsidRPr="00795698">
        <w:rPr>
          <w:rFonts w:ascii="Garamond" w:hAnsi="Garamond"/>
          <w:lang w:val="sq-AL"/>
        </w:rPr>
        <w:t>ë</w:t>
      </w:r>
      <w:r w:rsidR="009824FF" w:rsidRPr="00795698">
        <w:rPr>
          <w:rFonts w:ascii="Garamond" w:hAnsi="Garamond"/>
          <w:lang w:val="sq-AL"/>
        </w:rPr>
        <w:t xml:space="preserve"> 24.11.1993, në Tiranë.</w:t>
      </w:r>
    </w:p>
    <w:p w14:paraId="5FEEF545" w14:textId="671882A0" w:rsidR="009824FF" w:rsidRPr="00795698" w:rsidRDefault="00A037C5" w:rsidP="00A037C5">
      <w:pPr>
        <w:pStyle w:val="NoSpacing"/>
        <w:shd w:val="clear" w:color="auto" w:fill="FFFFFF"/>
        <w:ind w:firstLine="284"/>
        <w:jc w:val="both"/>
        <w:rPr>
          <w:rFonts w:ascii="Garamond" w:hAnsi="Garamond"/>
          <w:b/>
          <w:lang w:val="sq-AL"/>
        </w:rPr>
      </w:pPr>
      <w:r w:rsidRPr="00795698">
        <w:rPr>
          <w:rFonts w:ascii="Garamond" w:hAnsi="Garamond"/>
          <w:b/>
          <w:lang w:val="sq-AL"/>
        </w:rPr>
        <w:t xml:space="preserve">2. </w:t>
      </w:r>
      <w:r w:rsidR="009824FF" w:rsidRPr="00795698">
        <w:rPr>
          <w:rFonts w:ascii="Garamond" w:hAnsi="Garamond"/>
          <w:b/>
          <w:lang w:val="sq-AL"/>
        </w:rPr>
        <w:t xml:space="preserve">Me Kroacinë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për </w:t>
      </w:r>
      <w:r w:rsidR="009824FF" w:rsidRPr="00795698">
        <w:rPr>
          <w:rFonts w:ascii="Garamond" w:hAnsi="Garamond"/>
          <w:lang w:val="sq-AL"/>
        </w:rPr>
        <w:t>bashkëpunimin policor, 20 janar 2014.</w:t>
      </w:r>
    </w:p>
    <w:p w14:paraId="5FEEF546" w14:textId="48AFD1F5"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t xml:space="preserve">3. </w:t>
      </w:r>
      <w:r w:rsidR="009824FF" w:rsidRPr="00795698">
        <w:rPr>
          <w:rFonts w:ascii="Garamond" w:hAnsi="Garamond"/>
          <w:b/>
          <w:lang w:val="sq-AL"/>
        </w:rPr>
        <w:t xml:space="preserve">Me Egjiptin </w:t>
      </w:r>
      <w:r w:rsidR="00607049" w:rsidRPr="00795698">
        <w:rPr>
          <w:rFonts w:ascii="Garamond" w:hAnsi="Garamond"/>
          <w:b/>
          <w:lang w:val="sq-AL"/>
        </w:rPr>
        <w:t xml:space="preserve">– </w:t>
      </w:r>
      <w:r w:rsidR="00607049" w:rsidRPr="00795698">
        <w:rPr>
          <w:rFonts w:ascii="Garamond" w:hAnsi="Garamond"/>
          <w:lang w:val="sq-AL"/>
        </w:rPr>
        <w:t xml:space="preserve">protokoll </w:t>
      </w:r>
      <w:r w:rsidR="009824FF" w:rsidRPr="00795698">
        <w:rPr>
          <w:rFonts w:ascii="Garamond" w:hAnsi="Garamond"/>
          <w:lang w:val="sq-AL"/>
        </w:rPr>
        <w:t>mbi bashkëpunimi në fushën e luftës kundër terrorizmit, nënshkruar në Kajro, më 24.10.1995.</w:t>
      </w:r>
    </w:p>
    <w:p w14:paraId="5FEEF547" w14:textId="29350ADB" w:rsidR="009824FF" w:rsidRPr="00795698" w:rsidRDefault="00A037C5" w:rsidP="00A037C5">
      <w:pPr>
        <w:pStyle w:val="NoSpacing"/>
        <w:shd w:val="clear" w:color="auto" w:fill="FFFFFF"/>
        <w:ind w:firstLine="284"/>
        <w:jc w:val="both"/>
        <w:rPr>
          <w:rFonts w:ascii="Garamond" w:hAnsi="Garamond"/>
          <w:b/>
          <w:lang w:val="sq-AL"/>
        </w:rPr>
      </w:pPr>
      <w:r w:rsidRPr="00795698">
        <w:rPr>
          <w:rFonts w:ascii="Garamond" w:hAnsi="Garamond"/>
          <w:b/>
          <w:lang w:val="sq-AL"/>
        </w:rPr>
        <w:t xml:space="preserve">4. </w:t>
      </w:r>
      <w:r w:rsidR="009824FF" w:rsidRPr="00795698">
        <w:rPr>
          <w:rFonts w:ascii="Garamond" w:hAnsi="Garamond"/>
          <w:b/>
          <w:lang w:val="sq-AL"/>
        </w:rPr>
        <w:t xml:space="preserve">Me Hungarinë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bashkëpunimin në luftën kundër terrorizmit, trafikut të drogës dhe krimit të organizuar, nënshkruar në shkurt 1999 dhe ratifiku</w:t>
      </w:r>
      <w:r w:rsidR="00607049" w:rsidRPr="00795698">
        <w:rPr>
          <w:rFonts w:ascii="Garamond" w:hAnsi="Garamond"/>
          <w:lang w:val="sq-AL"/>
        </w:rPr>
        <w:t>ar me ligjin nr. 8623, datë 15.</w:t>
      </w:r>
      <w:r w:rsidR="009824FF" w:rsidRPr="00795698">
        <w:rPr>
          <w:rFonts w:ascii="Garamond" w:hAnsi="Garamond"/>
          <w:lang w:val="sq-AL"/>
        </w:rPr>
        <w:t>6.2000.</w:t>
      </w:r>
    </w:p>
    <w:p w14:paraId="5FEEF548" w14:textId="6301179F"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t xml:space="preserve">5. </w:t>
      </w:r>
      <w:r w:rsidR="009824FF" w:rsidRPr="00795698">
        <w:rPr>
          <w:rFonts w:ascii="Garamond" w:hAnsi="Garamond"/>
          <w:b/>
          <w:lang w:val="sq-AL"/>
        </w:rPr>
        <w:t xml:space="preserve">Me Rumaninë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bashkëpunimin në fushën e luftës kundër terrorizmit, të luftës kundër krimit të organizuar, të trafikut të paligjshëm të substancave narkotike e psikotrope, si edhe aktivitete t</w:t>
      </w:r>
      <w:r w:rsidR="00607049" w:rsidRPr="00795698">
        <w:rPr>
          <w:rFonts w:ascii="Garamond" w:hAnsi="Garamond"/>
          <w:lang w:val="sq-AL"/>
        </w:rPr>
        <w:t>ë tjera ilegale, nënshkruar më 7.</w:t>
      </w:r>
      <w:r w:rsidR="009824FF" w:rsidRPr="00795698">
        <w:rPr>
          <w:rFonts w:ascii="Garamond" w:hAnsi="Garamond"/>
          <w:lang w:val="sq-AL"/>
        </w:rPr>
        <w:t>6.2002, në Bukuresht.</w:t>
      </w:r>
    </w:p>
    <w:p w14:paraId="5FEEF549" w14:textId="491F4A35" w:rsidR="009824FF" w:rsidRPr="00795698" w:rsidRDefault="00A037C5" w:rsidP="00A037C5">
      <w:pPr>
        <w:pStyle w:val="NoSpacing"/>
        <w:shd w:val="clear" w:color="auto" w:fill="FFFFFF"/>
        <w:ind w:firstLine="284"/>
        <w:jc w:val="both"/>
        <w:rPr>
          <w:rFonts w:ascii="Garamond" w:hAnsi="Garamond"/>
          <w:lang w:val="sq-AL"/>
        </w:rPr>
      </w:pPr>
      <w:r w:rsidRPr="00795698">
        <w:rPr>
          <w:rFonts w:ascii="Garamond" w:hAnsi="Garamond"/>
          <w:b/>
          <w:lang w:val="sq-AL"/>
        </w:rPr>
        <w:t xml:space="preserve">6. </w:t>
      </w:r>
      <w:r w:rsidR="009824FF" w:rsidRPr="00795698">
        <w:rPr>
          <w:rFonts w:ascii="Garamond" w:hAnsi="Garamond"/>
          <w:b/>
          <w:lang w:val="sq-AL"/>
        </w:rPr>
        <w:t xml:space="preserve">Me Malin e Zi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bashkëpunimin në fushën e luftës kundër krimit të organizuar, terrorizmit, trafikut të paligjshëm si dhe veprimtarive të tjera të paligjshme”, nënshkruar në Podgoricë, Mal i Zi, m</w:t>
      </w:r>
      <w:r w:rsidR="00607049" w:rsidRPr="00795698">
        <w:rPr>
          <w:rFonts w:ascii="Garamond" w:hAnsi="Garamond"/>
          <w:lang w:val="sq-AL"/>
        </w:rPr>
        <w:t>ë</w:t>
      </w:r>
      <w:r w:rsidR="009824FF" w:rsidRPr="00795698">
        <w:rPr>
          <w:rFonts w:ascii="Garamond" w:hAnsi="Garamond"/>
          <w:lang w:val="sq-AL"/>
        </w:rPr>
        <w:t xml:space="preserve"> 31 tetor 2003. </w:t>
      </w:r>
    </w:p>
    <w:p w14:paraId="5FEEF54A" w14:textId="608C4340" w:rsidR="009824FF" w:rsidRPr="00795698" w:rsidRDefault="00A037C5" w:rsidP="00A037C5">
      <w:pPr>
        <w:pStyle w:val="NoSpacing"/>
        <w:shd w:val="clear" w:color="auto" w:fill="FFFFFF"/>
        <w:ind w:firstLine="284"/>
        <w:jc w:val="both"/>
        <w:rPr>
          <w:rFonts w:ascii="Garamond" w:hAnsi="Garamond"/>
          <w:lang w:val="sq-AL"/>
        </w:rPr>
      </w:pPr>
      <w:r w:rsidRPr="00795698">
        <w:rPr>
          <w:rFonts w:ascii="Garamond" w:hAnsi="Garamond"/>
          <w:b/>
          <w:lang w:val="sq-AL"/>
        </w:rPr>
        <w:t xml:space="preserve">7. </w:t>
      </w:r>
      <w:r w:rsidR="009824FF" w:rsidRPr="00795698">
        <w:rPr>
          <w:rFonts w:ascii="Garamond" w:hAnsi="Garamond"/>
          <w:b/>
          <w:lang w:val="sq-AL"/>
        </w:rPr>
        <w:t xml:space="preserve">Me Maqedoninë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bashkëpunimin në luftën ndaj terrorizmit, krimit të organizuar, trafikut të paligjshëm të drogave narkotike, substancave psikotrope e prekursoreve, migracionit të paligjshëm dhe veprimtarive të tjera të paligjshme, nënshk</w:t>
      </w:r>
      <w:r w:rsidR="00607049" w:rsidRPr="00795698">
        <w:rPr>
          <w:rFonts w:ascii="Garamond" w:hAnsi="Garamond"/>
          <w:lang w:val="sq-AL"/>
        </w:rPr>
        <w:t>ruar në Shkup, Maqedoni, më 17.</w:t>
      </w:r>
      <w:r w:rsidR="009824FF" w:rsidRPr="00795698">
        <w:rPr>
          <w:rFonts w:ascii="Garamond" w:hAnsi="Garamond"/>
          <w:lang w:val="sq-AL"/>
        </w:rPr>
        <w:t xml:space="preserve">6.2004. </w:t>
      </w:r>
    </w:p>
    <w:p w14:paraId="5FEEF54B" w14:textId="5218582A" w:rsidR="009824FF" w:rsidRPr="00795698" w:rsidRDefault="009824FF" w:rsidP="00A037C5">
      <w:pPr>
        <w:pStyle w:val="ListParagraph"/>
        <w:ind w:left="0" w:firstLine="284"/>
        <w:jc w:val="both"/>
        <w:rPr>
          <w:rFonts w:ascii="Garamond" w:hAnsi="Garamond"/>
        </w:rPr>
      </w:pPr>
      <w:r w:rsidRPr="00795698">
        <w:rPr>
          <w:rFonts w:ascii="Garamond" w:hAnsi="Garamond"/>
        </w:rPr>
        <w:t xml:space="preserve">Në kuadër të bashkëpunimit rajonal në luftën kundër terrorizmit Protokolli ndërmjet Ministrisë së Punëve të Brendshme të Republikës së Shqipërisë dhe Ministrisë së Punëve të Brendshme të Republikës së Maqedonisë “Për bashkëpunimin në </w:t>
      </w:r>
      <w:r w:rsidR="00607049" w:rsidRPr="00795698">
        <w:rPr>
          <w:rFonts w:ascii="Garamond" w:hAnsi="Garamond"/>
        </w:rPr>
        <w:t>luftën kundër terrorizmit”, më 3.</w:t>
      </w:r>
      <w:r w:rsidRPr="00795698">
        <w:rPr>
          <w:rFonts w:ascii="Garamond" w:hAnsi="Garamond"/>
        </w:rPr>
        <w:t>2.2018, në Ohër, Maqedoni.</w:t>
      </w:r>
    </w:p>
    <w:p w14:paraId="5FEEF54C" w14:textId="27C77B84" w:rsidR="009824FF" w:rsidRPr="00795698" w:rsidRDefault="00A037C5" w:rsidP="00A037C5">
      <w:pPr>
        <w:pStyle w:val="NoSpacing"/>
        <w:shd w:val="clear" w:color="auto" w:fill="FFFFFF"/>
        <w:ind w:firstLine="284"/>
        <w:jc w:val="both"/>
        <w:rPr>
          <w:rFonts w:ascii="Garamond" w:hAnsi="Garamond"/>
          <w:lang w:val="sq-AL"/>
        </w:rPr>
      </w:pPr>
      <w:r w:rsidRPr="00795698">
        <w:rPr>
          <w:rFonts w:ascii="Garamond" w:hAnsi="Garamond"/>
          <w:b/>
          <w:lang w:val="sq-AL"/>
        </w:rPr>
        <w:t xml:space="preserve">8. </w:t>
      </w:r>
      <w:r w:rsidR="009824FF" w:rsidRPr="00795698">
        <w:rPr>
          <w:rFonts w:ascii="Garamond" w:hAnsi="Garamond"/>
          <w:b/>
          <w:lang w:val="sq-AL"/>
        </w:rPr>
        <w:t xml:space="preserve">Me Bullgarinë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 xml:space="preserve">bashkëpunimin në fushën e luftës kundër terrorizmit, krimit të organizuar, trafikimit të paligjshëm dhe akteve të tjera kriminale, nënshkruar në Tiranë, më 29 janar 2007. </w:t>
      </w:r>
    </w:p>
    <w:p w14:paraId="5FEEF54D" w14:textId="5744707B"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t xml:space="preserve">9. </w:t>
      </w:r>
      <w:r w:rsidR="009824FF" w:rsidRPr="00795698">
        <w:rPr>
          <w:rFonts w:ascii="Garamond" w:hAnsi="Garamond"/>
          <w:b/>
          <w:lang w:val="sq-AL"/>
        </w:rPr>
        <w:t xml:space="preserve">Me Francën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bashkëpunimin në fushën e sigurisë së brendshme, nënshkruar në Paris, m</w:t>
      </w:r>
      <w:r w:rsidR="00607049" w:rsidRPr="00795698">
        <w:rPr>
          <w:rFonts w:ascii="Garamond" w:hAnsi="Garamond"/>
          <w:lang w:val="sq-AL"/>
        </w:rPr>
        <w:t>ë 15.</w:t>
      </w:r>
      <w:r w:rsidR="009824FF" w:rsidRPr="00795698">
        <w:rPr>
          <w:rFonts w:ascii="Garamond" w:hAnsi="Garamond"/>
          <w:lang w:val="sq-AL"/>
        </w:rPr>
        <w:t>5.2008.</w:t>
      </w:r>
    </w:p>
    <w:p w14:paraId="5FEEF54E" w14:textId="3806E26B"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t xml:space="preserve">10. </w:t>
      </w:r>
      <w:r w:rsidR="009824FF" w:rsidRPr="00795698">
        <w:rPr>
          <w:rFonts w:ascii="Garamond" w:hAnsi="Garamond"/>
          <w:b/>
          <w:lang w:val="sq-AL"/>
        </w:rPr>
        <w:t xml:space="preserve">Me Gjermaninë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 xml:space="preserve">mbi </w:t>
      </w:r>
      <w:r w:rsidR="009824FF" w:rsidRPr="00795698">
        <w:rPr>
          <w:rFonts w:ascii="Garamond" w:hAnsi="Garamond"/>
          <w:lang w:val="sq-AL"/>
        </w:rPr>
        <w:t xml:space="preserve">bashkëpunimin në fushën e sigurisë, nënshkruar më 31 </w:t>
      </w:r>
      <w:r w:rsidR="00607049" w:rsidRPr="00795698">
        <w:rPr>
          <w:rFonts w:ascii="Garamond" w:hAnsi="Garamond"/>
          <w:lang w:val="sq-AL"/>
        </w:rPr>
        <w:t>m</w:t>
      </w:r>
      <w:r w:rsidR="009824FF" w:rsidRPr="00795698">
        <w:rPr>
          <w:rFonts w:ascii="Garamond" w:hAnsi="Garamond"/>
          <w:lang w:val="sq-AL"/>
        </w:rPr>
        <w:t xml:space="preserve">aj 2013 dhe ratifikuar me ligj më 23 </w:t>
      </w:r>
      <w:r w:rsidR="00607049" w:rsidRPr="00795698">
        <w:rPr>
          <w:rFonts w:ascii="Garamond" w:hAnsi="Garamond"/>
          <w:lang w:val="sq-AL"/>
        </w:rPr>
        <w:t xml:space="preserve">janar </w:t>
      </w:r>
      <w:r w:rsidR="009824FF" w:rsidRPr="00795698">
        <w:rPr>
          <w:rFonts w:ascii="Garamond" w:hAnsi="Garamond"/>
          <w:lang w:val="sq-AL"/>
        </w:rPr>
        <w:t>2014.</w:t>
      </w:r>
      <w:r w:rsidR="007C064A" w:rsidRPr="00795698">
        <w:rPr>
          <w:rFonts w:ascii="Garamond" w:hAnsi="Garamond"/>
          <w:lang w:val="sq-AL"/>
        </w:rPr>
        <w:t xml:space="preserve"> </w:t>
      </w:r>
    </w:p>
    <w:p w14:paraId="5FEEF54F" w14:textId="55B86099" w:rsidR="009824FF" w:rsidRPr="00795698" w:rsidRDefault="00A037C5" w:rsidP="00A037C5">
      <w:pPr>
        <w:pStyle w:val="NoSpacing"/>
        <w:shd w:val="clear" w:color="auto" w:fill="FFFFFF"/>
        <w:ind w:firstLine="284"/>
        <w:jc w:val="both"/>
        <w:rPr>
          <w:rFonts w:ascii="Garamond" w:hAnsi="Garamond"/>
          <w:bCs/>
          <w:lang w:val="sq-AL"/>
        </w:rPr>
      </w:pPr>
      <w:r w:rsidRPr="00795698">
        <w:rPr>
          <w:rFonts w:ascii="Garamond" w:hAnsi="Garamond"/>
          <w:b/>
          <w:lang w:val="sq-AL"/>
        </w:rPr>
        <w:t xml:space="preserve">11. </w:t>
      </w:r>
      <w:r w:rsidR="009824FF" w:rsidRPr="00795698">
        <w:rPr>
          <w:rFonts w:ascii="Garamond" w:hAnsi="Garamond"/>
          <w:b/>
          <w:lang w:val="sq-AL"/>
        </w:rPr>
        <w:t>Me Bosnjë</w:t>
      </w:r>
      <w:r w:rsidR="000C2409" w:rsidRPr="00795698">
        <w:rPr>
          <w:rFonts w:ascii="Garamond" w:hAnsi="Garamond"/>
          <w:b/>
          <w:lang w:val="sq-AL"/>
        </w:rPr>
        <w:t>-</w:t>
      </w:r>
      <w:r w:rsidR="009824FF" w:rsidRPr="00795698">
        <w:rPr>
          <w:rFonts w:ascii="Garamond" w:hAnsi="Garamond"/>
          <w:b/>
          <w:lang w:val="sq-AL"/>
        </w:rPr>
        <w:t xml:space="preserve">Hercegovinën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m</w:t>
      </w:r>
      <w:r w:rsidR="009824FF" w:rsidRPr="00795698">
        <w:rPr>
          <w:rFonts w:ascii="Garamond" w:hAnsi="Garamond"/>
          <w:lang w:val="sq-AL"/>
        </w:rPr>
        <w:t>bi</w:t>
      </w:r>
      <w:r w:rsidR="00607049" w:rsidRPr="00795698">
        <w:rPr>
          <w:rFonts w:ascii="Garamond" w:hAnsi="Garamond"/>
          <w:lang w:val="sq-AL"/>
        </w:rPr>
        <w:t xml:space="preserve"> </w:t>
      </w:r>
      <w:r w:rsidR="009824FF" w:rsidRPr="00795698">
        <w:rPr>
          <w:rFonts w:ascii="Garamond" w:hAnsi="Garamond"/>
          <w:lang w:val="sq-AL"/>
        </w:rPr>
        <w:t xml:space="preserve">bashkëpunimin në luftën kundër krimit veçanërisht terrorizmit, trafikimit të paligjshëm të drogave dhe krimit të organizuar, </w:t>
      </w:r>
      <w:r w:rsidR="009824FF" w:rsidRPr="00795698">
        <w:rPr>
          <w:rFonts w:ascii="Garamond" w:hAnsi="Garamond"/>
          <w:bCs/>
          <w:lang w:val="sq-AL"/>
        </w:rPr>
        <w:t>nënshkruar m</w:t>
      </w:r>
      <w:r w:rsidR="00607049" w:rsidRPr="00795698">
        <w:rPr>
          <w:rFonts w:ascii="Garamond" w:hAnsi="Garamond"/>
          <w:bCs/>
          <w:lang w:val="sq-AL"/>
        </w:rPr>
        <w:t>ë</w:t>
      </w:r>
      <w:r w:rsidR="009824FF" w:rsidRPr="00795698">
        <w:rPr>
          <w:rFonts w:ascii="Garamond" w:hAnsi="Garamond"/>
          <w:bCs/>
          <w:lang w:val="sq-AL"/>
        </w:rPr>
        <w:t xml:space="preserve"> 24.3.2009, hyrë në fuqi m</w:t>
      </w:r>
      <w:r w:rsidR="00607049" w:rsidRPr="00795698">
        <w:rPr>
          <w:rFonts w:ascii="Garamond" w:hAnsi="Garamond"/>
          <w:bCs/>
          <w:lang w:val="sq-AL"/>
        </w:rPr>
        <w:t>ë</w:t>
      </w:r>
      <w:r w:rsidR="009824FF" w:rsidRPr="00795698">
        <w:rPr>
          <w:rFonts w:ascii="Garamond" w:hAnsi="Garamond"/>
          <w:bCs/>
          <w:lang w:val="sq-AL"/>
        </w:rPr>
        <w:t xml:space="preserve"> 4.3.2010.</w:t>
      </w:r>
    </w:p>
    <w:p w14:paraId="5FEEF550" w14:textId="61109740" w:rsidR="009824FF" w:rsidRPr="00795698" w:rsidRDefault="00A037C5" w:rsidP="00A037C5">
      <w:pPr>
        <w:pStyle w:val="NoSpacing"/>
        <w:shd w:val="clear" w:color="auto" w:fill="FFFFFF"/>
        <w:ind w:firstLine="284"/>
        <w:jc w:val="both"/>
        <w:rPr>
          <w:rFonts w:ascii="Garamond" w:hAnsi="Garamond"/>
          <w:lang w:val="sq-AL"/>
        </w:rPr>
      </w:pPr>
      <w:r w:rsidRPr="00795698">
        <w:rPr>
          <w:rFonts w:ascii="Garamond" w:hAnsi="Garamond"/>
          <w:b/>
          <w:lang w:val="sq-AL"/>
        </w:rPr>
        <w:t xml:space="preserve">12. </w:t>
      </w:r>
      <w:r w:rsidR="009824FF" w:rsidRPr="00795698">
        <w:rPr>
          <w:rFonts w:ascii="Garamond" w:hAnsi="Garamond"/>
          <w:b/>
          <w:lang w:val="sq-AL"/>
        </w:rPr>
        <w:t xml:space="preserve">Me Kosovën </w:t>
      </w:r>
      <w:r w:rsidR="00607049" w:rsidRPr="00795698">
        <w:rPr>
          <w:rFonts w:ascii="Garamond" w:hAnsi="Garamond"/>
          <w:lang w:val="sq-AL"/>
        </w:rPr>
        <w:t>–</w:t>
      </w:r>
      <w:r w:rsidR="009824FF" w:rsidRPr="00795698">
        <w:rPr>
          <w:rFonts w:ascii="Garamond" w:hAnsi="Garamond"/>
          <w:lang w:val="sq-AL"/>
        </w:rPr>
        <w:t xml:space="preserve"> </w:t>
      </w:r>
      <w:r w:rsidR="00607049" w:rsidRPr="00795698">
        <w:rPr>
          <w:rFonts w:ascii="Garamond" w:hAnsi="Garamond"/>
          <w:lang w:val="sq-AL"/>
        </w:rPr>
        <w:t>m</w:t>
      </w:r>
      <w:r w:rsidR="009824FF" w:rsidRPr="00795698">
        <w:rPr>
          <w:rFonts w:ascii="Garamond" w:hAnsi="Garamond"/>
          <w:lang w:val="sq-AL"/>
        </w:rPr>
        <w:t>bi</w:t>
      </w:r>
      <w:r w:rsidR="00607049" w:rsidRPr="00795698">
        <w:rPr>
          <w:rFonts w:ascii="Garamond" w:hAnsi="Garamond"/>
          <w:lang w:val="sq-AL"/>
        </w:rPr>
        <w:t xml:space="preserve"> </w:t>
      </w:r>
      <w:r w:rsidR="009824FF" w:rsidRPr="00795698">
        <w:rPr>
          <w:rFonts w:ascii="Garamond" w:hAnsi="Garamond"/>
          <w:lang w:val="sq-AL"/>
        </w:rPr>
        <w:t>bashkëpunim të ndërsjellë në fushën e sigurisë. Miratuar</w:t>
      </w:r>
      <w:r w:rsidR="007C064A" w:rsidRPr="00795698">
        <w:rPr>
          <w:rFonts w:ascii="Garamond" w:hAnsi="Garamond"/>
          <w:lang w:val="sq-AL"/>
        </w:rPr>
        <w:t xml:space="preserve"> </w:t>
      </w:r>
      <w:r w:rsidR="00607049" w:rsidRPr="00795698">
        <w:rPr>
          <w:rFonts w:ascii="Garamond" w:hAnsi="Garamond"/>
          <w:lang w:val="sq-AL"/>
        </w:rPr>
        <w:t>me VKM nr. 429, datë 20.</w:t>
      </w:r>
      <w:r w:rsidR="009824FF" w:rsidRPr="00795698">
        <w:rPr>
          <w:rFonts w:ascii="Garamond" w:hAnsi="Garamond"/>
          <w:lang w:val="sq-AL"/>
        </w:rPr>
        <w:t>5.2015. </w:t>
      </w:r>
    </w:p>
    <w:p w14:paraId="5FEEF551" w14:textId="6595DEFE" w:rsidR="009824FF" w:rsidRPr="00795698" w:rsidRDefault="00A037C5" w:rsidP="00A037C5">
      <w:pPr>
        <w:pStyle w:val="NoSpacing"/>
        <w:shd w:val="clear" w:color="auto" w:fill="FFFFFF"/>
        <w:ind w:firstLine="284"/>
        <w:jc w:val="both"/>
        <w:rPr>
          <w:rFonts w:ascii="Garamond" w:hAnsi="Garamond"/>
          <w:lang w:val="sq-AL"/>
        </w:rPr>
      </w:pPr>
      <w:r w:rsidRPr="00795698">
        <w:rPr>
          <w:rFonts w:ascii="Garamond" w:hAnsi="Garamond"/>
          <w:b/>
          <w:lang w:val="sq-AL"/>
        </w:rPr>
        <w:t xml:space="preserve">13. </w:t>
      </w:r>
      <w:r w:rsidR="009824FF" w:rsidRPr="00795698">
        <w:rPr>
          <w:rFonts w:ascii="Garamond" w:hAnsi="Garamond"/>
          <w:b/>
          <w:lang w:val="sq-AL"/>
        </w:rPr>
        <w:t xml:space="preserve">Me Sllovakinë </w:t>
      </w:r>
      <w:r w:rsidR="00607049" w:rsidRPr="00795698">
        <w:rPr>
          <w:rFonts w:ascii="Garamond" w:hAnsi="Garamond"/>
          <w:lang w:val="sq-AL"/>
        </w:rPr>
        <w:t>–</w:t>
      </w:r>
      <w:r w:rsidR="009824FF" w:rsidRPr="00795698">
        <w:rPr>
          <w:rFonts w:ascii="Garamond" w:hAnsi="Garamond"/>
          <w:lang w:val="sq-AL"/>
        </w:rPr>
        <w:t xml:space="preserve"> </w:t>
      </w:r>
      <w:r w:rsidR="00607049" w:rsidRPr="00795698">
        <w:rPr>
          <w:rFonts w:ascii="Garamond" w:hAnsi="Garamond"/>
          <w:lang w:val="sq-AL"/>
        </w:rPr>
        <w:t>m</w:t>
      </w:r>
      <w:r w:rsidR="009824FF" w:rsidRPr="00795698">
        <w:rPr>
          <w:rFonts w:ascii="Garamond" w:hAnsi="Garamond"/>
          <w:lang w:val="sq-AL"/>
        </w:rPr>
        <w:t>bi</w:t>
      </w:r>
      <w:r w:rsidR="00607049" w:rsidRPr="00795698">
        <w:rPr>
          <w:rFonts w:ascii="Garamond" w:hAnsi="Garamond"/>
          <w:lang w:val="sq-AL"/>
        </w:rPr>
        <w:t xml:space="preserve"> </w:t>
      </w:r>
      <w:r w:rsidR="009824FF" w:rsidRPr="00795698">
        <w:rPr>
          <w:rFonts w:ascii="Garamond" w:hAnsi="Garamond"/>
          <w:lang w:val="sq-AL"/>
        </w:rPr>
        <w:t>bashkëpunimin në luftën kundër terrorizmit, krimit të organizuar, trafikut të paligjshëm të lëndëve narkotike, substancave psikotrope e prekursorëve të drogës dhe krimeve të tjera. Mi</w:t>
      </w:r>
      <w:r w:rsidR="00607049" w:rsidRPr="00795698">
        <w:rPr>
          <w:rFonts w:ascii="Garamond" w:hAnsi="Garamond"/>
          <w:lang w:val="sq-AL"/>
        </w:rPr>
        <w:t>ratuar me VKM nr. 485, datë 10.</w:t>
      </w:r>
      <w:r w:rsidR="009824FF" w:rsidRPr="00795698">
        <w:rPr>
          <w:rFonts w:ascii="Garamond" w:hAnsi="Garamond"/>
          <w:lang w:val="sq-AL"/>
        </w:rPr>
        <w:t xml:space="preserve">6.2015. </w:t>
      </w:r>
    </w:p>
    <w:p w14:paraId="5FEEF552" w14:textId="4C52618C" w:rsidR="009824FF" w:rsidRPr="00795698" w:rsidRDefault="00A037C5" w:rsidP="00A037C5">
      <w:pPr>
        <w:pStyle w:val="NoSpacing"/>
        <w:shd w:val="clear" w:color="auto" w:fill="FFFFFF"/>
        <w:ind w:firstLine="284"/>
        <w:jc w:val="both"/>
        <w:rPr>
          <w:rFonts w:ascii="Garamond" w:hAnsi="Garamond"/>
          <w:lang w:val="sq-AL"/>
        </w:rPr>
      </w:pPr>
      <w:r w:rsidRPr="00795698">
        <w:rPr>
          <w:rFonts w:ascii="Garamond" w:hAnsi="Garamond"/>
          <w:b/>
          <w:lang w:val="sq-AL"/>
        </w:rPr>
        <w:t xml:space="preserve">14. </w:t>
      </w:r>
      <w:r w:rsidR="009824FF" w:rsidRPr="00795698">
        <w:rPr>
          <w:rFonts w:ascii="Garamond" w:hAnsi="Garamond"/>
          <w:b/>
          <w:lang w:val="sq-AL"/>
        </w:rPr>
        <w:t xml:space="preserve">Me SHBA </w:t>
      </w:r>
      <w:r w:rsidR="00607049" w:rsidRPr="00795698">
        <w:rPr>
          <w:rFonts w:ascii="Garamond" w:hAnsi="Garamond"/>
          <w:b/>
          <w:lang w:val="sq-AL"/>
        </w:rPr>
        <w:t>–</w:t>
      </w:r>
      <w:r w:rsidR="009824FF" w:rsidRPr="00795698">
        <w:rPr>
          <w:rFonts w:ascii="Garamond" w:hAnsi="Garamond"/>
          <w:lang w:val="sq-AL"/>
        </w:rPr>
        <w:t xml:space="preserve"> </w:t>
      </w:r>
      <w:r w:rsidR="00607049" w:rsidRPr="00795698">
        <w:rPr>
          <w:rFonts w:ascii="Garamond" w:hAnsi="Garamond"/>
          <w:lang w:val="sq-AL"/>
        </w:rPr>
        <w:t>m</w:t>
      </w:r>
      <w:r w:rsidR="009824FF" w:rsidRPr="00795698">
        <w:rPr>
          <w:rFonts w:ascii="Garamond" w:hAnsi="Garamond"/>
          <w:lang w:val="sq-AL"/>
        </w:rPr>
        <w:t>arrëveshja</w:t>
      </w:r>
      <w:r w:rsidR="00607049" w:rsidRPr="00795698">
        <w:rPr>
          <w:rFonts w:ascii="Garamond" w:hAnsi="Garamond"/>
          <w:lang w:val="sq-AL"/>
        </w:rPr>
        <w:t xml:space="preserve"> </w:t>
      </w:r>
      <w:r w:rsidR="009824FF" w:rsidRPr="00795698">
        <w:rPr>
          <w:rFonts w:ascii="Garamond" w:hAnsi="Garamond"/>
          <w:lang w:val="sq-AL"/>
        </w:rPr>
        <w:t>e bashkëpunimit midis Këshillit të Ministrave të Republikës së Shqipërisë dhe Qeverisë së SHBA, “Për shkëmbimin e informacionit për verifikimin e terrorizmit”, si dhe Protokollit Operacional, të Ratifikuara me ligjin nr. 72, datë 7.7.2016</w:t>
      </w:r>
      <w:r w:rsidR="00607049" w:rsidRPr="00795698">
        <w:rPr>
          <w:rFonts w:ascii="Garamond" w:hAnsi="Garamond"/>
          <w:lang w:val="sq-AL"/>
        </w:rPr>
        <w:t>,</w:t>
      </w:r>
      <w:r w:rsidR="009824FF" w:rsidRPr="00795698">
        <w:rPr>
          <w:rFonts w:ascii="Garamond" w:hAnsi="Garamond"/>
          <w:lang w:val="sq-AL"/>
        </w:rPr>
        <w:t xml:space="preserve"> Memorandumi i bashkëpunimit ndërmjet Qeverisë të Shteteve të Bashkuara të Amerikës dhe Këshillit të Ministrave të Republikës së Shqipërisë, “Për rritjen e bashkëpunimit për të parandaluar udhëtimin e terroristëve dhe për të luftuar migracionin e paligjshëm dhe krimet e rënda që lidhen me to”, miratuar në parim me VKM nr.</w:t>
      </w:r>
      <w:r w:rsidR="00607049" w:rsidRPr="00795698">
        <w:rPr>
          <w:rFonts w:ascii="Garamond" w:hAnsi="Garamond"/>
          <w:lang w:val="sq-AL"/>
        </w:rPr>
        <w:t xml:space="preserve"> </w:t>
      </w:r>
      <w:r w:rsidR="009824FF" w:rsidRPr="00795698">
        <w:rPr>
          <w:rFonts w:ascii="Garamond" w:hAnsi="Garamond"/>
          <w:lang w:val="sq-AL"/>
        </w:rPr>
        <w:t>153, datë 1.3.2017.</w:t>
      </w:r>
    </w:p>
    <w:p w14:paraId="5FEEF553" w14:textId="44CE5FEA"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t xml:space="preserve">15. </w:t>
      </w:r>
      <w:r w:rsidR="009824FF" w:rsidRPr="00795698">
        <w:rPr>
          <w:rFonts w:ascii="Garamond" w:hAnsi="Garamond"/>
          <w:b/>
          <w:lang w:val="sq-AL"/>
        </w:rPr>
        <w:t xml:space="preserve">Me Serbinë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m</w:t>
      </w:r>
      <w:r w:rsidR="009824FF" w:rsidRPr="00795698">
        <w:rPr>
          <w:rFonts w:ascii="Garamond" w:hAnsi="Garamond"/>
          <w:lang w:val="sq-AL"/>
        </w:rPr>
        <w:t>bi</w:t>
      </w:r>
      <w:r w:rsidR="00607049" w:rsidRPr="00795698">
        <w:rPr>
          <w:rFonts w:ascii="Garamond" w:hAnsi="Garamond"/>
          <w:lang w:val="sq-AL"/>
        </w:rPr>
        <w:t xml:space="preserve"> </w:t>
      </w:r>
      <w:r w:rsidR="009824FF" w:rsidRPr="00795698">
        <w:rPr>
          <w:rFonts w:ascii="Garamond" w:hAnsi="Garamond"/>
          <w:lang w:val="sq-AL"/>
        </w:rPr>
        <w:t xml:space="preserve">bashkëpunimin në fushën e luftës kundër krimit të organizuar, trafikimit të paligjshëm ndërkombëtar të drogës dhe terrorizmit </w:t>
      </w:r>
      <w:r w:rsidR="00607049" w:rsidRPr="00795698">
        <w:rPr>
          <w:rFonts w:ascii="Garamond" w:hAnsi="Garamond"/>
          <w:lang w:val="sq-AL"/>
        </w:rPr>
        <w:t>ndërkombëtar, nënshkruar më 11.3.2010, hyrë në fuqi më 1.</w:t>
      </w:r>
      <w:r w:rsidR="009824FF" w:rsidRPr="00795698">
        <w:rPr>
          <w:rFonts w:ascii="Garamond" w:hAnsi="Garamond"/>
          <w:lang w:val="sq-AL"/>
        </w:rPr>
        <w:t>3.2012.</w:t>
      </w:r>
    </w:p>
    <w:p w14:paraId="5FEEF554" w14:textId="5B437217" w:rsidR="009824FF" w:rsidRPr="00795698" w:rsidRDefault="00A037C5" w:rsidP="00A037C5">
      <w:pPr>
        <w:pStyle w:val="NoSpacing"/>
        <w:shd w:val="clear" w:color="auto" w:fill="FFFFFF"/>
        <w:ind w:firstLine="284"/>
        <w:jc w:val="both"/>
        <w:rPr>
          <w:rFonts w:ascii="Garamond" w:hAnsi="Garamond"/>
          <w:b/>
          <w:u w:val="single"/>
          <w:lang w:val="sq-AL"/>
        </w:rPr>
      </w:pPr>
      <w:r w:rsidRPr="00795698">
        <w:rPr>
          <w:rFonts w:ascii="Garamond" w:hAnsi="Garamond"/>
          <w:b/>
          <w:lang w:val="sq-AL"/>
        </w:rPr>
        <w:t xml:space="preserve">16. </w:t>
      </w:r>
      <w:r w:rsidR="009824FF" w:rsidRPr="00795698">
        <w:rPr>
          <w:rFonts w:ascii="Garamond" w:hAnsi="Garamond"/>
          <w:b/>
          <w:lang w:val="sq-AL"/>
        </w:rPr>
        <w:t xml:space="preserve">Me Letoninë </w:t>
      </w:r>
      <w:r w:rsidR="00607049" w:rsidRPr="00795698">
        <w:rPr>
          <w:rFonts w:ascii="Garamond" w:hAnsi="Garamond"/>
          <w:b/>
          <w:lang w:val="sq-AL"/>
        </w:rPr>
        <w:t>–</w:t>
      </w:r>
      <w:r w:rsidR="009824FF" w:rsidRPr="00795698">
        <w:rPr>
          <w:rFonts w:ascii="Garamond" w:hAnsi="Garamond"/>
          <w:b/>
          <w:lang w:val="sq-AL"/>
        </w:rPr>
        <w:t xml:space="preserve"> </w:t>
      </w:r>
      <w:r w:rsidR="00607049" w:rsidRPr="00795698">
        <w:rPr>
          <w:rFonts w:ascii="Garamond" w:hAnsi="Garamond"/>
          <w:lang w:val="sq-AL"/>
        </w:rPr>
        <w:t>m</w:t>
      </w:r>
      <w:r w:rsidR="009824FF" w:rsidRPr="00795698">
        <w:rPr>
          <w:rFonts w:ascii="Garamond" w:hAnsi="Garamond"/>
          <w:lang w:val="sq-AL"/>
        </w:rPr>
        <w:t>bi</w:t>
      </w:r>
      <w:r w:rsidR="00607049" w:rsidRPr="00795698">
        <w:rPr>
          <w:rFonts w:ascii="Garamond" w:hAnsi="Garamond"/>
          <w:lang w:val="sq-AL"/>
        </w:rPr>
        <w:t xml:space="preserve"> </w:t>
      </w:r>
      <w:r w:rsidR="009824FF" w:rsidRPr="00795698">
        <w:rPr>
          <w:rFonts w:ascii="Garamond" w:hAnsi="Garamond"/>
          <w:lang w:val="sq-AL"/>
        </w:rPr>
        <w:t>bashkëpunimin në luftën kundër terrorizmit, krimit të organizuar, trafikimit të paligjshëm të drogave narkotike, substancave psikotrope dhe prekursorëve, nënshkruar më 16.12.2009.</w:t>
      </w:r>
    </w:p>
    <w:p w14:paraId="5FEEF555" w14:textId="25E5A2DC" w:rsidR="009824FF" w:rsidRPr="00795698" w:rsidRDefault="00A037C5" w:rsidP="00A037C5">
      <w:pPr>
        <w:pStyle w:val="NoSpacing"/>
        <w:shd w:val="clear" w:color="auto" w:fill="FFFFFF"/>
        <w:ind w:firstLine="284"/>
        <w:jc w:val="both"/>
        <w:rPr>
          <w:rFonts w:ascii="Garamond" w:hAnsi="Garamond"/>
          <w:bCs/>
          <w:lang w:val="sq-AL"/>
        </w:rPr>
      </w:pPr>
      <w:r w:rsidRPr="00795698">
        <w:rPr>
          <w:rFonts w:ascii="Garamond" w:hAnsi="Garamond"/>
          <w:b/>
          <w:lang w:val="sq-AL"/>
        </w:rPr>
        <w:lastRenderedPageBreak/>
        <w:t xml:space="preserve">17. </w:t>
      </w:r>
      <w:r w:rsidR="009824FF" w:rsidRPr="00795698">
        <w:rPr>
          <w:rFonts w:ascii="Garamond" w:hAnsi="Garamond"/>
          <w:b/>
          <w:lang w:val="sq-AL"/>
        </w:rPr>
        <w:t xml:space="preserve">Me Italinë </w:t>
      </w:r>
      <w:r w:rsidR="00D10A07" w:rsidRPr="00795698">
        <w:rPr>
          <w:rFonts w:ascii="Garamond" w:hAnsi="Garamond"/>
          <w:b/>
          <w:lang w:val="sq-AL"/>
        </w:rPr>
        <w:t>–</w:t>
      </w:r>
      <w:r w:rsidR="009824FF" w:rsidRPr="00795698">
        <w:rPr>
          <w:rFonts w:ascii="Garamond" w:hAnsi="Garamond"/>
          <w:b/>
          <w:lang w:val="sq-AL"/>
        </w:rPr>
        <w:t xml:space="preserve"> </w:t>
      </w:r>
      <w:r w:rsidR="00D10A07" w:rsidRPr="00795698">
        <w:rPr>
          <w:rFonts w:ascii="Garamond" w:hAnsi="Garamond"/>
          <w:bCs/>
          <w:lang w:val="sq-AL"/>
        </w:rPr>
        <w:t>p</w:t>
      </w:r>
      <w:r w:rsidR="009824FF" w:rsidRPr="00795698">
        <w:rPr>
          <w:rFonts w:ascii="Garamond" w:hAnsi="Garamond"/>
          <w:bCs/>
          <w:lang w:val="sq-AL"/>
        </w:rPr>
        <w:t>rotokolli</w:t>
      </w:r>
      <w:r w:rsidR="00D10A07" w:rsidRPr="00795698">
        <w:rPr>
          <w:rFonts w:ascii="Garamond" w:hAnsi="Garamond"/>
          <w:bCs/>
          <w:lang w:val="sq-AL"/>
        </w:rPr>
        <w:t xml:space="preserve"> </w:t>
      </w:r>
      <w:r w:rsidR="009824FF" w:rsidRPr="00795698">
        <w:rPr>
          <w:rFonts w:ascii="Garamond" w:hAnsi="Garamond"/>
          <w:bCs/>
          <w:lang w:val="sq-AL"/>
        </w:rPr>
        <w:t xml:space="preserve">mes Ministrisë së Brendshme të Republikës së Shqipërisë dhe Ministrisë së Brendshme të Republikës Italiane “Mbi forcimin e bashkëpunimit dypalësh në luftën kundër terrorizmit dhe trafikimit të qenieve njerëzore”, nënshkruar më 3 </w:t>
      </w:r>
      <w:r w:rsidR="00D10A07" w:rsidRPr="00795698">
        <w:rPr>
          <w:rFonts w:ascii="Garamond" w:hAnsi="Garamond"/>
          <w:bCs/>
          <w:lang w:val="sq-AL"/>
        </w:rPr>
        <w:t>n</w:t>
      </w:r>
      <w:r w:rsidR="009824FF" w:rsidRPr="00795698">
        <w:rPr>
          <w:rFonts w:ascii="Garamond" w:hAnsi="Garamond"/>
          <w:bCs/>
          <w:lang w:val="sq-AL"/>
        </w:rPr>
        <w:t>ëntor 2017 në Tiranë, hyrë në fuqi datën e nënshkrimit.</w:t>
      </w:r>
    </w:p>
    <w:p w14:paraId="5FEEF556" w14:textId="77777777" w:rsidR="009824FF" w:rsidRPr="00795698" w:rsidRDefault="009824FF" w:rsidP="009824FF">
      <w:pPr>
        <w:pStyle w:val="Heading2"/>
        <w:spacing w:before="0"/>
        <w:ind w:firstLine="284"/>
        <w:rPr>
          <w:rFonts w:ascii="Garamond" w:hAnsi="Garamond"/>
          <w:color w:val="000000" w:themeColor="text1"/>
          <w:sz w:val="24"/>
          <w:szCs w:val="24"/>
        </w:rPr>
      </w:pPr>
      <w:bookmarkStart w:id="23" w:name="_Toc108644258"/>
      <w:r w:rsidRPr="00795698">
        <w:rPr>
          <w:rFonts w:ascii="Garamond" w:hAnsi="Garamond"/>
          <w:color w:val="000000" w:themeColor="text1"/>
          <w:sz w:val="24"/>
          <w:szCs w:val="24"/>
        </w:rPr>
        <w:t>1.1.2 Kuadri institucional</w:t>
      </w:r>
      <w:bookmarkEnd w:id="23"/>
      <w:r w:rsidRPr="00795698">
        <w:rPr>
          <w:rFonts w:ascii="Garamond" w:hAnsi="Garamond"/>
          <w:color w:val="000000" w:themeColor="text1"/>
          <w:sz w:val="24"/>
          <w:szCs w:val="24"/>
        </w:rPr>
        <w:t xml:space="preserve"> </w:t>
      </w:r>
    </w:p>
    <w:p w14:paraId="5FEEF557" w14:textId="11F6A41D" w:rsidR="009824FF" w:rsidRPr="00795698" w:rsidRDefault="009824FF" w:rsidP="009824FF">
      <w:pPr>
        <w:ind w:firstLine="284"/>
        <w:jc w:val="both"/>
        <w:rPr>
          <w:rFonts w:ascii="Garamond" w:hAnsi="Garamond"/>
        </w:rPr>
      </w:pPr>
      <w:r w:rsidRPr="00795698">
        <w:rPr>
          <w:rFonts w:ascii="Garamond" w:hAnsi="Garamond"/>
        </w:rPr>
        <w:t>Përpjekjet për parandalimin e ekstremizmit të dhunshëm që çojnë në terrorizëm kërkojnë përfshirjen dhe bashkëpunimin e aktorëve publik e privat nga niveli qendror tek ai vendor me qëllim garantimin e ndërveprimit, koordinimit dhe ndarjes së informacionit midis aktorëve të përfshirë në këtë pro</w:t>
      </w:r>
      <w:r w:rsidR="00D10A07" w:rsidRPr="00795698">
        <w:rPr>
          <w:rFonts w:ascii="Garamond" w:hAnsi="Garamond"/>
        </w:rPr>
        <w:t>c</w:t>
      </w:r>
      <w:r w:rsidRPr="00795698">
        <w:rPr>
          <w:rFonts w:ascii="Garamond" w:hAnsi="Garamond"/>
        </w:rPr>
        <w:t>es.</w:t>
      </w:r>
    </w:p>
    <w:p w14:paraId="5FEEF558" w14:textId="77777777" w:rsidR="009824FF" w:rsidRPr="00795698" w:rsidRDefault="009824FF" w:rsidP="009824FF">
      <w:pPr>
        <w:ind w:firstLine="284"/>
        <w:jc w:val="both"/>
        <w:rPr>
          <w:rFonts w:ascii="Garamond" w:hAnsi="Garamond"/>
        </w:rPr>
      </w:pPr>
      <w:r w:rsidRPr="00795698">
        <w:rPr>
          <w:rFonts w:ascii="Garamond" w:hAnsi="Garamond"/>
        </w:rPr>
        <w:t>Institucionet që kanë një rol thelbësor në parandalimin e ekstremizmit të dhunshëm që çojnë në terrorizëm janë:</w:t>
      </w:r>
    </w:p>
    <w:p w14:paraId="5FEEF559" w14:textId="77777777" w:rsidR="009824FF" w:rsidRPr="00795698" w:rsidRDefault="009824FF" w:rsidP="009824FF">
      <w:pPr>
        <w:ind w:firstLine="284"/>
        <w:jc w:val="both"/>
        <w:rPr>
          <w:rFonts w:ascii="Garamond" w:hAnsi="Garamond"/>
        </w:rPr>
      </w:pPr>
      <w:r w:rsidRPr="00795698">
        <w:rPr>
          <w:rFonts w:ascii="Garamond" w:hAnsi="Garamond"/>
          <w:b/>
          <w:i/>
          <w:iCs/>
        </w:rPr>
        <w:t xml:space="preserve">Ministria e Brendshme </w:t>
      </w:r>
      <w:r w:rsidRPr="00795698">
        <w:rPr>
          <w:rFonts w:ascii="Garamond" w:hAnsi="Garamond"/>
          <w:b/>
          <w:iCs/>
        </w:rPr>
        <w:t>(MB)</w:t>
      </w:r>
      <w:r w:rsidRPr="00795698">
        <w:rPr>
          <w:rFonts w:ascii="Garamond" w:hAnsi="Garamond"/>
        </w:rPr>
        <w:t xml:space="preserve"> luan një rol thelbësor në zbatimin e kësaj strategjie duke u fokusuar tek ushtrimi i veprimtarisë së saj në fushën e përgjegjësisë shtetërore që lidhet specifikisht me luftën kundër ekstremizmit të dhunshëm dhe terrorizmit por edhe me rendin e sigurinë publike, në kuadër të bashkërendimit me njësitë e vetëqeverisjes vendore. Ministria e Brendshme dhe institucionet e saj të varësisë si: </w:t>
      </w:r>
      <w:r w:rsidRPr="00795698">
        <w:rPr>
          <w:rFonts w:ascii="Garamond" w:hAnsi="Garamond"/>
          <w:i/>
          <w:iCs/>
        </w:rPr>
        <w:t>Agjencia për Mbështetjen e Vetëqeverisjes Vendore</w:t>
      </w:r>
      <w:r w:rsidRPr="00795698">
        <w:rPr>
          <w:rFonts w:ascii="Garamond" w:hAnsi="Garamond"/>
        </w:rPr>
        <w:t xml:space="preserve">, </w:t>
      </w:r>
      <w:r w:rsidRPr="00795698">
        <w:rPr>
          <w:rFonts w:ascii="Garamond" w:hAnsi="Garamond"/>
          <w:i/>
          <w:iCs/>
        </w:rPr>
        <w:t>Strukturat e sigurisë publike dhe ato të policimit në komunitet të Policisë së Shtetit</w:t>
      </w:r>
      <w:r w:rsidRPr="00795698">
        <w:rPr>
          <w:rFonts w:ascii="Garamond" w:hAnsi="Garamond"/>
        </w:rPr>
        <w:t xml:space="preserve"> dhe </w:t>
      </w:r>
      <w:r w:rsidRPr="00795698">
        <w:rPr>
          <w:rFonts w:ascii="Garamond" w:hAnsi="Garamond"/>
          <w:i/>
          <w:iCs/>
        </w:rPr>
        <w:t>Akademia e Policisë</w:t>
      </w:r>
      <w:r w:rsidRPr="00795698">
        <w:rPr>
          <w:rFonts w:ascii="Garamond" w:hAnsi="Garamond"/>
        </w:rPr>
        <w:t xml:space="preserve"> ushtrojnë detyra të rëndësishme që lidhen me arritjen e objektivave dhe realizimin e masave të Strategjisë edhe Planit të Veprimit. </w:t>
      </w:r>
    </w:p>
    <w:p w14:paraId="5FEEF55A" w14:textId="6E904DF6" w:rsidR="009824FF" w:rsidRPr="00795698" w:rsidRDefault="009824FF" w:rsidP="009824FF">
      <w:pPr>
        <w:ind w:firstLine="284"/>
        <w:jc w:val="both"/>
        <w:rPr>
          <w:rFonts w:ascii="Garamond" w:hAnsi="Garamond"/>
        </w:rPr>
      </w:pPr>
      <w:r w:rsidRPr="00795698">
        <w:rPr>
          <w:rFonts w:ascii="Garamond" w:hAnsi="Garamond"/>
          <w:b/>
          <w:i/>
          <w:iCs/>
        </w:rPr>
        <w:t>Qendra e Koordinimit kundër Ekstremizmit të Dhunshëm</w:t>
      </w:r>
      <w:r w:rsidRPr="00795698">
        <w:rPr>
          <w:rFonts w:ascii="Garamond" w:hAnsi="Garamond"/>
        </w:rPr>
        <w:t xml:space="preserve"> (QKEDH), e cila ka për mision parandalimin e përhapjes së radikalizimit dhe ekstremizmit të dhunshëm nëpërmjet realizimit të përpjekjeve të lokalizuara, fuqizimit të të rinjve, familjes, grave dhe pakicave, duke i kanalizuar këto përpjekje drejt rrjeteve fetare, kulturore dhe arsimore si dhe përfshirjes së medias dhe shoqërisë civile. QKEDH-ja luan një rol kryesor në monitorimin dhe zbatimin e Strategjisë Kombëtare për Parandalimin e Ekstremizmit të Dhunshëm dhe Luftën kundër terrorizmit duke bashkëpunuar me institucionet përgjegjëse në drejtim të përmbushjes së përgjegjësive të tyre. Ndër të tjera, me rëndësi konsiderohet edhe zhvillimi i kapaciteteve të aktorëve të përfshirë në identifikimin dhe parandalimin e radikalizimit dhe ekstremizmit të dhunshëm që çojnë në terrorizëm. Gjithashtu, ky institucion dizenjon, zbaton dhe monitoron vetë ose në bashkëpunim me </w:t>
      </w:r>
      <w:r w:rsidR="00D10A07" w:rsidRPr="00795698">
        <w:rPr>
          <w:rFonts w:ascii="Garamond" w:hAnsi="Garamond"/>
        </w:rPr>
        <w:t>institucione</w:t>
      </w:r>
      <w:r w:rsidRPr="00795698">
        <w:rPr>
          <w:rFonts w:ascii="Garamond" w:hAnsi="Garamond"/>
        </w:rPr>
        <w:t xml:space="preserve"> të tjera projekte dhe veprimtari që kanë në fokus kundërshtimin e radikalizimit dhe parandalimin e ekstremizmit të dhunshëm që çon në terrorizëm. </w:t>
      </w:r>
    </w:p>
    <w:p w14:paraId="5FEEF55B" w14:textId="77777777" w:rsidR="009824FF" w:rsidRPr="00795698" w:rsidRDefault="009824FF" w:rsidP="009824FF">
      <w:pPr>
        <w:ind w:firstLine="284"/>
        <w:jc w:val="both"/>
        <w:rPr>
          <w:rFonts w:ascii="Garamond" w:hAnsi="Garamond"/>
        </w:rPr>
      </w:pPr>
      <w:r w:rsidRPr="00795698">
        <w:rPr>
          <w:rFonts w:ascii="Garamond" w:hAnsi="Garamond"/>
          <w:b/>
          <w:i/>
          <w:iCs/>
        </w:rPr>
        <w:t>Ministria e Drejtësisë</w:t>
      </w:r>
      <w:r w:rsidRPr="00795698">
        <w:rPr>
          <w:rFonts w:ascii="Garamond" w:hAnsi="Garamond"/>
        </w:rPr>
        <w:t xml:space="preserve"> (MD) nëpërmjet Drejtorisë së Përgjithshme të Burgjeve dhe Shërbimit të Provës luajnë një rol të rëndësishëm në kundërshtimin dhe parandalimin e radikalizimit dhe ekstremizmit të dhunshëm që çon në terrorizëm, duke qenë se ky fenomen gjen terren të favorshëm tek të dënuarit që vuajnë masën e dënimit në këto institucione.</w:t>
      </w:r>
    </w:p>
    <w:p w14:paraId="5FEEF55C" w14:textId="2DC635B4" w:rsidR="009824FF" w:rsidRPr="00795698" w:rsidRDefault="009824FF" w:rsidP="009824FF">
      <w:pPr>
        <w:ind w:firstLine="284"/>
        <w:jc w:val="both"/>
        <w:rPr>
          <w:rFonts w:ascii="Garamond" w:hAnsi="Garamond"/>
        </w:rPr>
      </w:pPr>
      <w:r w:rsidRPr="00795698">
        <w:rPr>
          <w:rFonts w:ascii="Garamond" w:hAnsi="Garamond"/>
        </w:rPr>
        <w:t xml:space="preserve">Përveç institucioneve të sipërpërmendura, janë edhe </w:t>
      </w:r>
      <w:r w:rsidRPr="00795698">
        <w:rPr>
          <w:rFonts w:ascii="Garamond" w:hAnsi="Garamond"/>
          <w:b/>
          <w:i/>
          <w:iCs/>
        </w:rPr>
        <w:t>Ministria e Shëndetësisë dhe Mbrojtjes Sociale</w:t>
      </w:r>
      <w:r w:rsidRPr="00795698">
        <w:rPr>
          <w:rFonts w:ascii="Garamond" w:hAnsi="Garamond"/>
          <w:i/>
          <w:iCs/>
        </w:rPr>
        <w:t xml:space="preserve"> </w:t>
      </w:r>
      <w:r w:rsidRPr="00795698">
        <w:rPr>
          <w:rFonts w:ascii="Garamond" w:hAnsi="Garamond"/>
          <w:iCs/>
        </w:rPr>
        <w:t>(MSHMS)</w:t>
      </w:r>
      <w:r w:rsidRPr="00795698">
        <w:rPr>
          <w:rFonts w:ascii="Garamond" w:hAnsi="Garamond"/>
        </w:rPr>
        <w:t xml:space="preserve">, </w:t>
      </w:r>
      <w:r w:rsidRPr="00795698">
        <w:rPr>
          <w:rFonts w:ascii="Garamond" w:hAnsi="Garamond"/>
          <w:b/>
          <w:i/>
          <w:iCs/>
        </w:rPr>
        <w:t>Ministria e Arsimit dhe Sportit</w:t>
      </w:r>
      <w:r w:rsidRPr="00795698">
        <w:rPr>
          <w:rFonts w:ascii="Garamond" w:hAnsi="Garamond"/>
          <w:i/>
          <w:iCs/>
        </w:rPr>
        <w:t xml:space="preserve"> </w:t>
      </w:r>
      <w:r w:rsidRPr="00795698">
        <w:rPr>
          <w:rFonts w:ascii="Garamond" w:hAnsi="Garamond"/>
          <w:iCs/>
        </w:rPr>
        <w:t>(MAS)</w:t>
      </w:r>
      <w:r w:rsidRPr="00795698">
        <w:rPr>
          <w:rFonts w:ascii="Garamond" w:hAnsi="Garamond"/>
        </w:rPr>
        <w:t xml:space="preserve">, </w:t>
      </w:r>
      <w:r w:rsidRPr="00795698">
        <w:rPr>
          <w:rFonts w:ascii="Garamond" w:hAnsi="Garamond"/>
          <w:b/>
          <w:i/>
          <w:iCs/>
        </w:rPr>
        <w:t>Ministria e Financave dhe Ekonomisë</w:t>
      </w:r>
      <w:r w:rsidR="007C064A" w:rsidRPr="00795698">
        <w:rPr>
          <w:rFonts w:ascii="Garamond" w:hAnsi="Garamond"/>
        </w:rPr>
        <w:t xml:space="preserve"> </w:t>
      </w:r>
      <w:r w:rsidRPr="00795698">
        <w:rPr>
          <w:rFonts w:ascii="Garamond" w:hAnsi="Garamond"/>
        </w:rPr>
        <w:t xml:space="preserve">(MFE) dhe </w:t>
      </w:r>
      <w:r w:rsidRPr="00795698">
        <w:rPr>
          <w:rFonts w:ascii="Garamond" w:hAnsi="Garamond"/>
          <w:b/>
          <w:i/>
          <w:iCs/>
        </w:rPr>
        <w:t>Njësitë e Vetëqeverisjes Vendore</w:t>
      </w:r>
      <w:r w:rsidRPr="00795698">
        <w:rPr>
          <w:rFonts w:ascii="Garamond" w:hAnsi="Garamond"/>
        </w:rPr>
        <w:t xml:space="preserve"> që luajnë një rol të rëndësishëm në adresimin e faktorëve nxitës e shtytës si dhe në indentifikimin e hershëm të shenjave të radikalizmit dhe ektremizmit të </w:t>
      </w:r>
      <w:r w:rsidR="00D10A07" w:rsidRPr="00795698">
        <w:rPr>
          <w:rFonts w:ascii="Garamond" w:hAnsi="Garamond"/>
        </w:rPr>
        <w:t>dhunshëm</w:t>
      </w:r>
      <w:r w:rsidRPr="00795698">
        <w:rPr>
          <w:rFonts w:ascii="Garamond" w:hAnsi="Garamond"/>
        </w:rPr>
        <w:t xml:space="preserve"> që çojnë në terrorizëm, duke mundësuar kështu parandalimin dhe rehabilitim/riintegrimin e individëve të prekur nga ky fenomen. </w:t>
      </w:r>
    </w:p>
    <w:p w14:paraId="5FEEF55D" w14:textId="2806F789"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Cs/>
          <w:lang w:val="sq-AL"/>
        </w:rPr>
        <w:t>Në luftën kundër terrorizmit përfshihen një numër i madh e institucioneve shqiptare</w:t>
      </w:r>
      <w:r w:rsidR="00D10A07" w:rsidRPr="00795698">
        <w:rPr>
          <w:rFonts w:ascii="Garamond" w:hAnsi="Garamond"/>
          <w:bCs/>
          <w:lang w:val="sq-AL"/>
        </w:rPr>
        <w:t>,</w:t>
      </w:r>
      <w:r w:rsidRPr="00795698">
        <w:rPr>
          <w:rFonts w:ascii="Garamond" w:hAnsi="Garamond"/>
          <w:bCs/>
          <w:lang w:val="sq-AL"/>
        </w:rPr>
        <w:t xml:space="preserve"> si: </w:t>
      </w:r>
    </w:p>
    <w:p w14:paraId="5FEEF55E"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 xml:space="preserve">Ministria e Brendshme: </w:t>
      </w:r>
    </w:p>
    <w:p w14:paraId="5FEEF55F"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Policia e Shtetit</w:t>
      </w:r>
    </w:p>
    <w:p w14:paraId="5FEEF560"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Cs/>
          <w:lang w:val="sq-AL"/>
        </w:rPr>
        <w:t>Në përbërje të Policisë së Shtetit funksionon Drejtoria e Antiterrorit, me shtrirje strukturore në të gjithë territorin e vendit. Funksionet kryesore të Drejtorisë janë parandalimi, identifikimi, gjurmimi dhe hetimi i personave të dyshuar si të përfshirë në vepra terroriste.</w:t>
      </w:r>
    </w:p>
    <w:p w14:paraId="5FEEF561"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
          <w:bCs/>
          <w:lang w:val="sq-AL"/>
        </w:rPr>
        <w:lastRenderedPageBreak/>
        <w:t>Agjencia e Administrimit të Aseteve Kriminale (AAPSK)</w:t>
      </w:r>
      <w:r w:rsidRPr="00795698">
        <w:rPr>
          <w:rFonts w:ascii="Garamond" w:hAnsi="Garamond"/>
          <w:bCs/>
          <w:lang w:val="sq-AL"/>
        </w:rPr>
        <w:t xml:space="preserve"> për administrimin e fondeve dhe të pasurive të sekuestruara e konfiskuara.</w:t>
      </w:r>
    </w:p>
    <w:p w14:paraId="5FEEF562"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 xml:space="preserve">Shërbimi Informativ Shtetëror </w:t>
      </w:r>
    </w:p>
    <w:p w14:paraId="5FEEF563"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Cs/>
          <w:lang w:val="sq-AL"/>
        </w:rPr>
        <w:t>Shërbimi Informativ Shtetëror (SHISH), i krijuar me ligjin nr. 8391, datë 28.10.1998, mbledh informacion nga jashtë në funksion të sigurimit kombëtar, kryen veprimtari kundërzbulimi për ruajtjen e integritetit, të pavarësisë e të rendit kushtetues. SHISH mbledh informacion për terrorizmin, për prodhimin dhe trafikun e narkotikëve, për prodhimin e armëve të dëmtimit në masë, për krimet kundër mjedisit, mbledh informacion për krimin e organizuar, krime që cenojnë sigurinë kombëtare.</w:t>
      </w:r>
      <w:r w:rsidRPr="00795698">
        <w:rPr>
          <w:rFonts w:ascii="Garamond" w:hAnsi="Garamond"/>
          <w:b/>
          <w:bCs/>
          <w:lang w:val="sq-AL"/>
        </w:rPr>
        <w:t xml:space="preserve"> </w:t>
      </w:r>
    </w:p>
    <w:p w14:paraId="5FEEF564" w14:textId="7F1E08D4"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bookmarkStart w:id="24" w:name="_Hlk59656535"/>
      <w:r w:rsidRPr="00795698">
        <w:rPr>
          <w:rFonts w:ascii="Garamond" w:hAnsi="Garamond"/>
          <w:b/>
          <w:bCs/>
          <w:lang w:val="sq-AL"/>
        </w:rPr>
        <w:t xml:space="preserve">Prokuroria e Posaçme </w:t>
      </w:r>
      <w:r w:rsidR="00F663C6" w:rsidRPr="00795698">
        <w:rPr>
          <w:rFonts w:ascii="Garamond" w:hAnsi="Garamond"/>
          <w:b/>
          <w:bCs/>
          <w:lang w:val="sq-AL"/>
        </w:rPr>
        <w:t>k</w:t>
      </w:r>
      <w:r w:rsidRPr="00795698">
        <w:rPr>
          <w:rFonts w:ascii="Garamond" w:hAnsi="Garamond"/>
          <w:b/>
          <w:bCs/>
          <w:lang w:val="sq-AL"/>
        </w:rPr>
        <w:t>undër Korrupsionit dhe Krimit të Organizuar</w:t>
      </w:r>
    </w:p>
    <w:bookmarkEnd w:id="24"/>
    <w:p w14:paraId="5FEEF565" w14:textId="3E459D09"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Cs/>
          <w:lang w:val="sq-AL"/>
        </w:rPr>
        <w:t>Prokuroria e Posaçme dhe Njësia e Posaçme Hetimore për ndjekjen penale dhe hetimin e veprave penale të korrupsionit, krimit të organizuar dhe çështjeve penale sipas nenit 135, paragrafi 2, të Kushtetutës janë të pavarura nga Prokurori i Përgjithshëm. Njësia e Posaçme Hetimore është në</w:t>
      </w:r>
      <w:r w:rsidR="00F663C6" w:rsidRPr="00795698">
        <w:rPr>
          <w:rFonts w:ascii="Garamond" w:hAnsi="Garamond"/>
          <w:bCs/>
          <w:lang w:val="sq-AL"/>
        </w:rPr>
        <w:t xml:space="preserve"> </w:t>
      </w:r>
      <w:r w:rsidRPr="00795698">
        <w:rPr>
          <w:rFonts w:ascii="Garamond" w:hAnsi="Garamond"/>
          <w:bCs/>
          <w:lang w:val="sq-AL"/>
        </w:rPr>
        <w:t>varësi të Prokurorisë së Posaçme. Prokuroria e Posaçme ushtron ndjekjen penale dhe përfaqëson akuzën në emër të shtetit para Gjykata vetë posaçme për veprat penale. Çdo vepër penale e kryer nga grupi i strukturuar kriminal, organizata kriminale, organizata terroriste dhe banda e armatosur, sipas përcaktime vetë Kodit Penal.</w:t>
      </w:r>
    </w:p>
    <w:p w14:paraId="5FEEF566"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Ministria e Mbrojtjes</w:t>
      </w:r>
    </w:p>
    <w:p w14:paraId="5FEEF567" w14:textId="28D4EDD8"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
          <w:bCs/>
          <w:lang w:val="sq-AL"/>
        </w:rPr>
        <w:t>Agjencia e Inteligjencës dhe Sigurisë së Mbrojtjes</w:t>
      </w:r>
      <w:r w:rsidRPr="00795698">
        <w:rPr>
          <w:rFonts w:ascii="Garamond" w:hAnsi="Garamond"/>
          <w:bCs/>
          <w:lang w:val="sq-AL"/>
        </w:rPr>
        <w:t>, në varësi të ministrit të Mbrojtjes dhe funksionon bazuar në ligjin nr. 65/2014</w:t>
      </w:r>
      <w:r w:rsidR="00B27780" w:rsidRPr="00795698">
        <w:rPr>
          <w:rFonts w:ascii="Garamond" w:hAnsi="Garamond"/>
          <w:bCs/>
          <w:lang w:val="sq-AL"/>
        </w:rPr>
        <w:t>,</w:t>
      </w:r>
      <w:r w:rsidRPr="00795698">
        <w:rPr>
          <w:rFonts w:ascii="Garamond" w:hAnsi="Garamond"/>
          <w:bCs/>
          <w:lang w:val="sq-AL"/>
        </w:rPr>
        <w:t xml:space="preserve"> “Për Agjencinë e Inteligjencës dhe Sigurisë së Mbrojtjes”. Ligji përcakton mënyrat e marrjes, administrimit dhe</w:t>
      </w:r>
      <w:r w:rsidR="00E86E7D" w:rsidRPr="00795698">
        <w:rPr>
          <w:rFonts w:ascii="Garamond" w:hAnsi="Garamond"/>
          <w:bCs/>
          <w:lang w:val="sq-AL"/>
        </w:rPr>
        <w:t xml:space="preserve"> </w:t>
      </w:r>
      <w:r w:rsidRPr="00795698">
        <w:rPr>
          <w:rFonts w:ascii="Garamond" w:hAnsi="Garamond"/>
          <w:bCs/>
          <w:lang w:val="sq-AL"/>
        </w:rPr>
        <w:t>shpërndarjes së</w:t>
      </w:r>
      <w:r w:rsidR="00E86E7D" w:rsidRPr="00795698">
        <w:rPr>
          <w:rFonts w:ascii="Garamond" w:hAnsi="Garamond"/>
          <w:bCs/>
          <w:lang w:val="sq-AL"/>
        </w:rPr>
        <w:t xml:space="preserve"> </w:t>
      </w:r>
      <w:r w:rsidRPr="00795698">
        <w:rPr>
          <w:rFonts w:ascii="Garamond" w:hAnsi="Garamond"/>
          <w:bCs/>
          <w:lang w:val="sq-AL"/>
        </w:rPr>
        <w:t>informacionit të klasifikuar kundër terrorizmit.</w:t>
      </w:r>
    </w:p>
    <w:p w14:paraId="5FEEF568"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 xml:space="preserve">Ministria e Financave: </w:t>
      </w:r>
    </w:p>
    <w:p w14:paraId="5FEEF569"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
          <w:bCs/>
          <w:lang w:val="sq-AL"/>
        </w:rPr>
        <w:t>Drejtoria e Përgjithshme e Parandalimit të Pastrimit të Parave (DPPPP)</w:t>
      </w:r>
      <w:r w:rsidRPr="00795698">
        <w:rPr>
          <w:rFonts w:ascii="Garamond" w:hAnsi="Garamond"/>
          <w:bCs/>
          <w:lang w:val="sq-AL"/>
        </w:rPr>
        <w:t xml:space="preserve"> shërben si njësi e specializuar financiare për parandalimin dhe luftën kundër pastrimit të parave dhe financimit të terrorizmit. Kjo drejtori funksionon si qendër kombëtare e ngarkuar me mbledhjen, analizimin dhe shpërndarjen tek agjencitë e zbatimit të ligjit të të dhënave për veprimtaritë e mundshme të pastrimit të parave të financimit të terrorizmit.</w:t>
      </w:r>
      <w:r w:rsidRPr="00795698">
        <w:rPr>
          <w:rFonts w:ascii="Garamond" w:hAnsi="Garamond"/>
          <w:lang w:val="sq-AL"/>
        </w:rPr>
        <w:t xml:space="preserve"> </w:t>
      </w:r>
      <w:r w:rsidRPr="00795698">
        <w:rPr>
          <w:rFonts w:ascii="Garamond" w:hAnsi="Garamond"/>
          <w:bCs/>
          <w:lang w:val="sq-AL"/>
        </w:rPr>
        <w:t>Në kuadër të ushtrimit të funksioneve mbikëqyrëse, të kontrollojë zbatimin e programeve të luftës kundër pastrimit të parave dhe financimit të terrorizmit.</w:t>
      </w:r>
    </w:p>
    <w:p w14:paraId="5FEEF56A"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
          <w:bCs/>
          <w:lang w:val="sq-AL"/>
        </w:rPr>
        <w:t>Drejtoria e Përgjithshme e Doganave (DPD)</w:t>
      </w:r>
      <w:r w:rsidRPr="00795698">
        <w:rPr>
          <w:rFonts w:ascii="Garamond" w:hAnsi="Garamond"/>
          <w:bCs/>
          <w:lang w:val="sq-AL"/>
        </w:rPr>
        <w:t xml:space="preserve"> bashkëvepron me strukturat e tjera të zbatimit të ligjit në funksion të realizimit të misionit të saj për garantimin e sigurisë dhe të rendit publik në porte dhe aeroporte, duke përfshirë dhe masat në kuadër të luftës kundër terrorizmit.</w:t>
      </w:r>
    </w:p>
    <w:p w14:paraId="5FEEF56B"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Banka e Shqipërisë</w:t>
      </w:r>
    </w:p>
    <w:p w14:paraId="5FEEF56C"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Cs/>
          <w:lang w:val="sq-AL"/>
        </w:rPr>
        <w:t>Banka e Shqipërisë, në kuadër të ushtrimit të funksioneve si autoritet mbikëqyrës, për subjektet nën juridiksionin e saj, të kontrollojë zbatimin e programeve të luftës kundër pastrimit të parave dhe financimit të terrorizmit.</w:t>
      </w:r>
    </w:p>
    <w:p w14:paraId="5FEEF56D" w14:textId="77777777" w:rsidR="009824FF" w:rsidRPr="00795698" w:rsidRDefault="009824FF" w:rsidP="009824FF">
      <w:pPr>
        <w:pStyle w:val="paragraph"/>
        <w:spacing w:before="0" w:beforeAutospacing="0" w:after="0" w:afterAutospacing="0"/>
        <w:ind w:firstLine="284"/>
        <w:jc w:val="both"/>
        <w:textAlignment w:val="baseline"/>
        <w:rPr>
          <w:rFonts w:ascii="Garamond" w:hAnsi="Garamond"/>
          <w:b/>
          <w:bCs/>
          <w:lang w:val="sq-AL"/>
        </w:rPr>
      </w:pPr>
      <w:r w:rsidRPr="00795698">
        <w:rPr>
          <w:rFonts w:ascii="Garamond" w:hAnsi="Garamond"/>
          <w:b/>
          <w:bCs/>
          <w:lang w:val="sq-AL"/>
        </w:rPr>
        <w:t>Ministria e Drejtësisë</w:t>
      </w:r>
    </w:p>
    <w:p w14:paraId="5FEEF56E" w14:textId="63294955"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Cs/>
          <w:lang w:val="sq-AL"/>
        </w:rPr>
        <w:t>Ministria e Drejtësisë, nëpërmjet strukturave të saj, siguron bashkëpunimin e nevojshëm mes Prokurorisë, Interpolit dhe autoriteteve të huaja të drejtësisë në çështje që lidhen me luftën kundër krimit të organizuara po kundër terrorizmit dhe financimit të tij, në zbatim të ligjit nr.</w:t>
      </w:r>
      <w:r w:rsidR="00B27780" w:rsidRPr="00795698">
        <w:rPr>
          <w:rFonts w:ascii="Garamond" w:hAnsi="Garamond"/>
          <w:bCs/>
          <w:lang w:val="sq-AL"/>
        </w:rPr>
        <w:t xml:space="preserve"> </w:t>
      </w:r>
      <w:r w:rsidRPr="00795698">
        <w:rPr>
          <w:rFonts w:ascii="Garamond" w:hAnsi="Garamond"/>
          <w:bCs/>
          <w:lang w:val="sq-AL"/>
        </w:rPr>
        <w:t>10193, datë 3.12.2009</w:t>
      </w:r>
      <w:r w:rsidR="00B27780" w:rsidRPr="00795698">
        <w:rPr>
          <w:rFonts w:ascii="Garamond" w:hAnsi="Garamond"/>
          <w:bCs/>
          <w:lang w:val="sq-AL"/>
        </w:rPr>
        <w:t>,</w:t>
      </w:r>
      <w:r w:rsidRPr="00795698">
        <w:rPr>
          <w:rFonts w:ascii="Garamond" w:hAnsi="Garamond"/>
          <w:bCs/>
          <w:lang w:val="sq-AL"/>
        </w:rPr>
        <w:t xml:space="preserve"> “Për marrëdhëniet juridiksionale me autoritetet e huaja në çështjet penale”.</w:t>
      </w:r>
      <w:r w:rsidRPr="00795698">
        <w:rPr>
          <w:rFonts w:ascii="Garamond" w:hAnsi="Garamond"/>
          <w:lang w:val="sq-AL"/>
        </w:rPr>
        <w:t xml:space="preserve"> </w:t>
      </w:r>
      <w:r w:rsidRPr="00795698">
        <w:rPr>
          <w:rFonts w:ascii="Garamond" w:hAnsi="Garamond"/>
          <w:bCs/>
          <w:lang w:val="sq-AL"/>
        </w:rPr>
        <w:t xml:space="preserve">Drejtoria e Përgjithshme e Burgjeve dhe ajo e Shërbimit të Provës kanë një rol të rëndësishëm për parandalimin dhe kundërshtimin e ekstremizmit të dhunshëm dhe radikalizimit edhe për faktin që </w:t>
      </w:r>
      <w:r w:rsidR="00B27780" w:rsidRPr="00795698">
        <w:rPr>
          <w:rFonts w:ascii="Garamond" w:hAnsi="Garamond"/>
          <w:bCs/>
          <w:lang w:val="sq-AL"/>
        </w:rPr>
        <w:t>këto</w:t>
      </w:r>
      <w:r w:rsidRPr="00795698">
        <w:rPr>
          <w:rFonts w:ascii="Garamond" w:hAnsi="Garamond"/>
          <w:bCs/>
          <w:lang w:val="sq-AL"/>
        </w:rPr>
        <w:t xml:space="preserve"> fenomene janë shpesh të pranishme në mjediset apo shërbimet e këtyre institucioneve.</w:t>
      </w:r>
    </w:p>
    <w:p w14:paraId="5FEEF56F" w14:textId="2F345511" w:rsidR="009824FF" w:rsidRPr="00795698" w:rsidRDefault="009824FF" w:rsidP="009824FF">
      <w:pPr>
        <w:pStyle w:val="paragraph"/>
        <w:spacing w:before="0" w:beforeAutospacing="0" w:after="0" w:afterAutospacing="0"/>
        <w:ind w:firstLine="284"/>
        <w:jc w:val="both"/>
        <w:textAlignment w:val="baseline"/>
        <w:rPr>
          <w:rFonts w:ascii="Garamond" w:hAnsi="Garamond"/>
          <w:bCs/>
          <w:lang w:val="sq-AL"/>
        </w:rPr>
      </w:pPr>
      <w:r w:rsidRPr="00795698">
        <w:rPr>
          <w:rFonts w:ascii="Garamond" w:hAnsi="Garamond"/>
          <w:b/>
          <w:lang w:val="sq-AL"/>
        </w:rPr>
        <w:t>Ministria e Shëndetësisë dhe Mbrojtjes Sociale</w:t>
      </w:r>
      <w:r w:rsidRPr="00795698">
        <w:rPr>
          <w:rFonts w:ascii="Garamond" w:hAnsi="Garamond"/>
          <w:bCs/>
          <w:lang w:val="sq-AL"/>
        </w:rPr>
        <w:t xml:space="preserve">, </w:t>
      </w:r>
      <w:r w:rsidRPr="00795698">
        <w:rPr>
          <w:rFonts w:ascii="Garamond" w:hAnsi="Garamond"/>
          <w:b/>
          <w:lang w:val="sq-AL"/>
        </w:rPr>
        <w:t xml:space="preserve">Ministria e Arsimit dhe Sportit </w:t>
      </w:r>
      <w:r w:rsidRPr="00795698">
        <w:rPr>
          <w:rFonts w:ascii="Garamond" w:hAnsi="Garamond"/>
          <w:bCs/>
          <w:lang w:val="sq-AL"/>
        </w:rPr>
        <w:t xml:space="preserve">dhe </w:t>
      </w:r>
      <w:r w:rsidR="000C2409" w:rsidRPr="00795698">
        <w:rPr>
          <w:rFonts w:ascii="Garamond" w:hAnsi="Garamond"/>
          <w:b/>
          <w:lang w:val="sq-AL"/>
        </w:rPr>
        <w:t xml:space="preserve">njësitë e vetëqeverisjes vendore </w:t>
      </w:r>
      <w:r w:rsidRPr="00795698">
        <w:rPr>
          <w:rFonts w:ascii="Garamond" w:hAnsi="Garamond"/>
          <w:bCs/>
          <w:lang w:val="sq-AL"/>
        </w:rPr>
        <w:t>që kanë rol të rëndësishëm për adresimin e faktorëve nxitës e shtytës dhe parandalimin e fenomeneve të ekstremizmit të dhunshëm dhe radikalizimit</w:t>
      </w:r>
      <w:r w:rsidR="00B27780" w:rsidRPr="00795698">
        <w:rPr>
          <w:rFonts w:ascii="Garamond" w:hAnsi="Garamond"/>
          <w:bCs/>
          <w:lang w:val="sq-AL"/>
        </w:rPr>
        <w:t>,</w:t>
      </w:r>
      <w:r w:rsidRPr="00795698">
        <w:rPr>
          <w:rFonts w:ascii="Garamond" w:hAnsi="Garamond"/>
          <w:bCs/>
          <w:lang w:val="sq-AL"/>
        </w:rPr>
        <w:t xml:space="preserve"> por dhe rehabilitimin e riintegrimin e individëve të prekur.</w:t>
      </w:r>
    </w:p>
    <w:p w14:paraId="5FEEF570" w14:textId="77777777" w:rsidR="009824FF" w:rsidRPr="00795698" w:rsidRDefault="009824FF" w:rsidP="009824FF">
      <w:pPr>
        <w:pStyle w:val="Heading2"/>
        <w:spacing w:before="0"/>
        <w:ind w:firstLine="284"/>
        <w:rPr>
          <w:rFonts w:ascii="Garamond" w:hAnsi="Garamond"/>
          <w:color w:val="000000" w:themeColor="text1"/>
          <w:sz w:val="24"/>
          <w:szCs w:val="24"/>
        </w:rPr>
      </w:pPr>
      <w:bookmarkStart w:id="25" w:name="_Toc108644259"/>
      <w:r w:rsidRPr="00795698">
        <w:rPr>
          <w:rFonts w:ascii="Garamond" w:hAnsi="Garamond"/>
          <w:color w:val="000000" w:themeColor="text1"/>
          <w:sz w:val="24"/>
          <w:szCs w:val="24"/>
        </w:rPr>
        <w:lastRenderedPageBreak/>
        <w:t>2.1 Arritjet dhe mësimet</w:t>
      </w:r>
      <w:bookmarkEnd w:id="25"/>
    </w:p>
    <w:p w14:paraId="5FEEF571"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Në luftën tonë kundër terrorizmit, kemi mbështetur idenë e veprimit të gjithë bashkë, me një qasje gjithëpërfshirëse dhe të balancuar, në nivel global, rajonal dhe kombëtar. </w:t>
      </w:r>
    </w:p>
    <w:p w14:paraId="5FEEF572"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Qeveria Shqiptare, e ka vlerësuar luftën kundër terrorizmit si një prioritet kombëtar, duke qenë ndër vendet e para që në zbatim të Rezolutës 2178 (2014) ndërmori hapa konkretë të reflektuara në legjislacionin kombëtar. Duke ndryshuar Kodin Penal, u synua adresimi i problematikave të luftëtarëve të huaj terroristë, duke e konsideruar të paligjshme dhe të ndëshkueshme pjesëmarrjen, organizmin apo çdo nxitje për pjesëmarrje në veprime ushtarake të një vendi të huaj. Të vendosur për të arritur rezultate të prekshme dhe për të treguar progres real, janë marrë masa për rishikimin, forcimin dhe ndryshimin e mekanizmave aktualë të kontrollit të financimit të terrorizmit dhe ngrirjes së aseteve për individë dhe subjekte të përfshirë në aktivitet terrorist. </w:t>
      </w:r>
    </w:p>
    <w:p w14:paraId="5FEEF573" w14:textId="35C068E6" w:rsidR="009824FF" w:rsidRPr="00795698" w:rsidRDefault="009824FF" w:rsidP="009824FF">
      <w:pPr>
        <w:ind w:firstLine="284"/>
        <w:jc w:val="both"/>
        <w:rPr>
          <w:rFonts w:ascii="Garamond" w:hAnsi="Garamond"/>
          <w:color w:val="000000"/>
        </w:rPr>
      </w:pPr>
      <w:r w:rsidRPr="00795698">
        <w:rPr>
          <w:rFonts w:ascii="Garamond" w:hAnsi="Garamond"/>
          <w:color w:val="000000"/>
        </w:rPr>
        <w:t>Bazuar në studimet dhe raportet e riskut rezulton se kërcënimi real prej terrorizmit në Shqipëri është në nivel të ulët me përjashtim të disa rasteve kur niveli i kërcënimit është rritur në “mesatar”. Shqipëria nuk ka regjistruar akte e viktima terroriste të mirëfillta por është prekur nga fenomeni i pjesëmarrjes së luftëtarëve terroristë, zhvendosur së bashku me familjet e tyre në zonat në konflikt. Aktualisht, evidentohen shtetas shqiptarë, kryesisht gra dhe fëmijë, të strehuar në qendrat e pritjes për t</w:t>
      </w:r>
      <w:r w:rsidR="0041767D" w:rsidRPr="00795698">
        <w:rPr>
          <w:rFonts w:ascii="Garamond" w:hAnsi="Garamond"/>
          <w:color w:val="000000"/>
        </w:rPr>
        <w:t>’</w:t>
      </w:r>
      <w:r w:rsidRPr="00795698">
        <w:rPr>
          <w:rFonts w:ascii="Garamond" w:hAnsi="Garamond"/>
          <w:color w:val="000000"/>
        </w:rPr>
        <w:t>u riatdhesuar.</w:t>
      </w:r>
    </w:p>
    <w:p w14:paraId="5FEEF574" w14:textId="0FC67325" w:rsidR="009824FF" w:rsidRPr="00795698" w:rsidRDefault="009824FF" w:rsidP="009824FF">
      <w:pPr>
        <w:ind w:firstLine="284"/>
        <w:jc w:val="both"/>
        <w:rPr>
          <w:rFonts w:ascii="Garamond" w:hAnsi="Garamond"/>
          <w:color w:val="000000"/>
        </w:rPr>
      </w:pPr>
      <w:r w:rsidRPr="00795698">
        <w:rPr>
          <w:rFonts w:ascii="Garamond" w:hAnsi="Garamond"/>
          <w:color w:val="000000"/>
        </w:rPr>
        <w:t>Për Policinë e Shtetit, parandalimi dhe lufta kundër terrorizmit mbetet një fushë kyçe për bashkëpunimin operacional dhe shkëmbimin e informacionit me shërbimet antiterror në vendet e rajonit, Itali, Kosovë, Mal i Zi, Maqedoni, me INTERPOL, EUROPOL, Qendrën E</w:t>
      </w:r>
      <w:r w:rsidR="00273BB0" w:rsidRPr="00795698">
        <w:rPr>
          <w:rFonts w:ascii="Garamond" w:hAnsi="Garamond"/>
          <w:color w:val="000000"/>
        </w:rPr>
        <w:t>v</w:t>
      </w:r>
      <w:r w:rsidRPr="00795698">
        <w:rPr>
          <w:rFonts w:ascii="Garamond" w:hAnsi="Garamond"/>
          <w:color w:val="000000"/>
        </w:rPr>
        <w:t>ropiane Kundër Terrorizmit, Oficerët Ndërlidhës, Qendrën për Verifikimin e Terrorizmit të FBI-së (TSC-SHBA) analogia e së cilës është krijuar në Drejtorinë Antiterrorizmit në Drejtorinë e Përgjithshme të Policisë së Shtetit, agjen</w:t>
      </w:r>
      <w:r w:rsidR="00273BB0" w:rsidRPr="00795698">
        <w:rPr>
          <w:rFonts w:ascii="Garamond" w:hAnsi="Garamond"/>
          <w:color w:val="000000"/>
        </w:rPr>
        <w:t>c</w:t>
      </w:r>
      <w:r w:rsidRPr="00795698">
        <w:rPr>
          <w:rFonts w:ascii="Garamond" w:hAnsi="Garamond"/>
          <w:color w:val="000000"/>
        </w:rPr>
        <w:t>itë ligjzbatuese dhe shërbimet partnere në BE.</w:t>
      </w:r>
    </w:p>
    <w:p w14:paraId="5FEEF575"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Shqipëria merr pjesë dhe përfaqësohet me kontribut konkret në të gjitha aktivitetet, grupet e punës së Koalicionit Global D-ISIS, dhe forumet e organizatave ndërkombëtare, ku vendet anëtare shkëmbejnë praktikat më të mira që lidhen me zbatimin e Strategjisë Globale të luftës kundër terrorizmit (UNGCTS) të OKB-së dhe Planin e Veprimit të Parandalimit të Ekstremizmit të Dhunshëm.</w:t>
      </w:r>
    </w:p>
    <w:p w14:paraId="5FEEF576"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Shqipëria radhitet në ato vende që e kanë mbështeur fuqimisht GCTS dhe Planin e Veprimit, me bindjen se do të shërbente si një udhëzues i suksesshëm në përpjekjet tona të përbashkëta të luftës kundër terrorizmit dhe ekstremizmit të dhunshëm.</w:t>
      </w:r>
    </w:p>
    <w:p w14:paraId="5FEEF577" w14:textId="4B3C1D85" w:rsidR="009824FF" w:rsidRPr="00795698" w:rsidRDefault="009824FF" w:rsidP="009824FF">
      <w:pPr>
        <w:ind w:firstLine="284"/>
        <w:jc w:val="both"/>
        <w:rPr>
          <w:rFonts w:ascii="Garamond" w:hAnsi="Garamond"/>
          <w:color w:val="000000"/>
        </w:rPr>
      </w:pPr>
      <w:r w:rsidRPr="00795698">
        <w:rPr>
          <w:rFonts w:ascii="Garamond" w:hAnsi="Garamond"/>
          <w:color w:val="000000"/>
        </w:rPr>
        <w:t>Në zbatim të kërkesave të këtij Plan Veprimi por edhe në planet tona kombëtare duhet të parashikohen hapa konkrete në fusha prioritare</w:t>
      </w:r>
      <w:r w:rsidR="00273BB0" w:rsidRPr="00795698">
        <w:rPr>
          <w:rFonts w:ascii="Garamond" w:hAnsi="Garamond"/>
          <w:color w:val="000000"/>
        </w:rPr>
        <w:t>,</w:t>
      </w:r>
      <w:r w:rsidRPr="00795698">
        <w:rPr>
          <w:rFonts w:ascii="Garamond" w:hAnsi="Garamond"/>
          <w:color w:val="000000"/>
        </w:rPr>
        <w:t xml:space="preserve"> si:</w:t>
      </w:r>
    </w:p>
    <w:p w14:paraId="5FEEF578" w14:textId="77777777" w:rsidR="009824FF" w:rsidRPr="00795698" w:rsidRDefault="00A037C5" w:rsidP="00A037C5">
      <w:pPr>
        <w:pStyle w:val="TEKSTIIIII"/>
        <w:rPr>
          <w:lang w:val="sq-AL"/>
        </w:rPr>
      </w:pPr>
      <w:r w:rsidRPr="00795698">
        <w:rPr>
          <w:lang w:val="sq-AL"/>
        </w:rPr>
        <w:t xml:space="preserve">- </w:t>
      </w:r>
      <w:r w:rsidR="009824FF" w:rsidRPr="00795698">
        <w:rPr>
          <w:lang w:val="sq-AL"/>
        </w:rPr>
        <w:t>Dialogu dhe parandalimi i konflikteve;</w:t>
      </w:r>
    </w:p>
    <w:p w14:paraId="5FEEF579" w14:textId="77777777" w:rsidR="009824FF" w:rsidRPr="00795698" w:rsidRDefault="00A037C5" w:rsidP="00A037C5">
      <w:pPr>
        <w:pStyle w:val="TEKSTIIIII"/>
        <w:rPr>
          <w:lang w:val="sq-AL"/>
        </w:rPr>
      </w:pPr>
      <w:r w:rsidRPr="00795698">
        <w:rPr>
          <w:lang w:val="sq-AL"/>
        </w:rPr>
        <w:t xml:space="preserve">- </w:t>
      </w:r>
      <w:r w:rsidR="009824FF" w:rsidRPr="00795698">
        <w:rPr>
          <w:lang w:val="sq-AL"/>
        </w:rPr>
        <w:t>Forcimi i qeverisjes së mirë, respektimit të të drejtave të njeriut dhe forcimit të shtetit ligjor;</w:t>
      </w:r>
    </w:p>
    <w:p w14:paraId="5FEEF57A" w14:textId="77777777" w:rsidR="009824FF" w:rsidRPr="00795698" w:rsidRDefault="00A037C5" w:rsidP="00A037C5">
      <w:pPr>
        <w:pStyle w:val="TEKSTIIIII"/>
        <w:rPr>
          <w:lang w:val="sq-AL"/>
        </w:rPr>
      </w:pPr>
      <w:r w:rsidRPr="00795698">
        <w:rPr>
          <w:lang w:val="sq-AL"/>
        </w:rPr>
        <w:t xml:space="preserve">- </w:t>
      </w:r>
      <w:r w:rsidR="009824FF" w:rsidRPr="00795698">
        <w:rPr>
          <w:lang w:val="sq-AL"/>
        </w:rPr>
        <w:t>Pjesëmarrja e të rinjve;</w:t>
      </w:r>
    </w:p>
    <w:p w14:paraId="5FEEF57B" w14:textId="77777777" w:rsidR="009824FF" w:rsidRPr="00795698" w:rsidRDefault="00A037C5" w:rsidP="00A037C5">
      <w:pPr>
        <w:pStyle w:val="TEKSTIIIII"/>
        <w:rPr>
          <w:lang w:val="sq-AL"/>
        </w:rPr>
      </w:pPr>
      <w:r w:rsidRPr="00795698">
        <w:rPr>
          <w:lang w:val="sq-AL"/>
        </w:rPr>
        <w:t xml:space="preserve">- </w:t>
      </w:r>
      <w:r w:rsidR="009824FF" w:rsidRPr="00795698">
        <w:rPr>
          <w:lang w:val="sq-AL"/>
        </w:rPr>
        <w:t>Barazia gjinore dhe forcimi i rolit të grave;</w:t>
      </w:r>
    </w:p>
    <w:p w14:paraId="5FEEF57C" w14:textId="18F90A79" w:rsidR="009824FF" w:rsidRPr="00795698" w:rsidRDefault="00A037C5" w:rsidP="00A037C5">
      <w:pPr>
        <w:pStyle w:val="TEKSTIIIII"/>
        <w:rPr>
          <w:lang w:val="sq-AL"/>
        </w:rPr>
      </w:pPr>
      <w:r w:rsidRPr="00795698">
        <w:rPr>
          <w:lang w:val="sq-AL"/>
        </w:rPr>
        <w:t xml:space="preserve">- </w:t>
      </w:r>
      <w:r w:rsidR="009824FF" w:rsidRPr="00795698">
        <w:rPr>
          <w:lang w:val="sq-AL"/>
        </w:rPr>
        <w:t>Komunikimi strategjik në internet dhe median sociale etj</w:t>
      </w:r>
      <w:r w:rsidR="00273BB0" w:rsidRPr="00795698">
        <w:rPr>
          <w:lang w:val="sq-AL"/>
        </w:rPr>
        <w:t>.</w:t>
      </w:r>
      <w:r w:rsidR="009824FF" w:rsidRPr="00795698">
        <w:rPr>
          <w:lang w:val="sq-AL"/>
        </w:rPr>
        <w:t>;</w:t>
      </w:r>
    </w:p>
    <w:p w14:paraId="5FEEF57D" w14:textId="5E417F21" w:rsidR="009824FF" w:rsidRPr="00795698" w:rsidRDefault="009824FF" w:rsidP="009824FF">
      <w:pPr>
        <w:ind w:firstLine="284"/>
        <w:jc w:val="both"/>
        <w:rPr>
          <w:rFonts w:ascii="Garamond" w:hAnsi="Garamond"/>
          <w:color w:val="000000"/>
        </w:rPr>
      </w:pPr>
      <w:r w:rsidRPr="00795698">
        <w:rPr>
          <w:rFonts w:ascii="Garamond" w:hAnsi="Garamond"/>
          <w:color w:val="000000"/>
        </w:rPr>
        <w:t>Shqipëria ka ofruar kontributin e saj në realizimin e Platformës Rajonale të luftës kundër Radikalizmit dhe Ekstremizmit të Dhunshëm dhe fenomenit të Luftëtarëve të Huaj Terroristë, në E</w:t>
      </w:r>
      <w:r w:rsidR="000C2409" w:rsidRPr="00795698">
        <w:rPr>
          <w:rFonts w:ascii="Garamond" w:hAnsi="Garamond"/>
          <w:color w:val="000000"/>
        </w:rPr>
        <w:t>v</w:t>
      </w:r>
      <w:r w:rsidRPr="00795698">
        <w:rPr>
          <w:rFonts w:ascii="Garamond" w:hAnsi="Garamond"/>
          <w:color w:val="000000"/>
        </w:rPr>
        <w:t>ropën Juglindore, të Këshillit të Bashkëpunimit Rajonal (RCC).</w:t>
      </w:r>
    </w:p>
    <w:p w14:paraId="5FEEF57E" w14:textId="21492570"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Strategjia e BE-së </w:t>
      </w:r>
      <w:r w:rsidR="00075100" w:rsidRPr="00795698">
        <w:rPr>
          <w:rFonts w:ascii="Garamond" w:hAnsi="Garamond"/>
          <w:color w:val="000000"/>
        </w:rPr>
        <w:t>k</w:t>
      </w:r>
      <w:r w:rsidRPr="00795698">
        <w:rPr>
          <w:rFonts w:ascii="Garamond" w:hAnsi="Garamond"/>
          <w:color w:val="000000"/>
        </w:rPr>
        <w:t xml:space="preserve">undër Terrorizmit dhe Plani i Përbashkët i Veprimit </w:t>
      </w:r>
      <w:r w:rsidR="00273BB0" w:rsidRPr="00795698">
        <w:rPr>
          <w:rFonts w:ascii="Garamond" w:hAnsi="Garamond"/>
          <w:color w:val="000000"/>
        </w:rPr>
        <w:t>k</w:t>
      </w:r>
      <w:r w:rsidRPr="00795698">
        <w:rPr>
          <w:rFonts w:ascii="Garamond" w:hAnsi="Garamond"/>
          <w:color w:val="000000"/>
        </w:rPr>
        <w:t>undër Terrorizmit në Ballkanin Perëndimor, nënshkruar nga BE dhe të gjithë partnerët e Ballkanit Perëndimor, në Tetor 2018, është dokumenti kryesor politik në këtë fushë. Në këtë kuadër</w:t>
      </w:r>
      <w:r w:rsidR="00273BB0" w:rsidRPr="00795698">
        <w:rPr>
          <w:rFonts w:ascii="Garamond" w:hAnsi="Garamond"/>
          <w:color w:val="000000"/>
        </w:rPr>
        <w:t>,</w:t>
      </w:r>
      <w:r w:rsidRPr="00795698">
        <w:rPr>
          <w:rFonts w:ascii="Garamond" w:hAnsi="Garamond"/>
          <w:color w:val="000000"/>
        </w:rPr>
        <w:t xml:space="preserve"> </w:t>
      </w:r>
      <w:r w:rsidR="00273BB0" w:rsidRPr="00795698">
        <w:rPr>
          <w:rFonts w:ascii="Garamond" w:hAnsi="Garamond"/>
          <w:color w:val="000000"/>
        </w:rPr>
        <w:t>m</w:t>
      </w:r>
      <w:r w:rsidRPr="00795698">
        <w:rPr>
          <w:rFonts w:ascii="Garamond" w:hAnsi="Garamond"/>
          <w:color w:val="000000"/>
        </w:rPr>
        <w:t xml:space="preserve">ë 9 </w:t>
      </w:r>
      <w:r w:rsidR="00273BB0" w:rsidRPr="00795698">
        <w:rPr>
          <w:rFonts w:ascii="Garamond" w:hAnsi="Garamond"/>
          <w:color w:val="000000"/>
        </w:rPr>
        <w:t>t</w:t>
      </w:r>
      <w:r w:rsidRPr="00795698">
        <w:rPr>
          <w:rFonts w:ascii="Garamond" w:hAnsi="Garamond"/>
          <w:color w:val="000000"/>
        </w:rPr>
        <w:t>etor 2019, midis Shqipërisë dhe KE</w:t>
      </w:r>
      <w:r w:rsidR="00273BB0" w:rsidRPr="00795698">
        <w:rPr>
          <w:rFonts w:ascii="Garamond" w:hAnsi="Garamond"/>
          <w:color w:val="000000"/>
        </w:rPr>
        <w:t>-së</w:t>
      </w:r>
      <w:r w:rsidRPr="00795698">
        <w:rPr>
          <w:rFonts w:ascii="Garamond" w:hAnsi="Garamond"/>
          <w:color w:val="000000"/>
        </w:rPr>
        <w:t xml:space="preserve">, u firmos marrëveshja mbi veprimet parësore që do ndjekë Shqipëria gjatë viteve 2019 -2020, për secilin nga pesë objektivat e përcaktuara në Planin e Përbashkët të Veprimit kundër terrorizmit në Ballkanit Perëndimor. Ky plan ka si objektiv shkëmbimin efektiv të </w:t>
      </w:r>
      <w:r w:rsidRPr="00795698">
        <w:rPr>
          <w:rFonts w:ascii="Garamond" w:hAnsi="Garamond"/>
          <w:color w:val="000000"/>
        </w:rPr>
        <w:lastRenderedPageBreak/>
        <w:t>informacionit dhe bashkëpunimin operacional mes vendeve të Ballkanit Perëndimor dhe agjencive ligjzbatuese të BE</w:t>
      </w:r>
      <w:r w:rsidR="00273BB0" w:rsidRPr="00795698">
        <w:rPr>
          <w:rFonts w:ascii="Garamond" w:hAnsi="Garamond"/>
          <w:color w:val="000000"/>
        </w:rPr>
        <w:t>-së</w:t>
      </w:r>
      <w:r w:rsidRPr="00795698">
        <w:rPr>
          <w:rFonts w:ascii="Garamond" w:hAnsi="Garamond"/>
          <w:color w:val="000000"/>
        </w:rPr>
        <w:t>.</w:t>
      </w:r>
    </w:p>
    <w:p w14:paraId="5FEEF57F" w14:textId="0C09B6CE" w:rsidR="009824FF" w:rsidRPr="00795698" w:rsidRDefault="00075100" w:rsidP="009824FF">
      <w:pPr>
        <w:ind w:firstLine="284"/>
        <w:jc w:val="both"/>
        <w:rPr>
          <w:rFonts w:ascii="Garamond" w:hAnsi="Garamond"/>
          <w:color w:val="000000"/>
        </w:rPr>
      </w:pPr>
      <w:r w:rsidRPr="00795698">
        <w:rPr>
          <w:rFonts w:ascii="Garamond" w:hAnsi="Garamond"/>
          <w:color w:val="000000"/>
        </w:rPr>
        <w:t>Strukturat</w:t>
      </w:r>
      <w:r w:rsidR="009824FF" w:rsidRPr="00795698">
        <w:rPr>
          <w:rFonts w:ascii="Garamond" w:hAnsi="Garamond"/>
          <w:color w:val="000000"/>
        </w:rPr>
        <w:t xml:space="preserve"> e antiterrorit tashmë kanë kapacitetet operacionale, logjistikën e nevojshme për kryerjen e operacioneve me metoda speciale të cilat ndihmojnë në parandalimin dhe goditjen e veprave penale me qëllime terroriste por në këtë drejtim ka nevojë për investime dhe mbështetje të vazhdueshme në përshtatje me zhvillimet teknologjike dhe dinamikat e zhvillimit të kërcënimeve terroriste. Njëkohësisht po punohet për rritjen e mëtejshme të këtyre kapaciteteve në bashkëpunim me misionet policore të atashuara prej vitesh në vendin tonë</w:t>
      </w:r>
      <w:r w:rsidR="00273BB0" w:rsidRPr="00795698">
        <w:rPr>
          <w:rFonts w:ascii="Garamond" w:hAnsi="Garamond"/>
          <w:color w:val="000000"/>
        </w:rPr>
        <w:t>,</w:t>
      </w:r>
      <w:r w:rsidR="009824FF" w:rsidRPr="00795698">
        <w:rPr>
          <w:rFonts w:ascii="Garamond" w:hAnsi="Garamond"/>
          <w:color w:val="000000"/>
        </w:rPr>
        <w:t xml:space="preserve"> si</w:t>
      </w:r>
      <w:r w:rsidR="00273BB0" w:rsidRPr="00795698">
        <w:rPr>
          <w:rFonts w:ascii="Garamond" w:hAnsi="Garamond"/>
          <w:color w:val="000000"/>
        </w:rPr>
        <w:t>:</w:t>
      </w:r>
      <w:r w:rsidR="009824FF" w:rsidRPr="00795698">
        <w:rPr>
          <w:rFonts w:ascii="Garamond" w:hAnsi="Garamond"/>
          <w:color w:val="000000"/>
        </w:rPr>
        <w:t xml:space="preserve"> PAMECA V dhe ICITAP.</w:t>
      </w:r>
    </w:p>
    <w:p w14:paraId="5FEEF580" w14:textId="6A0CA364" w:rsidR="009824FF" w:rsidRPr="00795698" w:rsidRDefault="009824FF" w:rsidP="009824FF">
      <w:pPr>
        <w:ind w:firstLine="284"/>
        <w:jc w:val="both"/>
        <w:rPr>
          <w:rFonts w:ascii="Garamond" w:hAnsi="Garamond"/>
          <w:color w:val="000000"/>
          <w:lang w:eastAsia="sq-AL"/>
        </w:rPr>
      </w:pPr>
      <w:r w:rsidRPr="00795698">
        <w:rPr>
          <w:rFonts w:ascii="Garamond" w:hAnsi="Garamond"/>
          <w:color w:val="000000"/>
          <w:lang w:eastAsia="sq-AL"/>
        </w:rPr>
        <w:t>Në vazhdimësi janë kryer trajnime duke rritur kapacitetet e duhura profesionale</w:t>
      </w:r>
      <w:r w:rsidR="007C064A" w:rsidRPr="00795698">
        <w:rPr>
          <w:rFonts w:ascii="Garamond" w:hAnsi="Garamond"/>
          <w:color w:val="000000"/>
          <w:lang w:eastAsia="sq-AL"/>
        </w:rPr>
        <w:t xml:space="preserve"> </w:t>
      </w:r>
      <w:r w:rsidRPr="00795698">
        <w:rPr>
          <w:rFonts w:ascii="Garamond" w:hAnsi="Garamond"/>
          <w:color w:val="000000"/>
          <w:lang w:eastAsia="sq-AL"/>
        </w:rPr>
        <w:t>dhe logjistike të të gjith</w:t>
      </w:r>
      <w:r w:rsidR="00273BB0" w:rsidRPr="00795698">
        <w:rPr>
          <w:rFonts w:ascii="Garamond" w:hAnsi="Garamond"/>
          <w:color w:val="000000"/>
          <w:lang w:eastAsia="sq-AL"/>
        </w:rPr>
        <w:t>a</w:t>
      </w:r>
      <w:r w:rsidRPr="00795698">
        <w:rPr>
          <w:rFonts w:ascii="Garamond" w:hAnsi="Garamond"/>
          <w:color w:val="000000"/>
          <w:lang w:eastAsia="sq-AL"/>
        </w:rPr>
        <w:t xml:space="preserve"> strukturave për të përballuar me sukses situatat e ndryshme që janë objekt i punës së tyre në fushën kundër terrorizmit.</w:t>
      </w:r>
    </w:p>
    <w:p w14:paraId="5FEEF581" w14:textId="28D1E2CE"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Vendi ynë ka bërë analizën e përgjithshme dhe nen për nen të legjislacionit për luftën kundër terrorizmit dhe po punon për përputhjen plotësisht të Kuadrit Ligjor për Luftën </w:t>
      </w:r>
      <w:r w:rsidR="00273BB0" w:rsidRPr="00795698">
        <w:rPr>
          <w:rFonts w:ascii="Garamond" w:hAnsi="Garamond"/>
          <w:color w:val="000000"/>
        </w:rPr>
        <w:t>k</w:t>
      </w:r>
      <w:r w:rsidRPr="00795698">
        <w:rPr>
          <w:rFonts w:ascii="Garamond" w:hAnsi="Garamond"/>
          <w:color w:val="000000"/>
        </w:rPr>
        <w:t>undër Terrorizmit dhe parandalimin e Ekstremizmit të Dhunshëm, me “Acquis” e BE</w:t>
      </w:r>
      <w:r w:rsidR="00273BB0" w:rsidRPr="00795698">
        <w:rPr>
          <w:rFonts w:ascii="Garamond" w:hAnsi="Garamond"/>
          <w:color w:val="000000"/>
        </w:rPr>
        <w:t>-së</w:t>
      </w:r>
      <w:r w:rsidRPr="00795698">
        <w:rPr>
          <w:rFonts w:ascii="Garamond" w:hAnsi="Garamond"/>
          <w:color w:val="000000"/>
        </w:rPr>
        <w:t>.</w:t>
      </w:r>
    </w:p>
    <w:p w14:paraId="5FEEF582" w14:textId="5B239865" w:rsidR="009824FF" w:rsidRPr="00795698" w:rsidRDefault="009824FF" w:rsidP="009824FF">
      <w:pPr>
        <w:ind w:firstLine="284"/>
        <w:jc w:val="both"/>
        <w:rPr>
          <w:rFonts w:ascii="Garamond" w:hAnsi="Garamond"/>
          <w:color w:val="000000"/>
        </w:rPr>
      </w:pPr>
      <w:r w:rsidRPr="00795698">
        <w:rPr>
          <w:rFonts w:ascii="Garamond" w:hAnsi="Garamond"/>
          <w:color w:val="000000"/>
        </w:rPr>
        <w:t>Në funksion të strukturave antiterror është krijuar Njësia për Verifikimin e Terrorizmit dhe Sigurinë, e cila shërben për shkëmbimin e informacioneve me Qendrën Ndërkombëtare</w:t>
      </w:r>
      <w:r w:rsidR="007C064A" w:rsidRPr="00795698">
        <w:rPr>
          <w:rFonts w:ascii="Garamond" w:hAnsi="Garamond"/>
          <w:color w:val="000000"/>
        </w:rPr>
        <w:t xml:space="preserve"> </w:t>
      </w:r>
      <w:r w:rsidR="00075100" w:rsidRPr="00795698">
        <w:rPr>
          <w:rFonts w:ascii="Garamond" w:hAnsi="Garamond"/>
          <w:color w:val="000000"/>
        </w:rPr>
        <w:t>k</w:t>
      </w:r>
      <w:r w:rsidRPr="00795698">
        <w:rPr>
          <w:rFonts w:ascii="Garamond" w:hAnsi="Garamond"/>
          <w:color w:val="000000"/>
        </w:rPr>
        <w:t>undër Terrorizmit (TSC) dhe me Qendrën E</w:t>
      </w:r>
      <w:r w:rsidR="00273BB0" w:rsidRPr="00795698">
        <w:rPr>
          <w:rFonts w:ascii="Garamond" w:hAnsi="Garamond"/>
          <w:color w:val="000000"/>
        </w:rPr>
        <w:t>v</w:t>
      </w:r>
      <w:r w:rsidRPr="00795698">
        <w:rPr>
          <w:rFonts w:ascii="Garamond" w:hAnsi="Garamond"/>
          <w:color w:val="000000"/>
        </w:rPr>
        <w:t xml:space="preserve">ropiane </w:t>
      </w:r>
      <w:r w:rsidR="00273BB0" w:rsidRPr="00795698">
        <w:rPr>
          <w:rFonts w:ascii="Garamond" w:hAnsi="Garamond"/>
          <w:color w:val="000000"/>
        </w:rPr>
        <w:t>k</w:t>
      </w:r>
      <w:r w:rsidRPr="00795698">
        <w:rPr>
          <w:rFonts w:ascii="Garamond" w:hAnsi="Garamond"/>
          <w:color w:val="000000"/>
        </w:rPr>
        <w:t>undër Terrorizmit (ECTC) në Europol, për verifikimin e shtetasve shqiptarë dhe të huaj të përfshirë/lidhur në veprimtari terroriste, si dhe njësia për Hetimin e Financimit të Terrorizmit, bazuar kjo edhe në rekomandimet e MoneyVal.</w:t>
      </w:r>
    </w:p>
    <w:p w14:paraId="5FEEF583" w14:textId="565EC897" w:rsidR="009824FF" w:rsidRPr="00795698" w:rsidRDefault="009824FF" w:rsidP="009824FF">
      <w:pPr>
        <w:ind w:firstLine="284"/>
        <w:jc w:val="both"/>
        <w:rPr>
          <w:rFonts w:ascii="Garamond" w:hAnsi="Garamond"/>
          <w:color w:val="000000"/>
        </w:rPr>
      </w:pPr>
      <w:r w:rsidRPr="00795698">
        <w:rPr>
          <w:rFonts w:ascii="Garamond" w:hAnsi="Garamond"/>
          <w:color w:val="000000"/>
        </w:rPr>
        <w:t>Duke qenë se ashpërsimi i masave ligjore pengon por nuk el</w:t>
      </w:r>
      <w:r w:rsidR="00273BB0" w:rsidRPr="00795698">
        <w:rPr>
          <w:rFonts w:ascii="Garamond" w:hAnsi="Garamond"/>
          <w:color w:val="000000"/>
        </w:rPr>
        <w:t>i</w:t>
      </w:r>
      <w:r w:rsidRPr="00795698">
        <w:rPr>
          <w:rFonts w:ascii="Garamond" w:hAnsi="Garamond"/>
          <w:color w:val="000000"/>
        </w:rPr>
        <w:t xml:space="preserve">minon fenomenin, çështja e ndalimit të pjesëmarrjes së qytetarëve shqiptarë në konflikte të huaja është synuar të trajtohet në rrënjët e problemit, që janë mungesa e kohezionit social dhe zhvillimi ekonomik, të cilat përbëjnë shtysën dhe motivin për radikalizim. Gjithashtu kjo strategji parashikon një qasje të re dhe integruar për sa i përket mbledhjes e trajtimit të informacionit dhe problematikave të </w:t>
      </w:r>
      <w:r w:rsidR="00273BB0" w:rsidRPr="00795698">
        <w:rPr>
          <w:rFonts w:ascii="Garamond" w:hAnsi="Garamond"/>
          <w:color w:val="000000"/>
        </w:rPr>
        <w:t>identifikuara</w:t>
      </w:r>
      <w:r w:rsidRPr="00795698">
        <w:rPr>
          <w:rFonts w:ascii="Garamond" w:hAnsi="Garamond"/>
          <w:color w:val="000000"/>
        </w:rPr>
        <w:t>. Pavarësisht ashpërsimit të masave në funksion të mbrojtjes e garantimit të sigurisë kombëtare është e rëndësishme të theksojmë se këto masa respektojnë parimet themelore të mbrojtjes së të drejtave të njeriut, veçanërisht ato të lirisë së shprehjes dhe informacionit.</w:t>
      </w:r>
    </w:p>
    <w:p w14:paraId="5FEEF584"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 Për kriminalizimin dhe ndëshkimin e terrorizmit, strukturat e specializuara të luftës kundër terrorizmit, në vazhdimësi e kanë trajtuar e ndjekur fenomenin e luftëtarëve të huaj terroristë dhe janë zhvilluar hetime për individë organizatorë, financues dhe pjesëmarrës në konflikte jashtë vendit.</w:t>
      </w:r>
    </w:p>
    <w:p w14:paraId="5FEEF585"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Krijimi dhe zhvillimi i një rrjeti jo vetëm kombëtar por dhe rajonal, në funksion të forcimit të kapaciteteve të shkëmbimit të informacionit ndërmjet vendeve të rajonit për çështje që kanë të bëjmë me parandalimin e ekstremizmit të dhunshëm dhe luftën kundër terrorizmit dhe krimit të organizuar janë konsideruar me shumë rëndësi.</w:t>
      </w:r>
    </w:p>
    <w:p w14:paraId="5FEEF586"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Në luftën kundër terrorizmit dhe ekstremizmit të dhunshëm, zhvillimi i strategjive gjithëpërfshirëse në nivel kombëtar, është thelbësor, jo vetëm për luftën kundër radikalizmit dhe rekrutimit, por edhe për të vlerësuar siç duhet dhe </w:t>
      </w:r>
      <w:r w:rsidRPr="00795698">
        <w:rPr>
          <w:rFonts w:ascii="Garamond" w:hAnsi="Garamond"/>
          <w:b/>
          <w:color w:val="000000"/>
        </w:rPr>
        <w:t>mundësinë e riintegrimit</w:t>
      </w:r>
      <w:r w:rsidRPr="00795698">
        <w:rPr>
          <w:rFonts w:ascii="Garamond" w:hAnsi="Garamond"/>
          <w:color w:val="000000"/>
        </w:rPr>
        <w:t>.</w:t>
      </w:r>
    </w:p>
    <w:p w14:paraId="5FEEF587"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Duke synuar gjithnjë parandalimin, dhe bashkërendimin e përpjekjeve globale të luftës kundër terrorizmit dhe ekstremizmit të dhunshëm, institucionet shqiptare e kanë mbështetur suksesin e veprimit në pasurinë e vlerave dhe traditave tona kombëtare e fetare dhe në hartimin e zbatimin e paketave të posaçme strategjike, sociale, politike, ligjore, edukative dhe ekonomike.</w:t>
      </w:r>
    </w:p>
    <w:p w14:paraId="5FEEF588"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Për të mundësuar mbështetjen e viktimave të terrorizmit, në bashkëpunim me vendet partnere dhe agjencitë e inteligjencës, Shqipëria ka marrë masat e kontrollit të kufirit, pritjes dhe intervistimit të të kthyerve potencialë në pikat e kalimit në kufi, mbledhjes dhe shkëmbimit të të dhënave me Interpol dhe partnerët strategjikë, për identifikimin në terren dhe kryerjen e procesit të riatdhesimit të tyre.</w:t>
      </w:r>
    </w:p>
    <w:p w14:paraId="5FEEF589" w14:textId="17327BC8"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Aktualisht, veçanërisht në këtë kontekst, do të tregohet vëmendje e shtuar për të vënë në jetë politika efikase shtetërore, jo vetëm për hetimin dhe çuarjen përpara drejtësisë, por edhe për </w:t>
      </w:r>
      <w:r w:rsidRPr="00795698">
        <w:rPr>
          <w:rFonts w:ascii="Garamond" w:hAnsi="Garamond"/>
          <w:color w:val="000000"/>
        </w:rPr>
        <w:lastRenderedPageBreak/>
        <w:t>riatdhesimin, rehabilitimin dhe riintegrimin e</w:t>
      </w:r>
      <w:r w:rsidR="007C064A" w:rsidRPr="00795698">
        <w:rPr>
          <w:rFonts w:ascii="Garamond" w:hAnsi="Garamond"/>
          <w:color w:val="000000"/>
        </w:rPr>
        <w:t xml:space="preserve"> </w:t>
      </w:r>
      <w:r w:rsidRPr="00795698">
        <w:rPr>
          <w:rFonts w:ascii="Garamond" w:hAnsi="Garamond"/>
          <w:color w:val="000000"/>
        </w:rPr>
        <w:t>qytetarëve shqiptarë dhe familjarëve të tyre, që u bashkuan me kauzën e ISIL dhe kanë marrë pjesë në konfliktin në Siri.</w:t>
      </w:r>
    </w:p>
    <w:p w14:paraId="5FEEF58A"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Siç përmendet edhe më lart, Shqipëria nuk ka regjistruar akte e viktima terroriste të mirëfillta, por është përballur me fenomenin e luftëtarëve të huaj terroristë, të shoqëruar edhe me gra e fëmijë, në zonat në konflikt në Siri/lrak, duke u përballur këta të fundit me tmerrin e luftës dhe humbjen e prindërve dhe të afërmve të tyre.</w:t>
      </w:r>
    </w:p>
    <w:p w14:paraId="5FEEF58B" w14:textId="0E574E44" w:rsidR="009824FF" w:rsidRPr="00795698" w:rsidRDefault="009824FF" w:rsidP="009824FF">
      <w:pPr>
        <w:ind w:firstLine="284"/>
        <w:jc w:val="both"/>
        <w:rPr>
          <w:rFonts w:ascii="Garamond" w:hAnsi="Garamond"/>
          <w:color w:val="000000"/>
        </w:rPr>
      </w:pPr>
      <w:r w:rsidRPr="00795698">
        <w:rPr>
          <w:rFonts w:ascii="Garamond" w:hAnsi="Garamond"/>
          <w:color w:val="000000"/>
        </w:rPr>
        <w:t>Në periudhën midis viteve 2013</w:t>
      </w:r>
      <w:r w:rsidR="00273BB0" w:rsidRPr="00795698">
        <w:rPr>
          <w:rFonts w:ascii="Garamond" w:hAnsi="Garamond"/>
          <w:color w:val="000000"/>
        </w:rPr>
        <w:t>–</w:t>
      </w:r>
      <w:r w:rsidRPr="00795698">
        <w:rPr>
          <w:rFonts w:ascii="Garamond" w:hAnsi="Garamond"/>
          <w:color w:val="000000"/>
        </w:rPr>
        <w:t xml:space="preserve">2015 rreth 144 shtetas shqiptarë u larguan drejt Irakut dhe Sirisë për të marrë pjesë në luftërat që u zhvilluan në këto shtete. </w:t>
      </w:r>
      <w:r w:rsidRPr="00795698">
        <w:rPr>
          <w:rFonts w:ascii="Garamond" w:hAnsi="Garamond"/>
          <w:color w:val="000000"/>
          <w:shd w:val="clear" w:color="auto" w:fill="FFFFFF"/>
        </w:rPr>
        <w:t>Dukuria e</w:t>
      </w:r>
      <w:r w:rsidRPr="00795698">
        <w:rPr>
          <w:rFonts w:ascii="Garamond" w:hAnsi="Garamond"/>
          <w:color w:val="000000"/>
        </w:rPr>
        <w:t xml:space="preserve"> largimit u ndalua në 2015, vit prej të cilit nuk ka më të larguar nga vendi ynë. Në vitet e fundit shteti shqiptar ka marrë masa për riatdhesimin e të larguarve. </w:t>
      </w:r>
    </w:p>
    <w:p w14:paraId="5FEEF58C"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Pas gjashtë vitesh pune në kuadër P/LKEDH dhe kundër përhapjes së nxitësve dhe faktorëve që e ushqejnë, ose e mundësojnë ekstremizmin e dhunshëm, vërehen përmirësime të konsiderueshme në disa prej nxitësve të matur të EDH, si më poshtë. </w:t>
      </w:r>
    </w:p>
    <w:p w14:paraId="5FEEF58D" w14:textId="68E01AAF" w:rsidR="009824FF" w:rsidRPr="00795698" w:rsidRDefault="00A037C5" w:rsidP="00A037C5">
      <w:pPr>
        <w:pStyle w:val="TEKSTIIIII"/>
        <w:rPr>
          <w:lang w:val="sq-AL"/>
        </w:rPr>
      </w:pPr>
      <w:r w:rsidRPr="00795698">
        <w:rPr>
          <w:lang w:val="sq-AL"/>
        </w:rPr>
        <w:t>-</w:t>
      </w:r>
      <w:r w:rsidR="009824FF" w:rsidRPr="00795698">
        <w:rPr>
          <w:lang w:val="sq-AL"/>
        </w:rPr>
        <w:t>Përmirësimi i kuadrit ligjor me qëllim ndalimin, ndëshkimin e shtetasve shqiptar që kanë në fokus t</w:t>
      </w:r>
      <w:r w:rsidR="00C62D65" w:rsidRPr="00795698">
        <w:rPr>
          <w:lang w:val="sq-AL"/>
        </w:rPr>
        <w:t>’</w:t>
      </w:r>
      <w:r w:rsidR="009824FF" w:rsidRPr="00795698">
        <w:rPr>
          <w:lang w:val="sq-AL"/>
        </w:rPr>
        <w:t>i bashkohen celulave terroriste, duke evidentuar veprat penale për rekrutimin e personave për kryerjen e veprave me qëllimeve terroriste ose të financimit të terrorizmit;</w:t>
      </w:r>
    </w:p>
    <w:p w14:paraId="5FEEF58E" w14:textId="77777777" w:rsidR="009824FF" w:rsidRPr="00795698" w:rsidRDefault="00A037C5" w:rsidP="00A037C5">
      <w:pPr>
        <w:pStyle w:val="TEKSTIIIII"/>
        <w:rPr>
          <w:lang w:val="sq-AL"/>
        </w:rPr>
      </w:pPr>
      <w:r w:rsidRPr="00795698">
        <w:rPr>
          <w:lang w:val="sq-AL"/>
        </w:rPr>
        <w:t xml:space="preserve">- </w:t>
      </w:r>
      <w:r w:rsidR="009824FF" w:rsidRPr="00795698">
        <w:rPr>
          <w:lang w:val="sq-AL"/>
        </w:rPr>
        <w:t>Forcimi i koordinimit, bashkëpunimit dhe partneritetit në nivel lokal, kombëtar dhe ndërkombëtar, ndërmjet agjencive qeveritare, organizatave joqeveritare, sektorit privat, komuniteteve fetare dhe mediave, në identifikimin dhe zbatimin e ndërhyrjeve efektive;</w:t>
      </w:r>
    </w:p>
    <w:p w14:paraId="5FEEF58F" w14:textId="77777777" w:rsidR="009824FF" w:rsidRPr="00795698" w:rsidRDefault="00A037C5" w:rsidP="00A037C5">
      <w:pPr>
        <w:pStyle w:val="TEKSTIIIII"/>
        <w:rPr>
          <w:lang w:val="sq-AL"/>
        </w:rPr>
      </w:pPr>
      <w:r w:rsidRPr="00795698">
        <w:rPr>
          <w:lang w:val="sq-AL"/>
        </w:rPr>
        <w:t xml:space="preserve">- </w:t>
      </w:r>
      <w:r w:rsidR="009824FF" w:rsidRPr="00795698">
        <w:rPr>
          <w:lang w:val="sq-AL"/>
        </w:rPr>
        <w:t>Forcimi i qëndresës së komunitetit dhe zvogëlimi i tërheqjes ndaj radikalizimit dhe ekstremizmit të dhunshëm nëpërmjet ngritjes së kapaciteteve, krijimit të programeve dhe politikave të arsimit, punësimit dhe parandalimit nga policia në komunitet;</w:t>
      </w:r>
    </w:p>
    <w:p w14:paraId="5FEEF590" w14:textId="77777777" w:rsidR="009824FF" w:rsidRPr="00795698" w:rsidRDefault="00A037C5" w:rsidP="00A037C5">
      <w:pPr>
        <w:pStyle w:val="TEKSTIIIII"/>
        <w:rPr>
          <w:lang w:val="sq-AL"/>
        </w:rPr>
      </w:pPr>
      <w:r w:rsidRPr="00795698">
        <w:rPr>
          <w:lang w:val="sq-AL"/>
        </w:rPr>
        <w:t xml:space="preserve">- </w:t>
      </w:r>
      <w:r w:rsidR="009824FF" w:rsidRPr="00795698">
        <w:rPr>
          <w:lang w:val="sq-AL"/>
        </w:rPr>
        <w:t>Realizimi i hulumtimit në nivel vendor si mjet për të kuptuar kushtet, faktorët dhe shkaqet që nxisin radikalizimin që mund të kalojë në dhunë dhe qëndresën e komunitetit ndaj ekstremizmit të dhunshëm;</w:t>
      </w:r>
    </w:p>
    <w:p w14:paraId="5FEEF591" w14:textId="77777777" w:rsidR="009824FF" w:rsidRPr="00795698" w:rsidRDefault="00A037C5" w:rsidP="00A037C5">
      <w:pPr>
        <w:pStyle w:val="TEKSTIIIII"/>
        <w:rPr>
          <w:lang w:val="sq-AL"/>
        </w:rPr>
      </w:pPr>
      <w:r w:rsidRPr="00795698">
        <w:rPr>
          <w:lang w:val="sq-AL"/>
        </w:rPr>
        <w:t xml:space="preserve">- </w:t>
      </w:r>
      <w:r w:rsidR="009824FF" w:rsidRPr="00795698">
        <w:rPr>
          <w:lang w:val="sq-AL"/>
        </w:rPr>
        <w:t>Ulja e ndikimit të propagandës ekstremiste në rrjetet sociale dhe rekrutimit në internet, duke shfrytëzuar mediat sociale dhe median audiovizive si kanale të komunikimit për të promovuar narrativa alternative dhe mesazhe pozitive;</w:t>
      </w:r>
    </w:p>
    <w:p w14:paraId="5FEEF592" w14:textId="77777777" w:rsidR="009824FF" w:rsidRPr="00795698" w:rsidRDefault="00A037C5" w:rsidP="00A037C5">
      <w:pPr>
        <w:pStyle w:val="TEKSTIIIII"/>
        <w:rPr>
          <w:lang w:val="sq-AL"/>
        </w:rPr>
      </w:pPr>
      <w:r w:rsidRPr="00795698">
        <w:rPr>
          <w:lang w:val="sq-AL"/>
        </w:rPr>
        <w:t xml:space="preserve">- </w:t>
      </w:r>
      <w:r w:rsidR="009824FF" w:rsidRPr="00795698">
        <w:rPr>
          <w:lang w:val="sq-AL"/>
        </w:rPr>
        <w:t>Ndjekja e procesit të koordinimit të të gjithë strukturave shtetërore për rehabilitimin dhe riintegrimin e shtetasve të kthyer nga zonat e konflikti, njëherazi duke koordinuar punën dhe orientuar partnerët kombëtarë dhe ndërkombëtarë mbështetës të këtij procesi, për mundësimin e mbështetjes financiare në kohën e duhur.</w:t>
      </w:r>
    </w:p>
    <w:p w14:paraId="5FEEF593" w14:textId="0937FD9F"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Përmes </w:t>
      </w:r>
      <w:r w:rsidR="003C2314" w:rsidRPr="00795698">
        <w:rPr>
          <w:rFonts w:ascii="Garamond" w:hAnsi="Garamond"/>
          <w:color w:val="000000"/>
        </w:rPr>
        <w:t xml:space="preserve">urdhrit nr. 169, datë </w:t>
      </w:r>
      <w:r w:rsidRPr="00795698">
        <w:rPr>
          <w:rFonts w:ascii="Garamond" w:hAnsi="Garamond"/>
          <w:color w:val="000000"/>
        </w:rPr>
        <w:t>1.11.2018, të Kryeministrit është hartuar një Plan Ndërinstitucional</w:t>
      </w:r>
      <w:r w:rsidR="007C064A" w:rsidRPr="00795698">
        <w:rPr>
          <w:rFonts w:ascii="Garamond" w:hAnsi="Garamond"/>
          <w:color w:val="000000"/>
        </w:rPr>
        <w:t xml:space="preserve"> </w:t>
      </w:r>
      <w:r w:rsidRPr="00795698">
        <w:rPr>
          <w:rFonts w:ascii="Garamond" w:hAnsi="Garamond"/>
          <w:color w:val="000000"/>
        </w:rPr>
        <w:t>Veprimi “Për pritjen dhe trajtimin e shtetasve shqiptarë që kthehen nga zonat e konfliktit në Siri dhe Irak”, ku për të gjitha institucionet shqiptare parashikohen detyra konkrete, për asistencë mjekësore, psikologjike, sociale, ekonomike, si dhe ngritjen e kapaciteteve logjistike e njerëzore për pritjen, shoqërimin, si dhe masat për rehabilitimin dhe riintegrimin e tyre.</w:t>
      </w:r>
    </w:p>
    <w:p w14:paraId="5FEEF594" w14:textId="522EFBC3"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Republika e Shqipërisë, përveç se është karakterizuar nga ekstremizmi me bazë </w:t>
      </w:r>
      <w:bookmarkStart w:id="26" w:name="_Hlk58546162"/>
      <w:r w:rsidRPr="00795698">
        <w:rPr>
          <w:rFonts w:ascii="Garamond" w:hAnsi="Garamond"/>
          <w:color w:val="000000"/>
        </w:rPr>
        <w:t xml:space="preserve">radikale </w:t>
      </w:r>
      <w:bookmarkEnd w:id="26"/>
      <w:r w:rsidRPr="00795698">
        <w:rPr>
          <w:rFonts w:ascii="Garamond" w:hAnsi="Garamond"/>
          <w:color w:val="000000"/>
        </w:rPr>
        <w:t>fetare ballafaqohet edhe me forma tjera, siç janë ato me motive nacionaliste apo etnike për të arritur qëllime të caktuara</w:t>
      </w:r>
      <w:r w:rsidR="007C064A" w:rsidRPr="00795698">
        <w:rPr>
          <w:rFonts w:ascii="Garamond" w:hAnsi="Garamond"/>
          <w:color w:val="000000"/>
        </w:rPr>
        <w:t xml:space="preserve"> </w:t>
      </w:r>
      <w:r w:rsidRPr="00795698">
        <w:rPr>
          <w:rFonts w:ascii="Garamond" w:hAnsi="Garamond"/>
          <w:color w:val="000000"/>
        </w:rPr>
        <w:t>politike. Si pasojë e indoktrinimit nga ideologjitë radikale/ekstremiste, qoftë ato nacionaliste apo fetare, një numër i caktuar i shtetasve shqiptarë kanë përfunduar në zonat e konfliktit në Siri dhe Irak, të rekrutuar në radhët e organizatave terroriste.</w:t>
      </w:r>
    </w:p>
    <w:p w14:paraId="5FEEF595" w14:textId="7F44F4E5"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Ndër tendencat kryesore vazhdon të mbetet ekstremizmi me bazë radikale fetare, si rezultat i indoktrinimit me ideologji radikale ekstremiste islamiste të importuara në Shqipëri nga rryma të ndryshme shkollimi të vendeve të Lindjes së Mesme. Pasojat nga këto ideologji tashmë janë evidente, duke filluar nga: bashkimi i </w:t>
      </w:r>
      <w:r w:rsidR="003C2314" w:rsidRPr="00795698">
        <w:rPr>
          <w:rFonts w:ascii="Garamond" w:hAnsi="Garamond"/>
          <w:color w:val="000000"/>
        </w:rPr>
        <w:t>dhjetëra</w:t>
      </w:r>
      <w:r w:rsidRPr="00795698">
        <w:rPr>
          <w:rFonts w:ascii="Garamond" w:hAnsi="Garamond"/>
          <w:color w:val="000000"/>
        </w:rPr>
        <w:t xml:space="preserve"> shtetasve </w:t>
      </w:r>
      <w:r w:rsidR="003C2314" w:rsidRPr="00795698">
        <w:rPr>
          <w:rFonts w:ascii="Garamond" w:hAnsi="Garamond"/>
          <w:color w:val="000000"/>
        </w:rPr>
        <w:t>s</w:t>
      </w:r>
      <w:r w:rsidRPr="00795698">
        <w:rPr>
          <w:rFonts w:ascii="Garamond" w:hAnsi="Garamond"/>
          <w:color w:val="000000"/>
        </w:rPr>
        <w:t xml:space="preserve">hqiptarë në zonat e konfliktit në radhët e organizatave terroriste. Disa prej tyre tashmë të vrarë, familje që kanë ngelur në zonat e konfliktit, me tendencë për përhapjen e ideologjive ekstremiste të dhunshme, krijimin e barrierave ndaj </w:t>
      </w:r>
      <w:r w:rsidRPr="00795698">
        <w:rPr>
          <w:rFonts w:ascii="Garamond" w:hAnsi="Garamond"/>
          <w:color w:val="000000"/>
        </w:rPr>
        <w:lastRenderedPageBreak/>
        <w:t>harmonisë dhe njëkohësisht pengesë e tolerancës fetare, si dhe ajo që është më shqetësuese rritjen e kërcënimeve për sulme terroriste.</w:t>
      </w:r>
    </w:p>
    <w:p w14:paraId="5FEEF596" w14:textId="3F05386F" w:rsidR="009824FF" w:rsidRPr="00795698" w:rsidRDefault="009824FF" w:rsidP="009824FF">
      <w:pPr>
        <w:ind w:firstLine="284"/>
        <w:jc w:val="both"/>
        <w:rPr>
          <w:rFonts w:ascii="Garamond" w:hAnsi="Garamond"/>
          <w:color w:val="000000"/>
        </w:rPr>
      </w:pPr>
      <w:r w:rsidRPr="00795698">
        <w:rPr>
          <w:rFonts w:ascii="Garamond" w:hAnsi="Garamond"/>
          <w:color w:val="000000"/>
        </w:rPr>
        <w:t>Pavarësisht kundërshtimit të vazhdueshëm dhe rezistencës ndaj këtyre ideologjive, pjesë të caktuara të shoqërisë që ishin më të c</w:t>
      </w:r>
      <w:r w:rsidR="00F53E58" w:rsidRPr="00795698">
        <w:rPr>
          <w:rFonts w:ascii="Garamond" w:hAnsi="Garamond"/>
          <w:color w:val="000000"/>
        </w:rPr>
        <w:t>e</w:t>
      </w:r>
      <w:r w:rsidRPr="00795698">
        <w:rPr>
          <w:rFonts w:ascii="Garamond" w:hAnsi="Garamond"/>
          <w:color w:val="000000"/>
        </w:rPr>
        <w:t xml:space="preserve">nueshme, të gjendur të ekspozuar ndaj këtyre ideologjive, kanë rënë viktimë e tyre duke vazhduar thellimin në ekstremizëm dhe radikalizëm. </w:t>
      </w:r>
    </w:p>
    <w:p w14:paraId="5FEEF597"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Më tej prirjet globale në aspektin e ekstremizmit, si dhe fillimi i konflikteve në Lindje të Mesme, veçanërisht në Siri dhe Irak, ku u konsoliduan grupet dhe organizatat terroriste, është shfrytëzuar si moment për radikalizim të theksuar dhe këto konflikte u shndërruan në një fushë veprimi për luftëtarët e huaj terroristë (LHT) nga gjitha Evropa dhe më gjerë, duke përfshirë Ballkanin Perëndimor dhe Republikën e Shqipërisë.</w:t>
      </w:r>
    </w:p>
    <w:p w14:paraId="5FEEF598" w14:textId="4652CC25" w:rsidR="009824FF" w:rsidRPr="00795698" w:rsidRDefault="009824FF" w:rsidP="009824FF">
      <w:pPr>
        <w:ind w:firstLine="284"/>
        <w:jc w:val="both"/>
        <w:rPr>
          <w:rFonts w:ascii="Garamond" w:hAnsi="Garamond"/>
          <w:color w:val="000000"/>
        </w:rPr>
      </w:pPr>
      <w:r w:rsidRPr="00795698">
        <w:rPr>
          <w:rFonts w:ascii="Garamond" w:hAnsi="Garamond"/>
          <w:color w:val="000000"/>
        </w:rPr>
        <w:t>Siç është parë nga shembuj të shumtë në Evropë, individët e radikalizuar mund të kryejnë akte të dhunës ekstreme edhe ndaj popullsisë dhe institucioneve edhe në shtetin e tyre të or</w:t>
      </w:r>
      <w:r w:rsidR="00F53E58" w:rsidRPr="00795698">
        <w:rPr>
          <w:rFonts w:ascii="Garamond" w:hAnsi="Garamond"/>
          <w:color w:val="000000"/>
        </w:rPr>
        <w:t>i</w:t>
      </w:r>
      <w:r w:rsidRPr="00795698">
        <w:rPr>
          <w:rFonts w:ascii="Garamond" w:hAnsi="Garamond"/>
          <w:color w:val="000000"/>
        </w:rPr>
        <w:t xml:space="preserve">gjinës, prandaj dhe rreziku që Shqipëria do të mund të jetë në shënjestër për një sulm të tillë terrorist edhe pse i ulët nuk mund të përjashtohet. </w:t>
      </w:r>
    </w:p>
    <w:p w14:paraId="5FEEF599"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Si rezultat i bashkimit të këtyre shtetasve shqiptarë në organizata terroriste janë shënuar edhe thirrje publike nga ana e tyre për sulme terroriste në Shqipëri dhe rajon, por edhe janë shënuar tentativa për kryerjen e akteve terroriste të parandaluara nga institucionet e sigurisë në Shqipëri. </w:t>
      </w:r>
    </w:p>
    <w:p w14:paraId="5FEEF59A"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Me gjithë faktin që organizatat terroriste kanë humbur territor dhe kontroll në vatrat e krizës, në aspektin ideologjik ato vazhdojnë të kenë mbështetje dhe të shtrijnë ndikimin në vende tjera, duke përfshirë edhe rajonin tonë dhe më gjerë.</w:t>
      </w:r>
    </w:p>
    <w:p w14:paraId="5FEEF59B" w14:textId="77777777" w:rsidR="009824FF" w:rsidRPr="00795698" w:rsidRDefault="009824FF" w:rsidP="009824FF">
      <w:pPr>
        <w:pStyle w:val="Heading3"/>
        <w:spacing w:before="0"/>
        <w:ind w:firstLine="284"/>
        <w:rPr>
          <w:rFonts w:ascii="Garamond" w:hAnsi="Garamond"/>
          <w:color w:val="auto"/>
        </w:rPr>
      </w:pPr>
      <w:bookmarkStart w:id="27" w:name="_Toc108644260"/>
      <w:r w:rsidRPr="00795698">
        <w:rPr>
          <w:rFonts w:ascii="Garamond" w:hAnsi="Garamond"/>
          <w:color w:val="auto"/>
        </w:rPr>
        <w:t xml:space="preserve">2.2.1 </w:t>
      </w:r>
      <w:bookmarkStart w:id="28" w:name="_Hlk57241289"/>
      <w:r w:rsidRPr="00795698">
        <w:rPr>
          <w:rFonts w:ascii="Garamond" w:hAnsi="Garamond"/>
          <w:color w:val="auto"/>
        </w:rPr>
        <w:t>Analiza e situatës</w:t>
      </w:r>
      <w:bookmarkEnd w:id="27"/>
      <w:bookmarkEnd w:id="28"/>
    </w:p>
    <w:p w14:paraId="5FEEF59C" w14:textId="3967E18D" w:rsidR="009824FF" w:rsidRPr="00795698" w:rsidRDefault="009824FF" w:rsidP="009824FF">
      <w:pPr>
        <w:ind w:firstLine="284"/>
        <w:jc w:val="both"/>
        <w:rPr>
          <w:rFonts w:ascii="Garamond" w:hAnsi="Garamond"/>
          <w:color w:val="000000"/>
        </w:rPr>
      </w:pPr>
      <w:r w:rsidRPr="00795698">
        <w:rPr>
          <w:rFonts w:ascii="Garamond" w:hAnsi="Garamond"/>
          <w:color w:val="000000"/>
        </w:rPr>
        <w:t>Republika e Shqipërisë si anëtare e koalicionit ndërkombëtar kundër terrorizmit nga viti 2001 e në vazhdim, ka mbështetur aleatët dhe partnerët në luftën kundër terrorizmit, dhe e ka konsideruar atë prioritet kombëtar dhe për këtë qëllim ajo ka analizuar, hartuar e miratuar kuadrin e nevojshëm ligjor në përputhje me legjislacionin e BE</w:t>
      </w:r>
      <w:r w:rsidR="00F53E58" w:rsidRPr="00795698">
        <w:rPr>
          <w:rFonts w:ascii="Garamond" w:hAnsi="Garamond"/>
          <w:color w:val="000000"/>
        </w:rPr>
        <w:t>-së</w:t>
      </w:r>
      <w:r w:rsidRPr="00795698">
        <w:rPr>
          <w:rFonts w:ascii="Garamond" w:hAnsi="Garamond"/>
          <w:color w:val="000000"/>
        </w:rPr>
        <w:t>, si dhe ka ngritur kapacitetet e nevojshme operacionale e logjistike për të parandaluar dhe luftuar çdo kërcënim ndaj sigurisë kombëtare e ndërkombëtare nga veprimtari terroriste.</w:t>
      </w:r>
    </w:p>
    <w:p w14:paraId="5FEEF59D"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Terrorizmi konsiderohet kërcënim nga të gjitha shtetet e rajonit e më gjerë. Vlerësohet se grupet terroriste ndërkombëtare nuk kanë mundur deri tani të shtrijnë rrjetet e tyre në Shqipëri, por vendi ynë mund të përdoret si strehë apo tranzit për grupe të tilla. </w:t>
      </w:r>
    </w:p>
    <w:p w14:paraId="5FEEF59E" w14:textId="3C85028A"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Strategjia Ndërsektoriale për parandalimin e ekstremizmit të dhunshëm dhe luftën kundër terrorizmit </w:t>
      </w:r>
      <w:r w:rsidR="006249E3" w:rsidRPr="00795698">
        <w:rPr>
          <w:rFonts w:ascii="Garamond" w:hAnsi="Garamond"/>
          <w:color w:val="000000"/>
        </w:rPr>
        <w:t>2023–2025</w:t>
      </w:r>
      <w:r w:rsidRPr="00795698">
        <w:rPr>
          <w:rFonts w:ascii="Garamond" w:hAnsi="Garamond"/>
          <w:color w:val="000000"/>
        </w:rPr>
        <w:t>, është vazhdim i Strategjisë Ndërsektoriale të Luftës kundër Terrorizmit 2011–2015, si detyrim i vendit për përmbushjen e prioriteteve të përcaktuara për të luftuar terrorizmin me të gjitha format e shfaqjes së tij, si dhe nevoja e implementimit të objektivave që dilnin nga detyrimet ndërkombëtare të miratuara nga Këshilli i Sigurisë i OKB-së, Strategjinë e BE-së kundër terrorizmit dhe Konventën Evropiane dhe Protokollin shtesë të saj për parandalimin e terrorizmit, ku adresohet edhe fenomeni i luftëtarëve të huaj terroristë (LHT).</w:t>
      </w:r>
    </w:p>
    <w:p w14:paraId="5FEEF59F" w14:textId="77777777" w:rsidR="009824FF" w:rsidRPr="00795698" w:rsidRDefault="009824FF" w:rsidP="009824FF">
      <w:pPr>
        <w:pStyle w:val="Heading3"/>
        <w:spacing w:before="0"/>
        <w:ind w:firstLine="284"/>
        <w:rPr>
          <w:rFonts w:ascii="Garamond" w:hAnsi="Garamond"/>
          <w:color w:val="auto"/>
        </w:rPr>
      </w:pPr>
      <w:bookmarkStart w:id="29" w:name="_Toc108644261"/>
      <w:r w:rsidRPr="00795698">
        <w:rPr>
          <w:rFonts w:ascii="Garamond" w:hAnsi="Garamond"/>
          <w:color w:val="auto"/>
        </w:rPr>
        <w:t>2.2.2 Faktorët e riskut dhe kërcënimet nga ekstremizmi i dhunshëm dhe terrorizmi në Shqipëri</w:t>
      </w:r>
      <w:bookmarkEnd w:id="29"/>
      <w:r w:rsidRPr="00795698">
        <w:rPr>
          <w:rFonts w:ascii="Garamond" w:hAnsi="Garamond"/>
          <w:color w:val="auto"/>
        </w:rPr>
        <w:t xml:space="preserve"> </w:t>
      </w:r>
    </w:p>
    <w:p w14:paraId="5FEEF5A0" w14:textId="77777777" w:rsidR="009824FF" w:rsidRPr="00795698" w:rsidRDefault="009824FF" w:rsidP="009824FF">
      <w:pPr>
        <w:ind w:firstLine="284"/>
        <w:jc w:val="both"/>
        <w:rPr>
          <w:rFonts w:ascii="Garamond" w:hAnsi="Garamond"/>
        </w:rPr>
      </w:pPr>
      <w:r w:rsidRPr="00795698">
        <w:rPr>
          <w:rFonts w:ascii="Garamond" w:hAnsi="Garamond"/>
        </w:rPr>
        <w:t>Zhvillimet e kohëve të fundit, si ato në Lindjen e Mesme, në Afrikën e Veriut, sulmet e organizatave të terrorit ndërkombëtar të ISIS, Al Kaedës apo të tjerë, e kanë çuar në një nivel tërësisht të ri, sfidën kundër terrorizmit dhe financimit të terrorizmit në nivel kombëtar dhe ndërkombëtar.</w:t>
      </w:r>
    </w:p>
    <w:p w14:paraId="5FEEF5A1" w14:textId="33789FF2" w:rsidR="009824FF" w:rsidRPr="00795698" w:rsidRDefault="009824FF" w:rsidP="009824FF">
      <w:pPr>
        <w:ind w:firstLine="284"/>
        <w:jc w:val="both"/>
        <w:rPr>
          <w:rFonts w:ascii="Garamond" w:hAnsi="Garamond"/>
        </w:rPr>
      </w:pPr>
      <w:r w:rsidRPr="00795698">
        <w:rPr>
          <w:rFonts w:ascii="Garamond" w:hAnsi="Garamond"/>
        </w:rPr>
        <w:t>Në Shqipëri nuk janë evidentuar grupe terroriste që zhvillojnë aktivitet brenda vendit apo më gjerë, por gjatë viteve 2012–2015,</w:t>
      </w:r>
      <w:r w:rsidR="007C064A" w:rsidRPr="00795698">
        <w:rPr>
          <w:rFonts w:ascii="Garamond" w:hAnsi="Garamond"/>
        </w:rPr>
        <w:t xml:space="preserve"> </w:t>
      </w:r>
      <w:r w:rsidRPr="00795698">
        <w:rPr>
          <w:rFonts w:ascii="Garamond" w:hAnsi="Garamond"/>
        </w:rPr>
        <w:t>rreth 144 shtetas</w:t>
      </w:r>
      <w:r w:rsidRPr="00795698">
        <w:rPr>
          <w:rFonts w:ascii="Garamond" w:hAnsi="Garamond"/>
          <w:vertAlign w:val="superscript"/>
        </w:rPr>
        <w:footnoteReference w:id="3"/>
      </w:r>
      <w:r w:rsidRPr="00795698">
        <w:rPr>
          <w:rFonts w:ascii="Garamond" w:hAnsi="Garamond"/>
        </w:rPr>
        <w:t xml:space="preserve"> shqiptarë shkuan në Siri dhe Irak për luftuar në </w:t>
      </w:r>
      <w:r w:rsidRPr="00795698">
        <w:rPr>
          <w:rFonts w:ascii="Garamond" w:hAnsi="Garamond"/>
        </w:rPr>
        <w:lastRenderedPageBreak/>
        <w:t xml:space="preserve">konﬂiktet e armatosura në këto vende. Numri i këtyre luftëtarëve nga Shqipëria që largohen për të marrë pjesë në konﬂiktin në Siri dhe Irak ra në zero në fund të vitit 2015. Nuk përjashtohet mundësia e aktivizimit të tyre duke marrë në konsideratë zhvillimet aktuale në konfliktin sirian (humbja e territoreve dhe kontrollit të ISIL/DAESH). </w:t>
      </w:r>
    </w:p>
    <w:p w14:paraId="5FEEF5A2" w14:textId="6C87DC42" w:rsidR="009824FF" w:rsidRPr="00795698" w:rsidRDefault="009824FF" w:rsidP="009824FF">
      <w:pPr>
        <w:ind w:firstLine="284"/>
        <w:jc w:val="both"/>
        <w:rPr>
          <w:rFonts w:ascii="Garamond" w:hAnsi="Garamond"/>
        </w:rPr>
      </w:pPr>
      <w:r w:rsidRPr="00795698">
        <w:rPr>
          <w:rFonts w:ascii="Garamond" w:hAnsi="Garamond"/>
        </w:rPr>
        <w:t>Po sipas këtij raporti disa prej këtyre luftëtarëve rreth 45 janë kthyer në Shqipëri dhe në këtë kuadër sfidë përbën deradikalizimi dhe riintegrimi i luftëtarëve të huaj pas kthimit në atdhe. Për këtë arsye, qeveria shqiptare ka kërkuar dhe ka siguruar nga parlamenti ndryshimin e kodit penal (</w:t>
      </w:r>
      <w:r w:rsidR="007A234A" w:rsidRPr="00795698">
        <w:rPr>
          <w:rFonts w:ascii="Garamond" w:hAnsi="Garamond"/>
        </w:rPr>
        <w:t>n</w:t>
      </w:r>
      <w:r w:rsidRPr="00795698">
        <w:rPr>
          <w:rFonts w:ascii="Garamond" w:hAnsi="Garamond"/>
        </w:rPr>
        <w:t>eni 265/a,</w:t>
      </w:r>
      <w:r w:rsidR="007A234A" w:rsidRPr="00795698">
        <w:rPr>
          <w:rFonts w:ascii="Garamond" w:hAnsi="Garamond"/>
        </w:rPr>
        <w:t xml:space="preserve"> </w:t>
      </w:r>
      <w:r w:rsidRPr="00795698">
        <w:rPr>
          <w:rFonts w:ascii="Garamond" w:hAnsi="Garamond"/>
        </w:rPr>
        <w:t>b,</w:t>
      </w:r>
      <w:r w:rsidR="007A234A" w:rsidRPr="00795698">
        <w:rPr>
          <w:rFonts w:ascii="Garamond" w:hAnsi="Garamond"/>
        </w:rPr>
        <w:t xml:space="preserve"> </w:t>
      </w:r>
      <w:r w:rsidRPr="00795698">
        <w:rPr>
          <w:rFonts w:ascii="Garamond" w:hAnsi="Garamond"/>
        </w:rPr>
        <w:t>c) mbi pjesëmarrjen e shtetasve shqiptarë në konflikte të armatosura në vende të tjera.</w:t>
      </w:r>
    </w:p>
    <w:p w14:paraId="5FEEF5A3" w14:textId="5B205E5F"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Rreziku i paraqitur prej luftëtarëve të rikthyer konsiston në lidhjet e tyre potenciale me ekstremistët në rajon apo Evropë, në lidhjet që mund të mbajnë me ekstremistët në zonat e konfliktit, në mundësinë e përdorimit të mediave sociale për thirrje për t</w:t>
      </w:r>
      <w:r w:rsidR="0041767D" w:rsidRPr="00795698">
        <w:rPr>
          <w:rFonts w:ascii="Garamond" w:hAnsi="Garamond"/>
          <w:sz w:val="24"/>
          <w:szCs w:val="24"/>
          <w:lang w:val="sq-AL"/>
        </w:rPr>
        <w:t>’</w:t>
      </w:r>
      <w:r w:rsidRPr="00795698">
        <w:rPr>
          <w:rFonts w:ascii="Garamond" w:hAnsi="Garamond"/>
          <w:sz w:val="24"/>
          <w:szCs w:val="24"/>
          <w:lang w:val="sq-AL"/>
        </w:rPr>
        <w:t>iu bashkuar luftimeve, në informacionin që disponojnë sesi mund të shkohet në Siri. Nga ana tjetër, personat e kthyer mund të konsiderohen të trajnuar dhe me eksperiencë në përdorimin e armëve dhe të eksplozivëve, duke rritur gjasat e aktivitetit terrorist brenda vendit, apo edhe në rajon.</w:t>
      </w:r>
    </w:p>
    <w:p w14:paraId="5FEEF5A5"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Në vitin 2016 përfundoi gjykimi dhe u shpallën fajtorë 9 të pandehur, të akuzuar për “Rekrutim të personave për kryerjen e veprimeve terroriste”. Ky grup personash ishte rasti i parë i hetimit dhe i gjykimit për rekrutimin e të ashtuquajturve “Luftëtarë të Huaj”.</w:t>
      </w:r>
    </w:p>
    <w:p w14:paraId="5FEEF5A6"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Në lidhje me këtë fenomen shtetas shqiptar që kanë udhëtuar drejt vendeve të konfliktit nuk është evidentuar ndonjë zinxhir apo fluks financimesh, por mendohet se i kanë mbuluar vetë këto shpenzime.</w:t>
      </w:r>
    </w:p>
    <w:p w14:paraId="5FEEF5A7"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Faktorët që mund të ndikojnë në rekrutimin e shtetasve shqiptarë drejt vendeve të konfliktit janë: situata aktuale në nivel ndërkombëtar e sipërpërmendur, niveli i ulët ekonomik, papunësia, varfëria, niveli i ulët arsimor, ndikimi i komuniteteve fetare jo zyrtare me tendencë radikale dhe përdorimit i mjeteve online të propagandës.</w:t>
      </w:r>
    </w:p>
    <w:p w14:paraId="5FEEF5A8"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 xml:space="preserve">Shqipëria në historikun e saj nuk ka qenë objekt i akteve terroriste, por në nëntor të vitit 2016 një operacion i koordinuar rajonal kundër terrorizmit çoi në arrestimin e katër individëve në Shqipëri. Operacioni ndërpreu një sulm potencial për një ndeshje të futbollit për kualifikueset e Kupës së Botës nga Shqipëria dhe Izraeli, që u zhvillua në Shkodër. Gjithashtu, në vitin 2017 janë kryer pesë operacione të tjera, ku 12 të dyshuar janë arrestuar me akuza për vepra terroriste. </w:t>
      </w:r>
    </w:p>
    <w:p w14:paraId="5FEEF5A9"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Si rrjedhojë e zhvillimeve ndërkombëtare, në Shqipëri janë futur koncepte të tilla si, radikalizimi fetar dhe ekstremizmi i dhunshëm, të cilat mund të përbejnë një kërcënim të mundshëm për akte terroriste.</w:t>
      </w:r>
    </w:p>
    <w:p w14:paraId="5FEEF5AA"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Rrezikshmëria e radikalizimit dhe ekstremizmit me frymëzim ideologjik, fetar apo nacionalist konsiston pikërisht në faktin se ushqejnë veprimtaritë terroriste. Në ditët tona vëmendja kryesore është e fokusuar pikërisht në terrorizmin që shfrytëzon radikalizmin me bazë religjioze fetare.</w:t>
      </w:r>
    </w:p>
    <w:p w14:paraId="5FEEF5AB" w14:textId="7225B603" w:rsidR="009824FF" w:rsidRPr="00795698" w:rsidRDefault="00A037C5" w:rsidP="009824FF">
      <w:pPr>
        <w:pStyle w:val="NoSpacing10"/>
        <w:ind w:firstLine="284"/>
        <w:jc w:val="both"/>
        <w:rPr>
          <w:rFonts w:ascii="Garamond" w:hAnsi="Garamond"/>
          <w:sz w:val="24"/>
          <w:szCs w:val="24"/>
          <w:lang w:val="sq-AL"/>
        </w:rPr>
      </w:pPr>
      <w:r w:rsidRPr="00795698">
        <w:rPr>
          <w:rFonts w:ascii="Garamond" w:hAnsi="Garamond"/>
          <w:sz w:val="24"/>
          <w:szCs w:val="24"/>
          <w:lang w:val="sq-AL"/>
        </w:rPr>
        <w:t xml:space="preserve">Ndër metodat </w:t>
      </w:r>
      <w:r w:rsidR="009824FF" w:rsidRPr="00795698">
        <w:rPr>
          <w:rFonts w:ascii="Garamond" w:hAnsi="Garamond"/>
          <w:sz w:val="24"/>
          <w:szCs w:val="24"/>
          <w:lang w:val="sq-AL"/>
        </w:rPr>
        <w:t xml:space="preserve">e radikalizimit dhe rekrutimit në vendin tonë përmendim propagandën nëpërmjet përdorimit të internetit, ligjëratës e predikimeve në ambiente jashtë juridiksionit të autoriteteve fetare të njohura në Republikën e Shqipërisë. Grupet më të targetuara </w:t>
      </w:r>
      <w:r w:rsidR="007A234A" w:rsidRPr="00795698">
        <w:rPr>
          <w:rFonts w:ascii="Garamond" w:hAnsi="Garamond"/>
          <w:sz w:val="24"/>
          <w:szCs w:val="24"/>
          <w:lang w:val="sq-AL"/>
        </w:rPr>
        <w:t>vlerësohet</w:t>
      </w:r>
      <w:r w:rsidR="009824FF" w:rsidRPr="00795698">
        <w:rPr>
          <w:rFonts w:ascii="Garamond" w:hAnsi="Garamond"/>
          <w:sz w:val="24"/>
          <w:szCs w:val="24"/>
          <w:lang w:val="sq-AL"/>
        </w:rPr>
        <w:t xml:space="preserve"> të jenë moshat 20</w:t>
      </w:r>
      <w:r w:rsidR="007A234A" w:rsidRPr="00795698">
        <w:rPr>
          <w:rFonts w:ascii="Garamond" w:hAnsi="Garamond"/>
          <w:sz w:val="24"/>
          <w:szCs w:val="24"/>
          <w:lang w:val="sq-AL"/>
        </w:rPr>
        <w:t>–</w:t>
      </w:r>
      <w:r w:rsidR="009824FF" w:rsidRPr="00795698">
        <w:rPr>
          <w:rFonts w:ascii="Garamond" w:hAnsi="Garamond"/>
          <w:sz w:val="24"/>
          <w:szCs w:val="24"/>
          <w:lang w:val="sq-AL"/>
        </w:rPr>
        <w:t xml:space="preserve">35 vjeç. </w:t>
      </w:r>
    </w:p>
    <w:p w14:paraId="5FEEF5AC" w14:textId="45ECF5C6"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Nga një prespektivë gjeografike rezulton se fenomeni është përqendruar në qytetet Elbasan, Pogradec, Librazhd, Bulqizë, Cërrik, Kukës, Dibër, Kavaja dhe në zonat rurale që rrethojnë këto qytete. Faktorët që kanë ndikuar mendohet të jenë: radikalizimi i hershëm, niveli i ulët arsimor dhe teologjik, probleme ekonomike dhe sociale, bu</w:t>
      </w:r>
      <w:r w:rsidR="00C41FAE" w:rsidRPr="00795698">
        <w:rPr>
          <w:rFonts w:ascii="Garamond" w:hAnsi="Garamond"/>
          <w:sz w:val="24"/>
          <w:szCs w:val="24"/>
          <w:lang w:val="sq-AL"/>
        </w:rPr>
        <w:t>l</w:t>
      </w:r>
      <w:r w:rsidRPr="00795698">
        <w:rPr>
          <w:rFonts w:ascii="Garamond" w:hAnsi="Garamond"/>
          <w:sz w:val="24"/>
          <w:szCs w:val="24"/>
          <w:lang w:val="sq-AL"/>
        </w:rPr>
        <w:t>lizmi, shëndeti mendor, premtimet për dhënie ndihme financiare.</w:t>
      </w:r>
    </w:p>
    <w:p w14:paraId="5FEEF5AD" w14:textId="3A8EAB70"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 xml:space="preserve">Për sa </w:t>
      </w:r>
      <w:r w:rsidR="00CA234B" w:rsidRPr="00795698">
        <w:rPr>
          <w:rFonts w:ascii="Garamond" w:hAnsi="Garamond"/>
          <w:sz w:val="24"/>
          <w:szCs w:val="24"/>
          <w:lang w:val="sq-AL"/>
        </w:rPr>
        <w:t>u</w:t>
      </w:r>
      <w:r w:rsidRPr="00795698">
        <w:rPr>
          <w:rFonts w:ascii="Garamond" w:hAnsi="Garamond"/>
          <w:sz w:val="24"/>
          <w:szCs w:val="24"/>
          <w:lang w:val="sq-AL"/>
        </w:rPr>
        <w:t xml:space="preserve"> përket faktorëve që kanë ndikuar ndjeshëm në minimizimin e rrezikut të përfshirjes së shtetasve të vendit tonë në fenomenet e radikalizmit/ekstremizmit ekstremizmit/radikalizmit me matricë religjioze, janë toleranca reciproke dhe bashkëjetesa shekullore mes besimeve në vend, fakti </w:t>
      </w:r>
      <w:r w:rsidRPr="00795698">
        <w:rPr>
          <w:rFonts w:ascii="Garamond" w:hAnsi="Garamond"/>
          <w:sz w:val="24"/>
          <w:szCs w:val="24"/>
          <w:lang w:val="sq-AL"/>
        </w:rPr>
        <w:lastRenderedPageBreak/>
        <w:t xml:space="preserve">se besimi fetar në vendin tonë ka një kuptim krejt perëndimor dhe nuk nënkuptohet si mënyrë jetese, fakti se dukshëm dominon identiteti kombëtar mbi atë fetar. </w:t>
      </w:r>
    </w:p>
    <w:p w14:paraId="5FEEF5AE" w14:textId="77777777" w:rsidR="009824FF" w:rsidRPr="00795698" w:rsidRDefault="009824FF" w:rsidP="009824FF">
      <w:pPr>
        <w:pStyle w:val="NoSpacing10"/>
        <w:ind w:firstLine="284"/>
        <w:jc w:val="both"/>
        <w:rPr>
          <w:rFonts w:ascii="Garamond" w:hAnsi="Garamond"/>
          <w:sz w:val="24"/>
          <w:szCs w:val="24"/>
          <w:lang w:val="sq-AL"/>
        </w:rPr>
      </w:pPr>
      <w:r w:rsidRPr="00795698">
        <w:rPr>
          <w:rFonts w:ascii="Garamond" w:hAnsi="Garamond"/>
          <w:sz w:val="24"/>
          <w:szCs w:val="24"/>
          <w:lang w:val="sq-AL"/>
        </w:rPr>
        <w:t xml:space="preserve">Megjithatë disa nga faktorët të cilët ndikojnë në radikalizimin dhe ekstremizmin që çon në shfaqjen e akteve të dhunës janë: </w:t>
      </w:r>
    </w:p>
    <w:p w14:paraId="5FEEF5AF" w14:textId="1EDE286A" w:rsidR="009824FF" w:rsidRPr="00795698" w:rsidRDefault="00A037C5" w:rsidP="00A037C5">
      <w:pPr>
        <w:pStyle w:val="NoSpacing10"/>
        <w:ind w:firstLine="284"/>
        <w:jc w:val="both"/>
        <w:rPr>
          <w:rFonts w:ascii="Garamond" w:hAnsi="Garamond"/>
          <w:sz w:val="24"/>
          <w:szCs w:val="24"/>
          <w:lang w:val="sq-AL"/>
        </w:rPr>
      </w:pPr>
      <w:r w:rsidRPr="00795698">
        <w:rPr>
          <w:rFonts w:ascii="Garamond" w:hAnsi="Garamond"/>
          <w:b/>
          <w:bCs/>
          <w:sz w:val="24"/>
          <w:szCs w:val="24"/>
          <w:lang w:val="sq-AL"/>
        </w:rPr>
        <w:t xml:space="preserve">- </w:t>
      </w:r>
      <w:r w:rsidR="009824FF" w:rsidRPr="00795698">
        <w:rPr>
          <w:rFonts w:ascii="Garamond" w:hAnsi="Garamond"/>
          <w:b/>
          <w:bCs/>
          <w:sz w:val="24"/>
          <w:szCs w:val="24"/>
          <w:lang w:val="sq-AL"/>
        </w:rPr>
        <w:t>Nxitësit socio-ekonomikë</w:t>
      </w:r>
      <w:r w:rsidR="009824FF" w:rsidRPr="00795698">
        <w:rPr>
          <w:rFonts w:ascii="Garamond" w:hAnsi="Garamond"/>
          <w:sz w:val="24"/>
          <w:szCs w:val="24"/>
          <w:lang w:val="sq-AL"/>
        </w:rPr>
        <w:t xml:space="preserve"> – </w:t>
      </w:r>
      <w:r w:rsidR="00C41FAE" w:rsidRPr="00795698">
        <w:rPr>
          <w:rFonts w:ascii="Garamond" w:hAnsi="Garamond"/>
          <w:sz w:val="24"/>
          <w:szCs w:val="24"/>
          <w:lang w:val="sq-AL"/>
        </w:rPr>
        <w:t>f</w:t>
      </w:r>
      <w:r w:rsidR="009824FF" w:rsidRPr="00795698">
        <w:rPr>
          <w:rFonts w:ascii="Garamond" w:hAnsi="Garamond"/>
          <w:sz w:val="24"/>
          <w:szCs w:val="24"/>
          <w:lang w:val="sq-AL"/>
        </w:rPr>
        <w:t>aktorë të tillë</w:t>
      </w:r>
      <w:r w:rsidR="00B4110E" w:rsidRPr="00795698">
        <w:rPr>
          <w:rFonts w:ascii="Garamond" w:hAnsi="Garamond"/>
          <w:sz w:val="24"/>
          <w:szCs w:val="24"/>
          <w:lang w:val="sq-AL"/>
        </w:rPr>
        <w:t>,</w:t>
      </w:r>
      <w:r w:rsidR="009824FF" w:rsidRPr="00795698">
        <w:rPr>
          <w:rFonts w:ascii="Garamond" w:hAnsi="Garamond"/>
          <w:sz w:val="24"/>
          <w:szCs w:val="24"/>
          <w:lang w:val="sq-AL"/>
        </w:rPr>
        <w:t xml:space="preserve"> si</w:t>
      </w:r>
      <w:r w:rsidR="00B4110E" w:rsidRPr="00795698">
        <w:rPr>
          <w:rFonts w:ascii="Garamond" w:hAnsi="Garamond"/>
          <w:sz w:val="24"/>
          <w:szCs w:val="24"/>
          <w:lang w:val="sq-AL"/>
        </w:rPr>
        <w:t>:</w:t>
      </w:r>
      <w:r w:rsidR="009824FF" w:rsidRPr="00795698">
        <w:rPr>
          <w:rFonts w:ascii="Garamond" w:hAnsi="Garamond"/>
          <w:sz w:val="24"/>
          <w:szCs w:val="24"/>
          <w:lang w:val="sq-AL"/>
        </w:rPr>
        <w:t xml:space="preserve"> varfëria absolute apo relative, fragmentimi social, përjashtimi social, diskriminimi dhe veprimtaria e paligjshme ekonomike sjellin zhgënjimin me sistemin politik dhe ekonomik. Kur nevojat e papërmbushura ndërthuren me trajtimin e padrejtë të qytetarëve nga institucionet shtetërore (fenomene që po marrin më shumë përhapje për shkak të pandemisë), mund të lindë ndjenja e pakënaqësisë me shtetin dhe shoqërinë. Në mënyrë të veçantë, të rinjtë e papunë apo të izoluar mund të jenë të cenueshëm nga propaganda e ideologjive ekstremiste që mbrojnë përdorimin e dhunës për të protestuar kundër rendit ekzistues dhe për të bërë të mundur ndryshimet e dëshiruara si dhe për përfitime personale. Propaganda e ekstremizmit të dhunshëm mund të jetë veçanërisht tërheqëse për ta për shkak të premtimeve për punëve me fitim dhe zonave të përbashkëta të veprimit. Perceptimet për diskriminimin shoqëror ndaj një individi apo komuniteti (ose të dyjave) mund të jetë në një kuptim të gjerë nxitës i ekstremizmit të dhunshëm. Ndonëse në Shqipëri diskriminimi shoqëror me motiv fetar nuk evidentohet dukshëm, ngaqë shumica e shqiptarëve janë tolerantë ndaj grupeve të tjera fetare, ka disa faktorë që kërkojnë vëmendjen e aktorëve përkatës. Vihet re një rritje e konsiderueshme të grupeve fetare që ofrojnë të mira ekonomike apo materiale për ata që praktikojnë fenë e tyre, krahasuar me vitin 2018.</w:t>
      </w:r>
    </w:p>
    <w:p w14:paraId="5FEEF5B0" w14:textId="4E28F5DE" w:rsidR="009824FF" w:rsidRPr="00795698" w:rsidRDefault="00184D59" w:rsidP="00184D59">
      <w:pPr>
        <w:pStyle w:val="NoSpacing10"/>
        <w:ind w:firstLine="284"/>
        <w:jc w:val="both"/>
        <w:rPr>
          <w:rFonts w:ascii="Garamond" w:hAnsi="Garamond"/>
          <w:sz w:val="24"/>
          <w:szCs w:val="24"/>
          <w:lang w:val="sq-AL"/>
        </w:rPr>
      </w:pPr>
      <w:r w:rsidRPr="00795698">
        <w:rPr>
          <w:rFonts w:ascii="Garamond" w:hAnsi="Garamond"/>
          <w:b/>
          <w:bCs/>
          <w:sz w:val="24"/>
          <w:szCs w:val="24"/>
          <w:lang w:val="sq-AL"/>
        </w:rPr>
        <w:t xml:space="preserve">- </w:t>
      </w:r>
      <w:r w:rsidR="009824FF" w:rsidRPr="00795698">
        <w:rPr>
          <w:rFonts w:ascii="Garamond" w:hAnsi="Garamond"/>
          <w:b/>
          <w:bCs/>
          <w:sz w:val="24"/>
          <w:szCs w:val="24"/>
          <w:lang w:val="sq-AL"/>
        </w:rPr>
        <w:t>Nxitësit politikë</w:t>
      </w:r>
      <w:r w:rsidR="009824FF" w:rsidRPr="00795698">
        <w:rPr>
          <w:rFonts w:ascii="Garamond" w:hAnsi="Garamond"/>
          <w:sz w:val="24"/>
          <w:szCs w:val="24"/>
          <w:lang w:val="sq-AL"/>
        </w:rPr>
        <w:t xml:space="preserve"> – </w:t>
      </w:r>
      <w:r w:rsidR="00B4110E" w:rsidRPr="00795698">
        <w:rPr>
          <w:rFonts w:ascii="Garamond" w:hAnsi="Garamond"/>
          <w:sz w:val="24"/>
          <w:szCs w:val="24"/>
          <w:lang w:val="sq-AL"/>
        </w:rPr>
        <w:t>n</w:t>
      </w:r>
      <w:r w:rsidR="009824FF" w:rsidRPr="00795698">
        <w:rPr>
          <w:rFonts w:ascii="Garamond" w:hAnsi="Garamond"/>
          <w:sz w:val="24"/>
          <w:szCs w:val="24"/>
          <w:lang w:val="sq-AL"/>
        </w:rPr>
        <w:t xml:space="preserve">xitësit politikë lidhen me gjendjen aktuale dhe të perceptuar të demokracisë, qeverisjen dhe funksionimin e shtetit ligjor në një vend. Edhe pse kanë kaluar 30 vjet që nga rënia e sistemit komunist, Shqipëria ka akoma rrugë për krijimin e një sistemi të një demokracie të konsoliduar, në drejtim të pavarësisë, efektivitetit dhe llogaridhënies së pushtetit legjislativ dhe atij ekzekutiv gjë që ndikon në besimin e qytetarëve te qeverisja dhe shteti ligjor. Nxitësit “Korrupsioni i përhapur dhe pandëshkueshmëria e elitave me lidhje të forta” dhe “Perceptimi se sistemi ndërkombëtar është thelbësisht i padrejtë dhe armiqësor me shoqëritë/popujt myslimanë” kanë marrë mbështetje edhe në grupe të caktuara të shqiptarëve. Disa nxitës që mund të mos jenë probleme të ngutshme sipas shumicës së shqiptarëve mund të jenë të tillë për grupe të caktuara, si njerëzit që banojnë në zona të izoluara, për besimtarët praktikantë, apo për shqiptarët që i përkasin një grupi të caktuar fetar. Në një kontekst të tillë, grupet ekstremiste të dhunshme e kanë më të lehtë ta promovojnë veten si alternativë e drejtë përkundër elitave të perceptuara imorale ose të padrejta qeverisëse. Besimtarët praktikantë priren më pak të jenë dakord se njerëzit duhet të përdorin dhunën për të arritur këtë ndryshim dhe kanë më shumë gjasa se të tjerët për të thënë se besimtari i vërtetë duhet të denoncojë anëtarët e komunitetit të tij fetar që shprehin pikëpamje ekstremiste fetare. </w:t>
      </w:r>
    </w:p>
    <w:p w14:paraId="5FEEF5B1" w14:textId="6B13521C" w:rsidR="009824FF" w:rsidRPr="00795698" w:rsidRDefault="00184D59" w:rsidP="00184D59">
      <w:pPr>
        <w:pStyle w:val="NoSpacing10"/>
        <w:ind w:firstLine="284"/>
        <w:jc w:val="both"/>
        <w:rPr>
          <w:rFonts w:ascii="Garamond" w:hAnsi="Garamond"/>
          <w:sz w:val="24"/>
          <w:szCs w:val="24"/>
          <w:lang w:val="sq-AL"/>
        </w:rPr>
      </w:pPr>
      <w:r w:rsidRPr="00795698">
        <w:rPr>
          <w:rFonts w:ascii="Garamond" w:hAnsi="Garamond"/>
          <w:b/>
          <w:bCs/>
          <w:sz w:val="24"/>
          <w:szCs w:val="24"/>
          <w:lang w:val="sq-AL"/>
        </w:rPr>
        <w:t xml:space="preserve">- </w:t>
      </w:r>
      <w:r w:rsidR="009824FF" w:rsidRPr="00795698">
        <w:rPr>
          <w:rFonts w:ascii="Garamond" w:hAnsi="Garamond"/>
          <w:b/>
          <w:bCs/>
          <w:sz w:val="24"/>
          <w:szCs w:val="24"/>
          <w:lang w:val="sq-AL"/>
        </w:rPr>
        <w:t>Nxitësit kulturorë</w:t>
      </w:r>
      <w:r w:rsidR="009824FF" w:rsidRPr="00795698">
        <w:rPr>
          <w:rFonts w:ascii="Garamond" w:hAnsi="Garamond"/>
          <w:sz w:val="24"/>
          <w:szCs w:val="24"/>
          <w:lang w:val="sq-AL"/>
        </w:rPr>
        <w:t xml:space="preserve"> – </w:t>
      </w:r>
      <w:r w:rsidR="00B4110E" w:rsidRPr="00795698">
        <w:rPr>
          <w:rFonts w:ascii="Garamond" w:hAnsi="Garamond"/>
          <w:sz w:val="24"/>
          <w:szCs w:val="24"/>
          <w:lang w:val="sq-AL"/>
        </w:rPr>
        <w:t>p</w:t>
      </w:r>
      <w:r w:rsidR="009824FF" w:rsidRPr="00795698">
        <w:rPr>
          <w:rFonts w:ascii="Garamond" w:hAnsi="Garamond"/>
          <w:sz w:val="24"/>
          <w:szCs w:val="24"/>
          <w:lang w:val="sq-AL"/>
        </w:rPr>
        <w:t xml:space="preserve">erceptimi i rrezikut të mundshëm për identitetin e njerëzve dhe mënyrën e tyre të jetesës mund të jetë nxitës i rëndësishëm për ekstremizmin e dhunshëm, siç ishte rasti me Shtetin Islamik të Irakut dhe Sirisë. Parakushti më i rëndësishëm që njerëzit të bien pre e kësaj propagande është se ata duhet të jenë një ndjesi më të fortë të përkatësisë ndaj një komuniteti fetar rajonal apo edhe global sesa ndaj një popullate apo kulture vendase. Ndërkohë që shumica e të anketuarve nuk mendojnë se ka qëndrime armiqësore ndaj Islamit, përqindja e shqiptarëve që janë dakord me pohimin “Perëndimi është armiqësor dhe sulmon vazhdimisht vendet dhe kulturën islame” është rritur në krahasim me vitet e mëparshme. Vlen të theksohet se interpretimi ekstremist i një besimi nuk implikon domosdoshmërisht praninë e ekstremizmit të dhunshëm. Këto gjetje sugjerojnë nevojën për të vazhduar monitorimin e ndikimit të huaj te çështjet e brendshme fetare, ndërkohë që duhet të vazhdohet me dialogun gjithëpërfshirës. Duke u mbështetur te vlerat kombëtare, si toleranca fetare, ky dialog do të bëjë të mundur që qëndrimet </w:t>
      </w:r>
      <w:r w:rsidR="00B4110E" w:rsidRPr="00795698">
        <w:rPr>
          <w:rFonts w:ascii="Garamond" w:hAnsi="Garamond"/>
          <w:sz w:val="24"/>
          <w:szCs w:val="24"/>
          <w:lang w:val="sq-AL"/>
        </w:rPr>
        <w:t>jo</w:t>
      </w:r>
      <w:r w:rsidR="009824FF" w:rsidRPr="00795698">
        <w:rPr>
          <w:rFonts w:ascii="Garamond" w:hAnsi="Garamond"/>
          <w:sz w:val="24"/>
          <w:szCs w:val="24"/>
          <w:lang w:val="sq-AL"/>
        </w:rPr>
        <w:t xml:space="preserve">standarde të mos </w:t>
      </w:r>
      <w:r w:rsidR="009824FF" w:rsidRPr="00795698">
        <w:rPr>
          <w:rFonts w:ascii="Garamond" w:hAnsi="Garamond"/>
          <w:sz w:val="24"/>
          <w:szCs w:val="24"/>
          <w:lang w:val="sq-AL"/>
        </w:rPr>
        <w:lastRenderedPageBreak/>
        <w:t>tjetërsohen - duke ekuilibruar kështu çdo ndikim të huaj që do të synonte të ndërhynte në identitetin e tij. Në këtë drejtim, autoritetet fetare, në mënyrë të veçantë, mund të luajnë një rol vendimtar.</w:t>
      </w:r>
      <w:r w:rsidR="009824FF" w:rsidRPr="00795698">
        <w:rPr>
          <w:rStyle w:val="FootnoteReference"/>
          <w:rFonts w:ascii="Garamond" w:hAnsi="Garamond"/>
          <w:sz w:val="24"/>
          <w:lang w:val="sq-AL"/>
        </w:rPr>
        <w:footnoteReference w:id="4"/>
      </w:r>
    </w:p>
    <w:p w14:paraId="5FEEF5B2" w14:textId="77777777" w:rsidR="009824FF" w:rsidRPr="00795698" w:rsidRDefault="009824FF" w:rsidP="009824FF">
      <w:pPr>
        <w:pStyle w:val="NoSpacing10"/>
        <w:ind w:firstLine="284"/>
        <w:jc w:val="both"/>
        <w:rPr>
          <w:rFonts w:ascii="Garamond" w:eastAsia="MS Mincho" w:hAnsi="Garamond"/>
          <w:sz w:val="24"/>
          <w:szCs w:val="24"/>
          <w:lang w:val="sq-AL"/>
        </w:rPr>
      </w:pPr>
      <w:r w:rsidRPr="00795698">
        <w:rPr>
          <w:rFonts w:ascii="Garamond" w:eastAsia="MS Mincho" w:hAnsi="Garamond"/>
          <w:sz w:val="24"/>
          <w:szCs w:val="24"/>
          <w:lang w:val="sq-AL"/>
        </w:rPr>
        <w:t xml:space="preserve">Disa nga faktorët të cilët mund të ndikojnë për shfaqjen e akteve terroriste janë: </w:t>
      </w:r>
    </w:p>
    <w:p w14:paraId="5FEEF5B3" w14:textId="77777777" w:rsidR="009824FF" w:rsidRPr="00795698" w:rsidRDefault="00184D59" w:rsidP="00184D59">
      <w:pPr>
        <w:pStyle w:val="TEKSTIIIII"/>
        <w:rPr>
          <w:rFonts w:eastAsia="MS Mincho"/>
          <w:lang w:val="sq-AL"/>
        </w:rPr>
      </w:pPr>
      <w:r w:rsidRPr="00795698">
        <w:rPr>
          <w:rFonts w:eastAsia="MS Mincho"/>
          <w:lang w:val="sq-AL"/>
        </w:rPr>
        <w:t xml:space="preserve">- </w:t>
      </w:r>
      <w:r w:rsidR="009824FF" w:rsidRPr="00795698">
        <w:rPr>
          <w:rFonts w:eastAsia="MS Mincho"/>
          <w:lang w:val="sq-AL"/>
        </w:rPr>
        <w:t>Pozita gjeostrategjike e vendit tonë dhe tensionet e konfliktet me bazë etnike në rajon;</w:t>
      </w:r>
    </w:p>
    <w:p w14:paraId="5FEEF5B4" w14:textId="77777777" w:rsidR="009824FF" w:rsidRPr="00795698" w:rsidRDefault="00184D59" w:rsidP="00184D59">
      <w:pPr>
        <w:pStyle w:val="TEKSTIIIII"/>
        <w:rPr>
          <w:rFonts w:eastAsia="MS Mincho"/>
          <w:lang w:val="sq-AL"/>
        </w:rPr>
      </w:pPr>
      <w:r w:rsidRPr="00795698">
        <w:rPr>
          <w:rFonts w:eastAsia="MS Mincho"/>
          <w:lang w:val="sq-AL"/>
        </w:rPr>
        <w:t xml:space="preserve">- </w:t>
      </w:r>
      <w:r w:rsidR="009824FF" w:rsidRPr="00795698">
        <w:rPr>
          <w:rFonts w:eastAsia="MS Mincho"/>
          <w:lang w:val="sq-AL"/>
        </w:rPr>
        <w:t>Keqpërdorimi i lehtësive që krijon lëvizja e lirë e shtetasve;</w:t>
      </w:r>
    </w:p>
    <w:p w14:paraId="5FEEF5B5" w14:textId="77777777" w:rsidR="009824FF" w:rsidRPr="00795698" w:rsidRDefault="00184D59" w:rsidP="00184D59">
      <w:pPr>
        <w:pStyle w:val="TEKSTIIIII"/>
        <w:rPr>
          <w:rFonts w:eastAsia="MS Mincho"/>
          <w:lang w:val="sq-AL"/>
        </w:rPr>
      </w:pPr>
      <w:r w:rsidRPr="00795698">
        <w:rPr>
          <w:rFonts w:eastAsia="MS Mincho"/>
          <w:lang w:val="sq-AL"/>
        </w:rPr>
        <w:t xml:space="preserve">- </w:t>
      </w:r>
      <w:r w:rsidR="009824FF" w:rsidRPr="00795698">
        <w:rPr>
          <w:rFonts w:eastAsia="MS Mincho"/>
          <w:lang w:val="sq-AL"/>
        </w:rPr>
        <w:t>Rreziku i depërtimit nëpërmjet imigrantëve të rregullt, të personave me tendenca terroriste, të larguar nga vendet në konflikt për të shkuar në Evropë;</w:t>
      </w:r>
    </w:p>
    <w:p w14:paraId="5FEEF5B6" w14:textId="77777777" w:rsidR="009824FF" w:rsidRPr="00795698" w:rsidRDefault="00184D59" w:rsidP="00184D59">
      <w:pPr>
        <w:pStyle w:val="TEKSTIIIII"/>
        <w:rPr>
          <w:rFonts w:eastAsia="MS Mincho"/>
          <w:lang w:val="sq-AL"/>
        </w:rPr>
      </w:pPr>
      <w:r w:rsidRPr="00795698">
        <w:rPr>
          <w:rFonts w:eastAsia="MS Mincho"/>
          <w:lang w:val="sq-AL"/>
        </w:rPr>
        <w:t xml:space="preserve">- </w:t>
      </w:r>
      <w:r w:rsidR="009824FF" w:rsidRPr="00795698">
        <w:rPr>
          <w:rFonts w:eastAsia="MS Mincho"/>
          <w:lang w:val="sq-AL"/>
        </w:rPr>
        <w:t>Interneti, rrjetet sociale dhe teknologjia e përparuar, ndihmojnë në propagandimin dhe përhapjen e radikalizmit/ekstremizmit.</w:t>
      </w:r>
    </w:p>
    <w:p w14:paraId="5FEEF5B7" w14:textId="77777777" w:rsidR="009824FF" w:rsidRPr="00795698" w:rsidRDefault="009824FF" w:rsidP="009824FF">
      <w:pPr>
        <w:ind w:firstLine="284"/>
        <w:jc w:val="both"/>
        <w:rPr>
          <w:rFonts w:ascii="Garamond" w:hAnsi="Garamond"/>
          <w:color w:val="000000"/>
        </w:rPr>
      </w:pPr>
      <w:r w:rsidRPr="00795698">
        <w:rPr>
          <w:rFonts w:ascii="Garamond" w:hAnsi="Garamond"/>
          <w:color w:val="000000"/>
        </w:rPr>
        <w:t xml:space="preserve">Ndër kërcënimet e mundshme të terrorizmit me të cilat mund të ballafaqohet vendi ynë janë: </w:t>
      </w:r>
    </w:p>
    <w:p w14:paraId="5FEEF5B8" w14:textId="0C3343D0" w:rsidR="009824FF" w:rsidRPr="00795698" w:rsidRDefault="00184D59" w:rsidP="00184D59">
      <w:pPr>
        <w:ind w:firstLine="284"/>
        <w:jc w:val="both"/>
        <w:rPr>
          <w:rFonts w:ascii="Garamond" w:hAnsi="Garamond"/>
          <w:color w:val="000000"/>
        </w:rPr>
      </w:pPr>
      <w:r w:rsidRPr="00795698">
        <w:rPr>
          <w:rFonts w:ascii="Garamond" w:hAnsi="Garamond"/>
          <w:b/>
          <w:color w:val="000000"/>
        </w:rPr>
        <w:t xml:space="preserve">- </w:t>
      </w:r>
      <w:r w:rsidR="009824FF" w:rsidRPr="00795698">
        <w:rPr>
          <w:rFonts w:ascii="Garamond" w:hAnsi="Garamond"/>
          <w:b/>
          <w:color w:val="000000"/>
        </w:rPr>
        <w:t>Indoktrinimi me ideologji radikale/ekstremiste</w:t>
      </w:r>
      <w:r w:rsidR="009824FF" w:rsidRPr="00795698">
        <w:rPr>
          <w:rFonts w:ascii="Garamond" w:hAnsi="Garamond"/>
          <w:color w:val="000000"/>
        </w:rPr>
        <w:t xml:space="preserve"> e bazuar kryesisht përmes propagandës në internet të cilat indoktrinojnë dhe rekrutojnë personat në moshë të re për t</w:t>
      </w:r>
      <w:r w:rsidR="0041767D" w:rsidRPr="00795698">
        <w:rPr>
          <w:rFonts w:ascii="Garamond" w:hAnsi="Garamond"/>
          <w:color w:val="000000"/>
        </w:rPr>
        <w:t>’</w:t>
      </w:r>
      <w:r w:rsidR="009824FF" w:rsidRPr="00795698">
        <w:rPr>
          <w:rFonts w:ascii="Garamond" w:hAnsi="Garamond"/>
          <w:color w:val="000000"/>
        </w:rPr>
        <w:t>i përdorur për qëllime të organizatave terroriste.</w:t>
      </w:r>
    </w:p>
    <w:p w14:paraId="5FEEF5B9" w14:textId="4BA476D0" w:rsidR="009824FF" w:rsidRPr="00795698" w:rsidRDefault="00184D59" w:rsidP="00184D59">
      <w:pPr>
        <w:ind w:firstLine="284"/>
        <w:jc w:val="both"/>
        <w:rPr>
          <w:rFonts w:ascii="Garamond" w:hAnsi="Garamond"/>
          <w:color w:val="000000"/>
        </w:rPr>
      </w:pPr>
      <w:r w:rsidRPr="00795698">
        <w:rPr>
          <w:rFonts w:ascii="Garamond" w:hAnsi="Garamond"/>
          <w:b/>
          <w:color w:val="000000"/>
        </w:rPr>
        <w:t xml:space="preserve">- </w:t>
      </w:r>
      <w:r w:rsidR="009824FF" w:rsidRPr="00795698">
        <w:rPr>
          <w:rFonts w:ascii="Garamond" w:hAnsi="Garamond"/>
          <w:b/>
          <w:color w:val="000000"/>
        </w:rPr>
        <w:t xml:space="preserve">Kërcënimi nga </w:t>
      </w:r>
      <w:r w:rsidR="000C2409" w:rsidRPr="00795698">
        <w:rPr>
          <w:rFonts w:ascii="Garamond" w:hAnsi="Garamond"/>
          <w:b/>
          <w:color w:val="000000"/>
        </w:rPr>
        <w:t>terrorizmi kibernetik</w:t>
      </w:r>
      <w:r w:rsidR="009824FF" w:rsidRPr="00795698">
        <w:rPr>
          <w:rFonts w:ascii="Garamond" w:hAnsi="Garamond"/>
          <w:b/>
          <w:color w:val="000000"/>
        </w:rPr>
        <w:t xml:space="preserve">, </w:t>
      </w:r>
      <w:r w:rsidR="009824FF" w:rsidRPr="00795698">
        <w:rPr>
          <w:rFonts w:ascii="Garamond" w:hAnsi="Garamond"/>
          <w:color w:val="000000"/>
        </w:rPr>
        <w:t>sfidat që burojnë nga epoka kibernetike të cilat</w:t>
      </w:r>
      <w:r w:rsidR="005E41AA" w:rsidRPr="00795698">
        <w:rPr>
          <w:rFonts w:ascii="Garamond" w:hAnsi="Garamond"/>
          <w:color w:val="000000"/>
        </w:rPr>
        <w:t xml:space="preserve"> cenoj</w:t>
      </w:r>
      <w:r w:rsidR="009824FF" w:rsidRPr="00795698">
        <w:rPr>
          <w:rFonts w:ascii="Garamond" w:hAnsi="Garamond"/>
          <w:color w:val="000000"/>
        </w:rPr>
        <w:t>në elementët e sigurisë kombëtare.</w:t>
      </w:r>
    </w:p>
    <w:p w14:paraId="5FEEF5BA" w14:textId="241BC6E4" w:rsidR="009824FF" w:rsidRPr="00795698" w:rsidRDefault="00184D59" w:rsidP="00184D59">
      <w:pPr>
        <w:ind w:firstLine="284"/>
        <w:jc w:val="both"/>
        <w:rPr>
          <w:rFonts w:ascii="Garamond" w:hAnsi="Garamond"/>
          <w:color w:val="000000"/>
        </w:rPr>
      </w:pPr>
      <w:r w:rsidRPr="00795698">
        <w:rPr>
          <w:rFonts w:ascii="Garamond" w:hAnsi="Garamond"/>
          <w:b/>
          <w:color w:val="000000"/>
        </w:rPr>
        <w:t xml:space="preserve">- </w:t>
      </w:r>
      <w:r w:rsidR="009824FF" w:rsidRPr="00795698">
        <w:rPr>
          <w:rFonts w:ascii="Garamond" w:hAnsi="Garamond"/>
          <w:b/>
          <w:color w:val="000000"/>
        </w:rPr>
        <w:t xml:space="preserve">Migracioni i parregullt, </w:t>
      </w:r>
      <w:r w:rsidR="009824FF" w:rsidRPr="00795698">
        <w:rPr>
          <w:rFonts w:ascii="Garamond" w:hAnsi="Garamond"/>
          <w:color w:val="000000"/>
        </w:rPr>
        <w:t>duke marrë parasysh pozitën gjeografike të vendit tonë e cila favorizon lëvizjet migratore shqetësim</w:t>
      </w:r>
      <w:r w:rsidR="007C064A" w:rsidRPr="00795698">
        <w:rPr>
          <w:rFonts w:ascii="Garamond" w:hAnsi="Garamond"/>
          <w:color w:val="000000"/>
        </w:rPr>
        <w:t xml:space="preserve"> </w:t>
      </w:r>
      <w:r w:rsidR="009824FF" w:rsidRPr="00795698">
        <w:rPr>
          <w:rFonts w:ascii="Garamond" w:hAnsi="Garamond"/>
          <w:color w:val="000000"/>
        </w:rPr>
        <w:t>ngelet</w:t>
      </w:r>
      <w:r w:rsidR="007C064A" w:rsidRPr="00795698">
        <w:rPr>
          <w:rFonts w:ascii="Garamond" w:hAnsi="Garamond"/>
          <w:color w:val="000000"/>
        </w:rPr>
        <w:t xml:space="preserve"> </w:t>
      </w:r>
      <w:r w:rsidR="009824FF" w:rsidRPr="00795698">
        <w:rPr>
          <w:rFonts w:ascii="Garamond" w:hAnsi="Garamond"/>
          <w:color w:val="000000"/>
        </w:rPr>
        <w:t xml:space="preserve">mundësia që luftëtarët e huaj terroristë nga vendet tjera të shfrytëzojnë kalimin tranzit, duke u përzierë edhe me emigrantët e parregullt me synim udhëtimin e tyre drejt vendeve të BE-së. </w:t>
      </w:r>
    </w:p>
    <w:p w14:paraId="5FEEF5BB" w14:textId="77777777" w:rsidR="009824FF" w:rsidRPr="00795698" w:rsidRDefault="00184D59" w:rsidP="00184D59">
      <w:pPr>
        <w:ind w:firstLine="284"/>
        <w:jc w:val="both"/>
        <w:rPr>
          <w:rFonts w:ascii="Garamond" w:hAnsi="Garamond"/>
          <w:color w:val="000000"/>
        </w:rPr>
      </w:pPr>
      <w:r w:rsidRPr="00795698">
        <w:rPr>
          <w:rFonts w:ascii="Garamond" w:hAnsi="Garamond"/>
          <w:b/>
        </w:rPr>
        <w:t xml:space="preserve">- </w:t>
      </w:r>
      <w:r w:rsidR="009824FF" w:rsidRPr="00795698">
        <w:rPr>
          <w:rFonts w:ascii="Garamond" w:hAnsi="Garamond"/>
          <w:b/>
        </w:rPr>
        <w:t>Prania në vendin tonë e kontigjenteve të shtetasve të huaj</w:t>
      </w:r>
      <w:r w:rsidR="009824FF" w:rsidRPr="00795698">
        <w:rPr>
          <w:rFonts w:ascii="Garamond" w:hAnsi="Garamond"/>
        </w:rPr>
        <w:t xml:space="preserve">, </w:t>
      </w:r>
      <w:r w:rsidR="009824FF" w:rsidRPr="00795698">
        <w:rPr>
          <w:rFonts w:ascii="Garamond" w:hAnsi="Garamond"/>
          <w:b/>
        </w:rPr>
        <w:t>të cilëve shteti shqiptar u ka ofruar azil humanitar</w:t>
      </w:r>
      <w:r w:rsidR="009824FF" w:rsidRPr="00795698">
        <w:rPr>
          <w:rFonts w:ascii="Garamond" w:hAnsi="Garamond"/>
        </w:rPr>
        <w:t>, bazuar në marrëveshje me vendet aleate, apo konventat ndërkombëtare, të cilëve u rrezikohet jeta në vendet e origjinës (MEK, GITMO, afganë etj.).</w:t>
      </w:r>
    </w:p>
    <w:p w14:paraId="5FEEF5BC" w14:textId="77777777" w:rsidR="009824FF" w:rsidRPr="00795698" w:rsidRDefault="00184D59" w:rsidP="00184D59">
      <w:pPr>
        <w:ind w:firstLine="284"/>
        <w:jc w:val="both"/>
        <w:rPr>
          <w:rFonts w:ascii="Garamond" w:hAnsi="Garamond"/>
          <w:color w:val="000000"/>
        </w:rPr>
      </w:pPr>
      <w:r w:rsidRPr="00795698">
        <w:rPr>
          <w:rFonts w:ascii="Garamond" w:hAnsi="Garamond"/>
          <w:b/>
          <w:color w:val="000000"/>
        </w:rPr>
        <w:t xml:space="preserve">- </w:t>
      </w:r>
      <w:r w:rsidR="009824FF" w:rsidRPr="00795698">
        <w:rPr>
          <w:rFonts w:ascii="Garamond" w:hAnsi="Garamond"/>
          <w:b/>
          <w:color w:val="000000"/>
        </w:rPr>
        <w:t>Organizatat nacionaliste me baza etnike,</w:t>
      </w:r>
      <w:r w:rsidR="009824FF" w:rsidRPr="00795698">
        <w:rPr>
          <w:rFonts w:ascii="Garamond" w:hAnsi="Garamond"/>
          <w:color w:val="000000"/>
        </w:rPr>
        <w:t xml:space="preserve"> të cilat janë të predispozuara që kohë pas kohe të përdorin dhunën, të provokojnë incidente ndëretnike, ndonjëherë edhe me mbështetjen e vendeve të treta për arritjen e qëllimeve politike.</w:t>
      </w:r>
    </w:p>
    <w:p w14:paraId="5FEEF5BD" w14:textId="77777777" w:rsidR="009824FF" w:rsidRPr="00795698" w:rsidRDefault="00184D59" w:rsidP="00184D59">
      <w:pPr>
        <w:ind w:firstLine="284"/>
        <w:jc w:val="both"/>
        <w:rPr>
          <w:rFonts w:ascii="Garamond" w:hAnsi="Garamond"/>
          <w:color w:val="000000"/>
        </w:rPr>
      </w:pPr>
      <w:r w:rsidRPr="00795698">
        <w:rPr>
          <w:rFonts w:ascii="Garamond" w:hAnsi="Garamond"/>
          <w:b/>
          <w:color w:val="000000"/>
        </w:rPr>
        <w:t xml:space="preserve">- </w:t>
      </w:r>
      <w:r w:rsidR="009824FF" w:rsidRPr="00795698">
        <w:rPr>
          <w:rFonts w:ascii="Garamond" w:hAnsi="Garamond"/>
          <w:b/>
          <w:color w:val="000000"/>
        </w:rPr>
        <w:t>Sulmet terroriste</w:t>
      </w:r>
      <w:r w:rsidR="009824FF" w:rsidRPr="00795698">
        <w:rPr>
          <w:rFonts w:ascii="Garamond" w:hAnsi="Garamond"/>
          <w:color w:val="000000"/>
        </w:rPr>
        <w:t xml:space="preserve"> qoftë nga pjesëtarët e organizatave terroriste përmes luftëtarëve të huaj terroristë, celulave të fjetura por edhe nga simpatizantët dhe mbështetësit që mund të inspirohen për kryerjen e akteve të dhunshme. </w:t>
      </w:r>
    </w:p>
    <w:p w14:paraId="5FEEF5BE" w14:textId="77777777" w:rsidR="009824FF" w:rsidRPr="00795698" w:rsidRDefault="00184D59" w:rsidP="00184D59">
      <w:pPr>
        <w:ind w:firstLine="284"/>
        <w:jc w:val="both"/>
        <w:rPr>
          <w:rFonts w:ascii="Garamond" w:hAnsi="Garamond"/>
          <w:color w:val="000000"/>
        </w:rPr>
      </w:pPr>
      <w:r w:rsidRPr="00795698">
        <w:rPr>
          <w:rFonts w:ascii="Garamond" w:hAnsi="Garamond"/>
          <w:b/>
        </w:rPr>
        <w:t xml:space="preserve">- </w:t>
      </w:r>
      <w:r w:rsidR="009824FF" w:rsidRPr="00795698">
        <w:rPr>
          <w:rFonts w:ascii="Garamond" w:hAnsi="Garamond"/>
          <w:b/>
        </w:rPr>
        <w:t>Veprimi indoktrinues i predikuesve radikale, apo imamëve të vetëshpallur</w:t>
      </w:r>
      <w:r w:rsidR="009824FF" w:rsidRPr="00795698">
        <w:rPr>
          <w:rFonts w:ascii="Garamond" w:hAnsi="Garamond"/>
        </w:rPr>
        <w:t xml:space="preserve">, që përkrahin ideologjinë ekstremiste të organizatave militante terroriste; </w:t>
      </w:r>
    </w:p>
    <w:p w14:paraId="5FEEF5BF" w14:textId="6AD87EB9" w:rsidR="009824FF" w:rsidRPr="00795698" w:rsidRDefault="00184D59" w:rsidP="00184D59">
      <w:pPr>
        <w:ind w:firstLine="284"/>
        <w:jc w:val="both"/>
        <w:rPr>
          <w:rFonts w:ascii="Garamond" w:hAnsi="Garamond"/>
          <w:color w:val="000000"/>
        </w:rPr>
      </w:pPr>
      <w:r w:rsidRPr="00795698">
        <w:rPr>
          <w:rFonts w:ascii="Garamond" w:hAnsi="Garamond"/>
          <w:b/>
        </w:rPr>
        <w:t xml:space="preserve">- </w:t>
      </w:r>
      <w:r w:rsidR="009824FF" w:rsidRPr="00795698">
        <w:rPr>
          <w:rFonts w:ascii="Garamond" w:hAnsi="Garamond"/>
          <w:b/>
        </w:rPr>
        <w:t>Veprimi i aktorëve/elementëve të vetmuar</w:t>
      </w:r>
      <w:r w:rsidR="000C5583" w:rsidRPr="00795698">
        <w:rPr>
          <w:rFonts w:ascii="Garamond" w:hAnsi="Garamond"/>
        </w:rPr>
        <w:t>, të cilët janë vetë</w:t>
      </w:r>
      <w:r w:rsidR="009824FF" w:rsidRPr="00795698">
        <w:rPr>
          <w:rFonts w:ascii="Garamond" w:hAnsi="Garamond"/>
        </w:rPr>
        <w:t xml:space="preserve">radikalizuar nga ideologji ekstremiste, kryesisht nga propaganda online dhe që mund të ndërmarrin akte të dhunshme, të pakoordinuara apo të paorientuara nga drejtues/komandantë terroriste, në funksion të përmbushjes së kauzës së ideologjisë ekstremiste që mbështesin; </w:t>
      </w:r>
    </w:p>
    <w:p w14:paraId="5FEEF5C0" w14:textId="77777777" w:rsidR="009824FF" w:rsidRPr="00795698" w:rsidRDefault="009824FF" w:rsidP="00184D59">
      <w:pPr>
        <w:ind w:firstLine="284"/>
        <w:jc w:val="both"/>
        <w:rPr>
          <w:rFonts w:ascii="Garamond" w:hAnsi="Garamond"/>
          <w:color w:val="000000"/>
        </w:rPr>
      </w:pPr>
      <w:r w:rsidRPr="00795698">
        <w:rPr>
          <w:rFonts w:ascii="Garamond" w:hAnsi="Garamond"/>
          <w:color w:val="000000"/>
        </w:rPr>
        <w:t>ndikimi i mundshëm i luftës së agresionit të Rusisë kundër Ukrainës në proceset e radikalizimit dhe ekstremizmi i dhunshëm në rajon me impakt edhe në vendin tonë.</w:t>
      </w:r>
    </w:p>
    <w:p w14:paraId="5FEEF5C1" w14:textId="77777777" w:rsidR="009824FF" w:rsidRPr="00795698" w:rsidRDefault="009824FF" w:rsidP="009824FF">
      <w:pPr>
        <w:ind w:firstLine="284"/>
        <w:jc w:val="both"/>
        <w:rPr>
          <w:rFonts w:ascii="Garamond" w:hAnsi="Garamond"/>
          <w:i/>
        </w:rPr>
      </w:pPr>
      <w:r w:rsidRPr="00795698">
        <w:rPr>
          <w:rFonts w:ascii="Garamond" w:hAnsi="Garamond"/>
          <w:i/>
        </w:rPr>
        <w:t>Situata aktuale e ndjekjes penale të veprave me qëllime terroriste</w:t>
      </w:r>
    </w:p>
    <w:p w14:paraId="5FEEF5C2" w14:textId="7D4200A1" w:rsidR="009824FF" w:rsidRPr="00795698" w:rsidRDefault="009824FF" w:rsidP="009824FF">
      <w:pPr>
        <w:ind w:firstLine="284"/>
        <w:jc w:val="both"/>
        <w:rPr>
          <w:rFonts w:ascii="Garamond" w:hAnsi="Garamond"/>
        </w:rPr>
      </w:pPr>
      <w:r w:rsidRPr="00795698">
        <w:rPr>
          <w:rFonts w:ascii="Garamond" w:hAnsi="Garamond"/>
        </w:rPr>
        <w:t xml:space="preserve">Në një analizë mbi të dhëna statistikore e raportime të </w:t>
      </w:r>
      <w:r w:rsidR="000C5583" w:rsidRPr="00795698">
        <w:rPr>
          <w:rFonts w:ascii="Garamond" w:hAnsi="Garamond"/>
        </w:rPr>
        <w:t>p</w:t>
      </w:r>
      <w:r w:rsidRPr="00795698">
        <w:rPr>
          <w:rFonts w:ascii="Garamond" w:hAnsi="Garamond"/>
        </w:rPr>
        <w:t>rokurorive të juridiksionit të përgjithshëm, gjendja e hetimeve të veprave me qëllime terroriste në vitin 2019 dhe 9</w:t>
      </w:r>
      <w:r w:rsidR="000C5583" w:rsidRPr="00795698">
        <w:rPr>
          <w:rFonts w:ascii="Garamond" w:hAnsi="Garamond"/>
        </w:rPr>
        <w:t>-</w:t>
      </w:r>
      <w:r w:rsidRPr="00795698">
        <w:rPr>
          <w:rFonts w:ascii="Garamond" w:hAnsi="Garamond"/>
        </w:rPr>
        <w:t>mujorin 2020 është si më poshtë:</w:t>
      </w:r>
    </w:p>
    <w:tbl>
      <w:tblPr>
        <w:tblW w:w="5000" w:type="pct"/>
        <w:tblLook w:val="04A0" w:firstRow="1" w:lastRow="0" w:firstColumn="1" w:lastColumn="0" w:noHBand="0" w:noVBand="1"/>
      </w:tblPr>
      <w:tblGrid>
        <w:gridCol w:w="1675"/>
        <w:gridCol w:w="829"/>
        <w:gridCol w:w="912"/>
        <w:gridCol w:w="1662"/>
        <w:gridCol w:w="705"/>
        <w:gridCol w:w="883"/>
        <w:gridCol w:w="912"/>
        <w:gridCol w:w="1998"/>
      </w:tblGrid>
      <w:tr w:rsidR="002571F9" w:rsidRPr="00795698" w14:paraId="5FEEF5C7" w14:textId="77777777" w:rsidTr="002571F9">
        <w:trPr>
          <w:trHeight w:val="288"/>
        </w:trPr>
        <w:tc>
          <w:tcPr>
            <w:tcW w:w="875" w:type="pct"/>
            <w:vMerge w:val="restart"/>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C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 xml:space="preserve">VEPRA PENALE ME </w:t>
            </w:r>
            <w:r w:rsidRPr="00795698">
              <w:rPr>
                <w:rFonts w:ascii="Garamond" w:hAnsi="Garamond"/>
                <w:bCs/>
                <w:color w:val="000000"/>
                <w:sz w:val="16"/>
                <w:szCs w:val="16"/>
                <w:lang w:eastAsia="en-GB"/>
              </w:rPr>
              <w:lastRenderedPageBreak/>
              <w:t>QËLLIME TERRORISTE</w:t>
            </w:r>
          </w:p>
        </w:tc>
        <w:tc>
          <w:tcPr>
            <w:tcW w:w="1777" w:type="pct"/>
            <w:gridSpan w:val="3"/>
            <w:tcBorders>
              <w:top w:val="single" w:sz="4" w:space="0" w:color="auto"/>
              <w:left w:val="nil"/>
              <w:bottom w:val="single" w:sz="4" w:space="0" w:color="auto"/>
              <w:right w:val="single" w:sz="4" w:space="0" w:color="auto"/>
            </w:tcBorders>
            <w:shd w:val="clear" w:color="auto" w:fill="FDE9D9"/>
            <w:vAlign w:val="center"/>
            <w:hideMark/>
          </w:tcPr>
          <w:p w14:paraId="5FEEF5C4"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lastRenderedPageBreak/>
              <w:t>Viti 2019</w:t>
            </w:r>
          </w:p>
        </w:tc>
        <w:tc>
          <w:tcPr>
            <w:tcW w:w="368" w:type="pct"/>
            <w:vMerge w:val="restart"/>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C5"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 </w:t>
            </w:r>
          </w:p>
        </w:tc>
        <w:tc>
          <w:tcPr>
            <w:tcW w:w="1980" w:type="pct"/>
            <w:gridSpan w:val="3"/>
            <w:tcBorders>
              <w:top w:val="single" w:sz="4" w:space="0" w:color="auto"/>
              <w:left w:val="nil"/>
              <w:bottom w:val="single" w:sz="4" w:space="0" w:color="auto"/>
              <w:right w:val="single" w:sz="4" w:space="0" w:color="auto"/>
            </w:tcBorders>
            <w:shd w:val="clear" w:color="auto" w:fill="FDE9D9"/>
            <w:vAlign w:val="center"/>
            <w:hideMark/>
          </w:tcPr>
          <w:p w14:paraId="5FEEF5C6" w14:textId="2B9FAB18" w:rsidR="002571F9" w:rsidRPr="00795698" w:rsidRDefault="002571F9" w:rsidP="000C5583">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9</w:t>
            </w:r>
            <w:r w:rsidR="000C5583" w:rsidRPr="00795698">
              <w:rPr>
                <w:rFonts w:ascii="Garamond" w:hAnsi="Garamond"/>
                <w:bCs/>
                <w:color w:val="000000"/>
                <w:sz w:val="16"/>
                <w:szCs w:val="16"/>
                <w:lang w:eastAsia="en-GB"/>
              </w:rPr>
              <w:t>-</w:t>
            </w:r>
            <w:r w:rsidRPr="00795698">
              <w:rPr>
                <w:rFonts w:ascii="Garamond" w:hAnsi="Garamond"/>
                <w:bCs/>
                <w:color w:val="000000"/>
                <w:sz w:val="16"/>
                <w:szCs w:val="16"/>
                <w:lang w:eastAsia="en-GB"/>
              </w:rPr>
              <w:t>mujori 2020</w:t>
            </w:r>
          </w:p>
        </w:tc>
      </w:tr>
      <w:tr w:rsidR="002571F9" w:rsidRPr="00795698" w14:paraId="5FEEF5D0" w14:textId="77777777" w:rsidTr="002571F9">
        <w:trPr>
          <w:trHeight w:val="1260"/>
        </w:trPr>
        <w:tc>
          <w:tcPr>
            <w:tcW w:w="875"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C8" w14:textId="77777777" w:rsidR="002571F9" w:rsidRPr="00795698" w:rsidRDefault="002571F9" w:rsidP="002D5979">
            <w:pPr>
              <w:spacing w:line="276" w:lineRule="auto"/>
              <w:rPr>
                <w:rFonts w:ascii="Garamond" w:hAnsi="Garamond"/>
                <w:bCs/>
                <w:color w:val="000000"/>
                <w:sz w:val="16"/>
                <w:szCs w:val="16"/>
                <w:lang w:eastAsia="en-GB"/>
              </w:rPr>
            </w:pPr>
          </w:p>
        </w:tc>
        <w:tc>
          <w:tcPr>
            <w:tcW w:w="433" w:type="pct"/>
            <w:tcBorders>
              <w:top w:val="nil"/>
              <w:left w:val="nil"/>
              <w:bottom w:val="single" w:sz="4" w:space="0" w:color="auto"/>
              <w:right w:val="single" w:sz="4" w:space="0" w:color="auto"/>
            </w:tcBorders>
            <w:shd w:val="clear" w:color="auto" w:fill="FDE9D9"/>
            <w:vAlign w:val="center"/>
            <w:hideMark/>
          </w:tcPr>
          <w:p w14:paraId="5FEEF5C9"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Nr. Proc. Regj</w:t>
            </w:r>
          </w:p>
        </w:tc>
        <w:tc>
          <w:tcPr>
            <w:tcW w:w="476" w:type="pct"/>
            <w:tcBorders>
              <w:top w:val="nil"/>
              <w:left w:val="nil"/>
              <w:bottom w:val="single" w:sz="4" w:space="0" w:color="auto"/>
              <w:right w:val="single" w:sz="4" w:space="0" w:color="auto"/>
            </w:tcBorders>
            <w:shd w:val="clear" w:color="auto" w:fill="FDE9D9"/>
            <w:vAlign w:val="center"/>
            <w:hideMark/>
          </w:tcPr>
          <w:p w14:paraId="5FEEF5CA"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Nr. Proc. për gjykim</w:t>
            </w:r>
          </w:p>
        </w:tc>
        <w:tc>
          <w:tcPr>
            <w:tcW w:w="868" w:type="pct"/>
            <w:tcBorders>
              <w:top w:val="nil"/>
              <w:left w:val="nil"/>
              <w:bottom w:val="single" w:sz="4" w:space="0" w:color="auto"/>
              <w:right w:val="single" w:sz="4" w:space="0" w:color="auto"/>
            </w:tcBorders>
            <w:shd w:val="clear" w:color="auto" w:fill="FDE9D9"/>
            <w:vAlign w:val="center"/>
            <w:hideMark/>
          </w:tcPr>
          <w:p w14:paraId="5FEEF5CB"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Nr.pand.dërg.gjykim</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CC"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vAlign w:val="center"/>
            <w:hideMark/>
          </w:tcPr>
          <w:p w14:paraId="5FEEF5CD"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Nr. Proc. Regj</w:t>
            </w:r>
          </w:p>
        </w:tc>
        <w:tc>
          <w:tcPr>
            <w:tcW w:w="476" w:type="pct"/>
            <w:tcBorders>
              <w:top w:val="nil"/>
              <w:left w:val="nil"/>
              <w:bottom w:val="single" w:sz="4" w:space="0" w:color="auto"/>
              <w:right w:val="single" w:sz="4" w:space="0" w:color="auto"/>
            </w:tcBorders>
            <w:shd w:val="clear" w:color="auto" w:fill="FDE9D9"/>
            <w:vAlign w:val="center"/>
            <w:hideMark/>
          </w:tcPr>
          <w:p w14:paraId="5FEEF5CE"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Nr. Proc. për gjykim</w:t>
            </w:r>
          </w:p>
        </w:tc>
        <w:tc>
          <w:tcPr>
            <w:tcW w:w="1043" w:type="pct"/>
            <w:tcBorders>
              <w:top w:val="nil"/>
              <w:left w:val="nil"/>
              <w:bottom w:val="single" w:sz="4" w:space="0" w:color="auto"/>
              <w:right w:val="single" w:sz="4" w:space="0" w:color="auto"/>
            </w:tcBorders>
            <w:shd w:val="clear" w:color="auto" w:fill="FDE9D9"/>
            <w:vAlign w:val="center"/>
            <w:hideMark/>
          </w:tcPr>
          <w:p w14:paraId="5FEEF5CF"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Nr.pand.dërg.gjykim</w:t>
            </w:r>
          </w:p>
        </w:tc>
      </w:tr>
      <w:tr w:rsidR="002571F9" w:rsidRPr="00795698" w14:paraId="5FEEF5D9" w14:textId="77777777" w:rsidTr="002571F9">
        <w:trPr>
          <w:trHeight w:val="408"/>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5D1"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230 Vepra me qëllime terroriste</w:t>
            </w:r>
          </w:p>
        </w:tc>
        <w:tc>
          <w:tcPr>
            <w:tcW w:w="433" w:type="pct"/>
            <w:tcBorders>
              <w:top w:val="nil"/>
              <w:left w:val="nil"/>
              <w:bottom w:val="single" w:sz="4" w:space="0" w:color="auto"/>
              <w:right w:val="single" w:sz="4" w:space="0" w:color="auto"/>
            </w:tcBorders>
            <w:shd w:val="clear" w:color="auto" w:fill="FDE9D9"/>
            <w:vAlign w:val="center"/>
            <w:hideMark/>
          </w:tcPr>
          <w:p w14:paraId="5FEEF5D2"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3</w:t>
            </w:r>
          </w:p>
        </w:tc>
        <w:tc>
          <w:tcPr>
            <w:tcW w:w="476" w:type="pct"/>
            <w:tcBorders>
              <w:top w:val="nil"/>
              <w:left w:val="nil"/>
              <w:bottom w:val="single" w:sz="4" w:space="0" w:color="auto"/>
              <w:right w:val="single" w:sz="4" w:space="0" w:color="auto"/>
            </w:tcBorders>
            <w:shd w:val="clear" w:color="auto" w:fill="FDE9D9"/>
            <w:noWrap/>
            <w:vAlign w:val="center"/>
            <w:hideMark/>
          </w:tcPr>
          <w:p w14:paraId="5FEEF5D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5D4"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D5"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5D6"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3</w:t>
            </w:r>
          </w:p>
        </w:tc>
        <w:tc>
          <w:tcPr>
            <w:tcW w:w="476" w:type="pct"/>
            <w:tcBorders>
              <w:top w:val="nil"/>
              <w:left w:val="nil"/>
              <w:bottom w:val="single" w:sz="4" w:space="0" w:color="auto"/>
              <w:right w:val="single" w:sz="4" w:space="0" w:color="auto"/>
            </w:tcBorders>
            <w:shd w:val="clear" w:color="auto" w:fill="FDE9D9"/>
            <w:noWrap/>
            <w:vAlign w:val="center"/>
            <w:hideMark/>
          </w:tcPr>
          <w:p w14:paraId="5FEEF5D7"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5D8"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5E2" w14:textId="77777777" w:rsidTr="002571F9">
        <w:trPr>
          <w:trHeight w:val="408"/>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5DA"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230/a Financimi i terrorizmit</w:t>
            </w:r>
          </w:p>
        </w:tc>
        <w:tc>
          <w:tcPr>
            <w:tcW w:w="433" w:type="pct"/>
            <w:tcBorders>
              <w:top w:val="nil"/>
              <w:left w:val="nil"/>
              <w:bottom w:val="single" w:sz="4" w:space="0" w:color="auto"/>
              <w:right w:val="single" w:sz="4" w:space="0" w:color="auto"/>
            </w:tcBorders>
            <w:shd w:val="clear" w:color="auto" w:fill="FDE9D9"/>
            <w:vAlign w:val="center"/>
            <w:hideMark/>
          </w:tcPr>
          <w:p w14:paraId="5FEEF5DB"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3</w:t>
            </w:r>
          </w:p>
        </w:tc>
        <w:tc>
          <w:tcPr>
            <w:tcW w:w="476" w:type="pct"/>
            <w:tcBorders>
              <w:top w:val="nil"/>
              <w:left w:val="nil"/>
              <w:bottom w:val="single" w:sz="4" w:space="0" w:color="auto"/>
              <w:right w:val="single" w:sz="4" w:space="0" w:color="auto"/>
            </w:tcBorders>
            <w:shd w:val="clear" w:color="auto" w:fill="FDE9D9"/>
            <w:noWrap/>
            <w:vAlign w:val="center"/>
            <w:hideMark/>
          </w:tcPr>
          <w:p w14:paraId="5FEEF5DC"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5DD"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DE"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5DF"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2</w:t>
            </w:r>
          </w:p>
        </w:tc>
        <w:tc>
          <w:tcPr>
            <w:tcW w:w="476" w:type="pct"/>
            <w:tcBorders>
              <w:top w:val="nil"/>
              <w:left w:val="nil"/>
              <w:bottom w:val="single" w:sz="4" w:space="0" w:color="auto"/>
              <w:right w:val="single" w:sz="4" w:space="0" w:color="auto"/>
            </w:tcBorders>
            <w:shd w:val="clear" w:color="auto" w:fill="FDE9D9"/>
            <w:noWrap/>
            <w:vAlign w:val="center"/>
            <w:hideMark/>
          </w:tcPr>
          <w:p w14:paraId="5FEEF5E0"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5E1"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5EB" w14:textId="77777777" w:rsidTr="002571F9">
        <w:trPr>
          <w:trHeight w:val="816"/>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5E3"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230/b Fshehja e fondeve dhe e pasurive të tjera, që financojnë terrorizmin</w:t>
            </w:r>
          </w:p>
        </w:tc>
        <w:tc>
          <w:tcPr>
            <w:tcW w:w="433" w:type="pct"/>
            <w:tcBorders>
              <w:top w:val="nil"/>
              <w:left w:val="nil"/>
              <w:bottom w:val="single" w:sz="4" w:space="0" w:color="auto"/>
              <w:right w:val="single" w:sz="4" w:space="0" w:color="auto"/>
            </w:tcBorders>
            <w:shd w:val="clear" w:color="auto" w:fill="FDE9D9"/>
            <w:vAlign w:val="center"/>
            <w:hideMark/>
          </w:tcPr>
          <w:p w14:paraId="5FEEF5E4"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5E5"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5E6"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E7"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5E8"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5E9"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5EA"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5F4" w14:textId="77777777" w:rsidTr="002571F9">
        <w:trPr>
          <w:trHeight w:val="1224"/>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5EC"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230/c Dhënia e informacioneve nga persona që ushtrojnë funksione publike ose në ushtrim të detyrës a profesionit</w:t>
            </w:r>
          </w:p>
        </w:tc>
        <w:tc>
          <w:tcPr>
            <w:tcW w:w="433" w:type="pct"/>
            <w:tcBorders>
              <w:top w:val="nil"/>
              <w:left w:val="nil"/>
              <w:bottom w:val="single" w:sz="4" w:space="0" w:color="auto"/>
              <w:right w:val="single" w:sz="4" w:space="0" w:color="auto"/>
            </w:tcBorders>
            <w:shd w:val="clear" w:color="auto" w:fill="FDE9D9"/>
            <w:vAlign w:val="center"/>
            <w:hideMark/>
          </w:tcPr>
          <w:p w14:paraId="5FEEF5ED"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5EE"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5EF"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F0"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5F1"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5F2"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5F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5FD" w14:textId="77777777" w:rsidTr="002571F9">
        <w:trPr>
          <w:trHeight w:val="612"/>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5F5"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230/ç Kryerja e shërbimeve dhe veprimeve me persona të shpallur</w:t>
            </w:r>
          </w:p>
        </w:tc>
        <w:tc>
          <w:tcPr>
            <w:tcW w:w="433" w:type="pct"/>
            <w:tcBorders>
              <w:top w:val="nil"/>
              <w:left w:val="nil"/>
              <w:bottom w:val="single" w:sz="4" w:space="0" w:color="auto"/>
              <w:right w:val="single" w:sz="4" w:space="0" w:color="auto"/>
            </w:tcBorders>
            <w:shd w:val="clear" w:color="auto" w:fill="FDE9D9"/>
            <w:vAlign w:val="center"/>
            <w:hideMark/>
          </w:tcPr>
          <w:p w14:paraId="5FEEF5F6"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5F7"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 </w:t>
            </w:r>
          </w:p>
        </w:tc>
        <w:tc>
          <w:tcPr>
            <w:tcW w:w="868" w:type="pct"/>
            <w:tcBorders>
              <w:top w:val="nil"/>
              <w:left w:val="nil"/>
              <w:bottom w:val="single" w:sz="4" w:space="0" w:color="auto"/>
              <w:right w:val="single" w:sz="4" w:space="0" w:color="auto"/>
            </w:tcBorders>
            <w:shd w:val="clear" w:color="auto" w:fill="FDE9D9"/>
            <w:vAlign w:val="center"/>
            <w:hideMark/>
          </w:tcPr>
          <w:p w14:paraId="5FEEF5F8"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 </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5F9"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5FA"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5FB"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5FC"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06" w14:textId="77777777" w:rsidTr="002571F9">
        <w:trPr>
          <w:trHeight w:val="1020"/>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5FE"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231 Rekrutimi i personave për kryerjen e veprave me qëllime terroriste ose të financimit të terrorizmit</w:t>
            </w:r>
          </w:p>
        </w:tc>
        <w:tc>
          <w:tcPr>
            <w:tcW w:w="433" w:type="pct"/>
            <w:tcBorders>
              <w:top w:val="nil"/>
              <w:left w:val="nil"/>
              <w:bottom w:val="single" w:sz="4" w:space="0" w:color="auto"/>
              <w:right w:val="single" w:sz="4" w:space="0" w:color="auto"/>
            </w:tcBorders>
            <w:shd w:val="clear" w:color="auto" w:fill="FDE9D9"/>
            <w:vAlign w:val="center"/>
            <w:hideMark/>
          </w:tcPr>
          <w:p w14:paraId="5FEEF5FF"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00"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01"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02"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0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1</w:t>
            </w:r>
          </w:p>
        </w:tc>
        <w:tc>
          <w:tcPr>
            <w:tcW w:w="476" w:type="pct"/>
            <w:tcBorders>
              <w:top w:val="nil"/>
              <w:left w:val="nil"/>
              <w:bottom w:val="single" w:sz="4" w:space="0" w:color="auto"/>
              <w:right w:val="single" w:sz="4" w:space="0" w:color="auto"/>
            </w:tcBorders>
            <w:shd w:val="clear" w:color="auto" w:fill="FDE9D9"/>
            <w:noWrap/>
            <w:vAlign w:val="center"/>
            <w:hideMark/>
          </w:tcPr>
          <w:p w14:paraId="5FEEF604"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05"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0F" w14:textId="77777777" w:rsidTr="002571F9">
        <w:trPr>
          <w:trHeight w:val="612"/>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07"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232 Stërvitja për kryerjen e veprave me qëllime terroriste</w:t>
            </w:r>
          </w:p>
        </w:tc>
        <w:tc>
          <w:tcPr>
            <w:tcW w:w="433" w:type="pct"/>
            <w:tcBorders>
              <w:top w:val="nil"/>
              <w:left w:val="nil"/>
              <w:bottom w:val="single" w:sz="4" w:space="0" w:color="auto"/>
              <w:right w:val="single" w:sz="4" w:space="0" w:color="auto"/>
            </w:tcBorders>
            <w:shd w:val="clear" w:color="auto" w:fill="FDE9D9"/>
            <w:vAlign w:val="center"/>
            <w:hideMark/>
          </w:tcPr>
          <w:p w14:paraId="5FEEF608"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2</w:t>
            </w:r>
          </w:p>
        </w:tc>
        <w:tc>
          <w:tcPr>
            <w:tcW w:w="476" w:type="pct"/>
            <w:tcBorders>
              <w:top w:val="nil"/>
              <w:left w:val="nil"/>
              <w:bottom w:val="single" w:sz="4" w:space="0" w:color="auto"/>
              <w:right w:val="single" w:sz="4" w:space="0" w:color="auto"/>
            </w:tcBorders>
            <w:shd w:val="clear" w:color="auto" w:fill="FDE9D9"/>
            <w:noWrap/>
            <w:vAlign w:val="center"/>
            <w:hideMark/>
          </w:tcPr>
          <w:p w14:paraId="5FEEF609"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0A"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0B"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0C"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0D"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0E"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18" w14:textId="77777777" w:rsidTr="002571F9">
        <w:trPr>
          <w:trHeight w:val="816"/>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10"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232/a Nxitja, thirrja publike dhe propaganda për kryerjen e veprave me qëllime terroriste</w:t>
            </w:r>
          </w:p>
        </w:tc>
        <w:tc>
          <w:tcPr>
            <w:tcW w:w="433" w:type="pct"/>
            <w:tcBorders>
              <w:top w:val="nil"/>
              <w:left w:val="nil"/>
              <w:bottom w:val="single" w:sz="4" w:space="0" w:color="auto"/>
              <w:right w:val="single" w:sz="4" w:space="0" w:color="auto"/>
            </w:tcBorders>
            <w:shd w:val="clear" w:color="auto" w:fill="FDE9D9"/>
            <w:vAlign w:val="center"/>
            <w:hideMark/>
          </w:tcPr>
          <w:p w14:paraId="5FEEF611"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12"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1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14"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15"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4</w:t>
            </w:r>
          </w:p>
        </w:tc>
        <w:tc>
          <w:tcPr>
            <w:tcW w:w="476" w:type="pct"/>
            <w:tcBorders>
              <w:top w:val="nil"/>
              <w:left w:val="nil"/>
              <w:bottom w:val="single" w:sz="4" w:space="0" w:color="auto"/>
              <w:right w:val="single" w:sz="4" w:space="0" w:color="auto"/>
            </w:tcBorders>
            <w:shd w:val="clear" w:color="auto" w:fill="FDE9D9"/>
            <w:noWrap/>
            <w:vAlign w:val="center"/>
            <w:hideMark/>
          </w:tcPr>
          <w:p w14:paraId="5FEEF616"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1</w:t>
            </w:r>
          </w:p>
        </w:tc>
        <w:tc>
          <w:tcPr>
            <w:tcW w:w="1043" w:type="pct"/>
            <w:tcBorders>
              <w:top w:val="nil"/>
              <w:left w:val="nil"/>
              <w:bottom w:val="single" w:sz="4" w:space="0" w:color="auto"/>
              <w:right w:val="single" w:sz="4" w:space="0" w:color="auto"/>
            </w:tcBorders>
            <w:shd w:val="clear" w:color="auto" w:fill="FDE9D9"/>
            <w:vAlign w:val="center"/>
            <w:hideMark/>
          </w:tcPr>
          <w:p w14:paraId="5FEEF617"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1</w:t>
            </w:r>
          </w:p>
        </w:tc>
      </w:tr>
      <w:tr w:rsidR="002571F9" w:rsidRPr="00795698" w14:paraId="5FEEF621" w14:textId="77777777" w:rsidTr="002571F9">
        <w:trPr>
          <w:trHeight w:val="612"/>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19"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232/b Kanosja për kryerjen e veprave me qëllime terroriste</w:t>
            </w:r>
          </w:p>
        </w:tc>
        <w:tc>
          <w:tcPr>
            <w:tcW w:w="433" w:type="pct"/>
            <w:tcBorders>
              <w:top w:val="nil"/>
              <w:left w:val="nil"/>
              <w:bottom w:val="single" w:sz="4" w:space="0" w:color="auto"/>
              <w:right w:val="single" w:sz="4" w:space="0" w:color="auto"/>
            </w:tcBorders>
            <w:shd w:val="clear" w:color="auto" w:fill="FDE9D9"/>
            <w:vAlign w:val="center"/>
            <w:hideMark/>
          </w:tcPr>
          <w:p w14:paraId="5FEEF61A"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1B"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1C"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1D"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1E"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1</w:t>
            </w:r>
          </w:p>
        </w:tc>
        <w:tc>
          <w:tcPr>
            <w:tcW w:w="476" w:type="pct"/>
            <w:tcBorders>
              <w:top w:val="nil"/>
              <w:left w:val="nil"/>
              <w:bottom w:val="single" w:sz="4" w:space="0" w:color="auto"/>
              <w:right w:val="single" w:sz="4" w:space="0" w:color="auto"/>
            </w:tcBorders>
            <w:shd w:val="clear" w:color="auto" w:fill="FDE9D9"/>
            <w:noWrap/>
            <w:vAlign w:val="center"/>
            <w:hideMark/>
          </w:tcPr>
          <w:p w14:paraId="5FEEF61F"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20"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2A" w14:textId="77777777" w:rsidTr="002571F9">
        <w:trPr>
          <w:trHeight w:val="408"/>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22"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233 Krijimi i turmave të armatosura</w:t>
            </w:r>
          </w:p>
        </w:tc>
        <w:tc>
          <w:tcPr>
            <w:tcW w:w="433" w:type="pct"/>
            <w:tcBorders>
              <w:top w:val="nil"/>
              <w:left w:val="nil"/>
              <w:bottom w:val="single" w:sz="4" w:space="0" w:color="auto"/>
              <w:right w:val="single" w:sz="4" w:space="0" w:color="auto"/>
            </w:tcBorders>
            <w:shd w:val="clear" w:color="auto" w:fill="FDE9D9"/>
            <w:vAlign w:val="center"/>
            <w:hideMark/>
          </w:tcPr>
          <w:p w14:paraId="5FEEF62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24"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25"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26"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27"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28"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29"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33" w14:textId="77777777" w:rsidTr="002571F9">
        <w:trPr>
          <w:trHeight w:val="408"/>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2B"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234 Prodhimi i armëve luftarake</w:t>
            </w:r>
          </w:p>
        </w:tc>
        <w:tc>
          <w:tcPr>
            <w:tcW w:w="433" w:type="pct"/>
            <w:tcBorders>
              <w:top w:val="nil"/>
              <w:left w:val="nil"/>
              <w:bottom w:val="single" w:sz="4" w:space="0" w:color="auto"/>
              <w:right w:val="single" w:sz="4" w:space="0" w:color="auto"/>
            </w:tcBorders>
            <w:shd w:val="clear" w:color="auto" w:fill="FDE9D9"/>
            <w:vAlign w:val="center"/>
            <w:hideMark/>
          </w:tcPr>
          <w:p w14:paraId="5FEEF62C"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2D"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2E"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2F"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30"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31"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32"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3C" w14:textId="77777777" w:rsidTr="002571F9">
        <w:trPr>
          <w:trHeight w:val="408"/>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34"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234/a Organizata terroriste</w:t>
            </w:r>
          </w:p>
        </w:tc>
        <w:tc>
          <w:tcPr>
            <w:tcW w:w="433" w:type="pct"/>
            <w:tcBorders>
              <w:top w:val="nil"/>
              <w:left w:val="nil"/>
              <w:bottom w:val="single" w:sz="4" w:space="0" w:color="auto"/>
              <w:right w:val="single" w:sz="4" w:space="0" w:color="auto"/>
            </w:tcBorders>
            <w:shd w:val="clear" w:color="auto" w:fill="FDE9D9"/>
            <w:vAlign w:val="center"/>
            <w:hideMark/>
          </w:tcPr>
          <w:p w14:paraId="5FEEF635"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2</w:t>
            </w:r>
          </w:p>
        </w:tc>
        <w:tc>
          <w:tcPr>
            <w:tcW w:w="476" w:type="pct"/>
            <w:tcBorders>
              <w:top w:val="nil"/>
              <w:left w:val="nil"/>
              <w:bottom w:val="single" w:sz="4" w:space="0" w:color="auto"/>
              <w:right w:val="single" w:sz="4" w:space="0" w:color="auto"/>
            </w:tcBorders>
            <w:shd w:val="clear" w:color="auto" w:fill="FDE9D9"/>
            <w:noWrap/>
            <w:vAlign w:val="center"/>
            <w:hideMark/>
          </w:tcPr>
          <w:p w14:paraId="5FEEF636"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37"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38"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39"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3A"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3B"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r w:rsidR="002571F9" w:rsidRPr="00795698" w14:paraId="5FEEF645" w14:textId="77777777" w:rsidTr="002571F9">
        <w:trPr>
          <w:trHeight w:val="408"/>
        </w:trPr>
        <w:tc>
          <w:tcPr>
            <w:tcW w:w="875" w:type="pct"/>
            <w:tcBorders>
              <w:top w:val="nil"/>
              <w:left w:val="single" w:sz="4" w:space="0" w:color="auto"/>
              <w:bottom w:val="single" w:sz="4" w:space="0" w:color="auto"/>
              <w:right w:val="single" w:sz="4" w:space="0" w:color="auto"/>
            </w:tcBorders>
            <w:shd w:val="clear" w:color="auto" w:fill="FDE9D9"/>
            <w:vAlign w:val="center"/>
            <w:hideMark/>
          </w:tcPr>
          <w:p w14:paraId="5FEEF63D" w14:textId="77777777" w:rsidR="002571F9" w:rsidRPr="00795698" w:rsidRDefault="002571F9" w:rsidP="002D5979">
            <w:pPr>
              <w:spacing w:line="276" w:lineRule="auto"/>
              <w:rPr>
                <w:rFonts w:ascii="Garamond" w:hAnsi="Garamond"/>
                <w:bCs/>
                <w:color w:val="000000"/>
                <w:sz w:val="16"/>
                <w:szCs w:val="16"/>
                <w:lang w:eastAsia="en-GB"/>
              </w:rPr>
            </w:pPr>
            <w:r w:rsidRPr="00795698">
              <w:rPr>
                <w:rFonts w:ascii="Garamond" w:hAnsi="Garamond"/>
                <w:bCs/>
                <w:color w:val="000000"/>
                <w:sz w:val="16"/>
                <w:szCs w:val="16"/>
                <w:lang w:eastAsia="en-GB"/>
              </w:rPr>
              <w:t>Neni 234/b Banda e armatosur</w:t>
            </w:r>
          </w:p>
        </w:tc>
        <w:tc>
          <w:tcPr>
            <w:tcW w:w="433" w:type="pct"/>
            <w:tcBorders>
              <w:top w:val="nil"/>
              <w:left w:val="nil"/>
              <w:bottom w:val="single" w:sz="4" w:space="0" w:color="auto"/>
              <w:right w:val="single" w:sz="4" w:space="0" w:color="auto"/>
            </w:tcBorders>
            <w:shd w:val="clear" w:color="auto" w:fill="FDE9D9"/>
            <w:vAlign w:val="center"/>
            <w:hideMark/>
          </w:tcPr>
          <w:p w14:paraId="5FEEF63E"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3F"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868" w:type="pct"/>
            <w:tcBorders>
              <w:top w:val="nil"/>
              <w:left w:val="nil"/>
              <w:bottom w:val="single" w:sz="4" w:space="0" w:color="auto"/>
              <w:right w:val="single" w:sz="4" w:space="0" w:color="auto"/>
            </w:tcBorders>
            <w:shd w:val="clear" w:color="auto" w:fill="FDE9D9"/>
            <w:vAlign w:val="center"/>
            <w:hideMark/>
          </w:tcPr>
          <w:p w14:paraId="5FEEF640"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368" w:type="pct"/>
            <w:vMerge/>
            <w:tcBorders>
              <w:top w:val="single" w:sz="4" w:space="0" w:color="auto"/>
              <w:left w:val="single" w:sz="4" w:space="0" w:color="auto"/>
              <w:bottom w:val="single" w:sz="4" w:space="0" w:color="auto"/>
              <w:right w:val="single" w:sz="4" w:space="0" w:color="auto"/>
            </w:tcBorders>
            <w:shd w:val="clear" w:color="auto" w:fill="FDE9D9"/>
            <w:vAlign w:val="center"/>
            <w:hideMark/>
          </w:tcPr>
          <w:p w14:paraId="5FEEF641" w14:textId="77777777" w:rsidR="002571F9" w:rsidRPr="00795698" w:rsidRDefault="002571F9" w:rsidP="002D5979">
            <w:pPr>
              <w:spacing w:line="276" w:lineRule="auto"/>
              <w:rPr>
                <w:rFonts w:ascii="Garamond" w:hAnsi="Garamond"/>
                <w:bCs/>
                <w:color w:val="000000"/>
                <w:sz w:val="16"/>
                <w:szCs w:val="16"/>
                <w:lang w:eastAsia="en-GB"/>
              </w:rPr>
            </w:pPr>
          </w:p>
        </w:tc>
        <w:tc>
          <w:tcPr>
            <w:tcW w:w="461" w:type="pct"/>
            <w:tcBorders>
              <w:top w:val="nil"/>
              <w:left w:val="nil"/>
              <w:bottom w:val="single" w:sz="4" w:space="0" w:color="auto"/>
              <w:right w:val="single" w:sz="4" w:space="0" w:color="auto"/>
            </w:tcBorders>
            <w:shd w:val="clear" w:color="auto" w:fill="FDE9D9"/>
            <w:noWrap/>
            <w:vAlign w:val="center"/>
            <w:hideMark/>
          </w:tcPr>
          <w:p w14:paraId="5FEEF642"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476" w:type="pct"/>
            <w:tcBorders>
              <w:top w:val="nil"/>
              <w:left w:val="nil"/>
              <w:bottom w:val="single" w:sz="4" w:space="0" w:color="auto"/>
              <w:right w:val="single" w:sz="4" w:space="0" w:color="auto"/>
            </w:tcBorders>
            <w:shd w:val="clear" w:color="auto" w:fill="FDE9D9"/>
            <w:noWrap/>
            <w:vAlign w:val="center"/>
            <w:hideMark/>
          </w:tcPr>
          <w:p w14:paraId="5FEEF643"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c>
          <w:tcPr>
            <w:tcW w:w="1043" w:type="pct"/>
            <w:tcBorders>
              <w:top w:val="nil"/>
              <w:left w:val="nil"/>
              <w:bottom w:val="single" w:sz="4" w:space="0" w:color="auto"/>
              <w:right w:val="single" w:sz="4" w:space="0" w:color="auto"/>
            </w:tcBorders>
            <w:shd w:val="clear" w:color="auto" w:fill="FDE9D9"/>
            <w:vAlign w:val="center"/>
            <w:hideMark/>
          </w:tcPr>
          <w:p w14:paraId="5FEEF644" w14:textId="77777777" w:rsidR="002571F9" w:rsidRPr="00795698" w:rsidRDefault="002571F9" w:rsidP="002D5979">
            <w:pPr>
              <w:spacing w:line="276" w:lineRule="auto"/>
              <w:jc w:val="center"/>
              <w:rPr>
                <w:rFonts w:ascii="Garamond" w:hAnsi="Garamond"/>
                <w:bCs/>
                <w:color w:val="000000"/>
                <w:sz w:val="16"/>
                <w:szCs w:val="16"/>
                <w:lang w:eastAsia="en-GB"/>
              </w:rPr>
            </w:pPr>
            <w:r w:rsidRPr="00795698">
              <w:rPr>
                <w:rFonts w:ascii="Garamond" w:hAnsi="Garamond"/>
                <w:bCs/>
                <w:color w:val="000000"/>
                <w:sz w:val="16"/>
                <w:szCs w:val="16"/>
                <w:lang w:eastAsia="en-GB"/>
              </w:rPr>
              <w:t>0</w:t>
            </w:r>
          </w:p>
        </w:tc>
      </w:tr>
    </w:tbl>
    <w:p w14:paraId="5FEEF646" w14:textId="77777777" w:rsidR="009824FF" w:rsidRPr="00795698" w:rsidRDefault="009824FF" w:rsidP="009824FF">
      <w:pPr>
        <w:pStyle w:val="TEKSTIIIII"/>
        <w:rPr>
          <w:lang w:val="sq-AL"/>
        </w:rPr>
      </w:pPr>
    </w:p>
    <w:p w14:paraId="5FEEF647" w14:textId="77777777" w:rsidR="00ED5F82" w:rsidRPr="00795698" w:rsidRDefault="00ED5F82" w:rsidP="00ED5F82">
      <w:pPr>
        <w:pStyle w:val="TEKSTIIIII"/>
        <w:rPr>
          <w:b/>
          <w:lang w:val="sq-AL"/>
        </w:rPr>
      </w:pPr>
      <w:bookmarkStart w:id="30" w:name="_Toc108644262"/>
      <w:r w:rsidRPr="00795698">
        <w:rPr>
          <w:b/>
          <w:lang w:val="sq-AL"/>
        </w:rPr>
        <w:t>2.2.3 Dënimet</w:t>
      </w:r>
      <w:bookmarkEnd w:id="30"/>
    </w:p>
    <w:p w14:paraId="5FEEF648" w14:textId="50F3E0D1" w:rsidR="00ED5F82" w:rsidRPr="00795698" w:rsidRDefault="00ED5F82" w:rsidP="00ED5F82">
      <w:pPr>
        <w:pStyle w:val="TEKSTIIIII"/>
        <w:rPr>
          <w:lang w:val="sq-AL"/>
        </w:rPr>
      </w:pPr>
      <w:r w:rsidRPr="00795698">
        <w:rPr>
          <w:lang w:val="sq-AL"/>
        </w:rPr>
        <w:t xml:space="preserve">Nga raportet vjetore të Prokurorisë së Përgjithshme për intervalin kohor </w:t>
      </w:r>
      <w:r w:rsidR="00623407" w:rsidRPr="00795698">
        <w:rPr>
          <w:lang w:val="sq-AL"/>
        </w:rPr>
        <w:t>2015–</w:t>
      </w:r>
      <w:r w:rsidRPr="00795698">
        <w:rPr>
          <w:lang w:val="sq-AL"/>
        </w:rPr>
        <w:t>2018, për veprat penale me qëllime terroriste, rezulton informacioni si më poshtë:</w:t>
      </w:r>
    </w:p>
    <w:p w14:paraId="5FEEF64A" w14:textId="53A29909" w:rsidR="00ED5F82" w:rsidRPr="00795698" w:rsidRDefault="00ED5F82" w:rsidP="00ED5F82">
      <w:pPr>
        <w:pStyle w:val="TEKSTIIIII"/>
        <w:rPr>
          <w:i/>
          <w:sz w:val="20"/>
          <w:lang w:val="sq-AL"/>
        </w:rPr>
      </w:pPr>
      <w:r w:rsidRPr="00795698">
        <w:rPr>
          <w:i/>
          <w:sz w:val="20"/>
          <w:lang w:val="sq-AL"/>
        </w:rPr>
        <w:t xml:space="preserve">Veprat </w:t>
      </w:r>
      <w:r w:rsidR="000C2409" w:rsidRPr="00795698">
        <w:rPr>
          <w:i/>
          <w:sz w:val="20"/>
          <w:lang w:val="sq-AL"/>
        </w:rPr>
        <w:t>p</w:t>
      </w:r>
      <w:r w:rsidRPr="00795698">
        <w:rPr>
          <w:i/>
          <w:sz w:val="20"/>
          <w:lang w:val="sq-AL"/>
        </w:rPr>
        <w:t>enale me qëllime terroriste</w:t>
      </w: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764"/>
        <w:gridCol w:w="1490"/>
        <w:gridCol w:w="440"/>
        <w:gridCol w:w="440"/>
        <w:gridCol w:w="545"/>
        <w:gridCol w:w="739"/>
        <w:gridCol w:w="546"/>
        <w:gridCol w:w="740"/>
        <w:gridCol w:w="546"/>
        <w:gridCol w:w="546"/>
        <w:gridCol w:w="548"/>
        <w:gridCol w:w="440"/>
        <w:gridCol w:w="440"/>
        <w:gridCol w:w="440"/>
        <w:gridCol w:w="440"/>
        <w:gridCol w:w="708"/>
      </w:tblGrid>
      <w:tr w:rsidR="00203C47" w:rsidRPr="00795698" w14:paraId="5FEEF65C" w14:textId="77777777" w:rsidTr="000C2409">
        <w:trPr>
          <w:cantSplit/>
          <w:trHeight w:val="2510"/>
          <w:jc w:val="center"/>
        </w:trPr>
        <w:tc>
          <w:tcPr>
            <w:tcW w:w="1150" w:type="pct"/>
            <w:gridSpan w:val="2"/>
            <w:shd w:val="clear" w:color="auto" w:fill="DBE5F1"/>
            <w:textDirection w:val="btLr"/>
            <w:hideMark/>
          </w:tcPr>
          <w:p w14:paraId="5FEEF64B" w14:textId="77777777" w:rsidR="00ED5F82" w:rsidRPr="00795698" w:rsidRDefault="00ED5F82" w:rsidP="00ED5F82">
            <w:pPr>
              <w:spacing w:line="276" w:lineRule="auto"/>
              <w:ind w:left="113" w:right="113"/>
              <w:jc w:val="center"/>
              <w:rPr>
                <w:b/>
                <w:bCs/>
                <w:color w:val="000000"/>
                <w:sz w:val="16"/>
                <w:szCs w:val="16"/>
              </w:rPr>
            </w:pPr>
          </w:p>
          <w:p w14:paraId="5FEEF64C" w14:textId="77777777" w:rsidR="00ED5F82" w:rsidRPr="00795698" w:rsidRDefault="00ED5F82" w:rsidP="00ED5F82">
            <w:pPr>
              <w:spacing w:line="276" w:lineRule="auto"/>
              <w:ind w:left="113" w:right="113"/>
              <w:jc w:val="center"/>
              <w:rPr>
                <w:b/>
                <w:bCs/>
                <w:color w:val="000000"/>
                <w:sz w:val="16"/>
                <w:szCs w:val="16"/>
              </w:rPr>
            </w:pPr>
          </w:p>
          <w:p w14:paraId="5FEEF64D" w14:textId="77777777" w:rsidR="00ED5F82" w:rsidRPr="00795698" w:rsidRDefault="00ED5F82" w:rsidP="00ED5F82">
            <w:pPr>
              <w:spacing w:line="276" w:lineRule="auto"/>
              <w:ind w:left="113" w:right="113"/>
              <w:jc w:val="center"/>
              <w:rPr>
                <w:b/>
                <w:bCs/>
                <w:color w:val="000000"/>
                <w:sz w:val="16"/>
                <w:szCs w:val="16"/>
              </w:rPr>
            </w:pPr>
            <w:r w:rsidRPr="00795698">
              <w:rPr>
                <w:b/>
                <w:bCs/>
                <w:color w:val="000000"/>
                <w:sz w:val="16"/>
                <w:szCs w:val="16"/>
              </w:rPr>
              <w:t>Veprat Penale me Qëllime Terroriste</w:t>
            </w:r>
          </w:p>
        </w:tc>
        <w:tc>
          <w:tcPr>
            <w:tcW w:w="224" w:type="pct"/>
            <w:shd w:val="clear" w:color="auto" w:fill="DBE5F1"/>
            <w:textDirection w:val="btLr"/>
            <w:hideMark/>
          </w:tcPr>
          <w:p w14:paraId="5FEEF64E"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230 - Vepra me qëllime terroriste</w:t>
            </w:r>
          </w:p>
        </w:tc>
        <w:tc>
          <w:tcPr>
            <w:tcW w:w="224" w:type="pct"/>
            <w:shd w:val="clear" w:color="auto" w:fill="DBE5F1"/>
            <w:textDirection w:val="btLr"/>
            <w:hideMark/>
          </w:tcPr>
          <w:p w14:paraId="5FEEF64F"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230/a - Financimi i terrorizmit</w:t>
            </w:r>
          </w:p>
        </w:tc>
        <w:tc>
          <w:tcPr>
            <w:tcW w:w="278" w:type="pct"/>
            <w:shd w:val="clear" w:color="auto" w:fill="DBE5F1"/>
            <w:textDirection w:val="btLr"/>
            <w:hideMark/>
          </w:tcPr>
          <w:p w14:paraId="5FEEF650" w14:textId="2615F81C" w:rsidR="00ED5F82" w:rsidRPr="00795698" w:rsidRDefault="00ED5F82" w:rsidP="007265E9">
            <w:pPr>
              <w:spacing w:line="276" w:lineRule="auto"/>
              <w:ind w:left="113" w:right="113"/>
              <w:jc w:val="center"/>
              <w:rPr>
                <w:b/>
                <w:i/>
                <w:color w:val="000000"/>
                <w:sz w:val="16"/>
              </w:rPr>
            </w:pPr>
            <w:r w:rsidRPr="00795698">
              <w:rPr>
                <w:b/>
                <w:i/>
                <w:color w:val="000000"/>
                <w:sz w:val="16"/>
              </w:rPr>
              <w:t>Neni 230/b - Fshehja e fondeve dhe e pasurive t</w:t>
            </w:r>
            <w:r w:rsidR="007265E9" w:rsidRPr="00795698">
              <w:rPr>
                <w:b/>
                <w:i/>
                <w:color w:val="000000"/>
                <w:sz w:val="16"/>
              </w:rPr>
              <w:t>ë</w:t>
            </w:r>
            <w:r w:rsidRPr="00795698">
              <w:rPr>
                <w:b/>
                <w:i/>
                <w:color w:val="000000"/>
                <w:sz w:val="16"/>
              </w:rPr>
              <w:t xml:space="preserve"> tjera, që financojnë terrorizmin</w:t>
            </w:r>
          </w:p>
        </w:tc>
        <w:tc>
          <w:tcPr>
            <w:tcW w:w="377" w:type="pct"/>
            <w:shd w:val="clear" w:color="auto" w:fill="DBE5F1"/>
            <w:textDirection w:val="btLr"/>
            <w:hideMark/>
          </w:tcPr>
          <w:p w14:paraId="5FEEF651"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230/c - Dhënia e informacioneve nga persona që ushtrojnë funksione publike ose në ushtrim të detyrës e profesionit</w:t>
            </w:r>
          </w:p>
        </w:tc>
        <w:tc>
          <w:tcPr>
            <w:tcW w:w="278" w:type="pct"/>
            <w:shd w:val="clear" w:color="auto" w:fill="DBE5F1"/>
            <w:textDirection w:val="btLr"/>
            <w:hideMark/>
          </w:tcPr>
          <w:p w14:paraId="5FEEF652"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230/ç - Kryerja e shërbimeve dhe veprimeve me persona të shpallur</w:t>
            </w:r>
          </w:p>
        </w:tc>
        <w:tc>
          <w:tcPr>
            <w:tcW w:w="377" w:type="pct"/>
            <w:shd w:val="clear" w:color="auto" w:fill="DBE5F1"/>
            <w:textDirection w:val="btLr"/>
            <w:hideMark/>
          </w:tcPr>
          <w:p w14:paraId="5FEEF653"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231 - Rekrutimi i personave për kryerjen e veprave me qëllime terroriste ose të financimit të terrorizmit</w:t>
            </w:r>
          </w:p>
        </w:tc>
        <w:tc>
          <w:tcPr>
            <w:tcW w:w="278" w:type="pct"/>
            <w:shd w:val="clear" w:color="auto" w:fill="DBE5F1"/>
            <w:textDirection w:val="btLr"/>
            <w:hideMark/>
          </w:tcPr>
          <w:p w14:paraId="5FEEF654"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232 - Stërvitja për kryerjen e veprave me qëllime terroriste</w:t>
            </w:r>
          </w:p>
        </w:tc>
        <w:tc>
          <w:tcPr>
            <w:tcW w:w="278" w:type="pct"/>
            <w:shd w:val="clear" w:color="auto" w:fill="DBE5F1"/>
            <w:textDirection w:val="btLr"/>
            <w:hideMark/>
          </w:tcPr>
          <w:p w14:paraId="5FEEF655"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232/a - Nxitja, thirja publike dhe propaganda për kryerjen e veprave me qëllime terroriste</w:t>
            </w:r>
          </w:p>
        </w:tc>
        <w:tc>
          <w:tcPr>
            <w:tcW w:w="279" w:type="pct"/>
            <w:shd w:val="clear" w:color="auto" w:fill="DBE5F1"/>
            <w:textDirection w:val="btLr"/>
            <w:hideMark/>
          </w:tcPr>
          <w:p w14:paraId="5FEEF656"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232/b - Kanosja për kryrjen e veprave me qëllime terroriste</w:t>
            </w:r>
          </w:p>
        </w:tc>
        <w:tc>
          <w:tcPr>
            <w:tcW w:w="224" w:type="pct"/>
            <w:shd w:val="clear" w:color="auto" w:fill="DBE5F1"/>
            <w:textDirection w:val="btLr"/>
            <w:hideMark/>
          </w:tcPr>
          <w:p w14:paraId="5FEEF657"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233 - Krijimi i turmave të armatosura</w:t>
            </w:r>
          </w:p>
        </w:tc>
        <w:tc>
          <w:tcPr>
            <w:tcW w:w="224" w:type="pct"/>
            <w:shd w:val="clear" w:color="auto" w:fill="DBE5F1"/>
            <w:textDirection w:val="btLr"/>
            <w:hideMark/>
          </w:tcPr>
          <w:p w14:paraId="5FEEF658"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234 - Prodhimi i armëve luftarake</w:t>
            </w:r>
          </w:p>
        </w:tc>
        <w:tc>
          <w:tcPr>
            <w:tcW w:w="224" w:type="pct"/>
            <w:shd w:val="clear" w:color="auto" w:fill="DBE5F1"/>
            <w:textDirection w:val="btLr"/>
            <w:hideMark/>
          </w:tcPr>
          <w:p w14:paraId="5FEEF659" w14:textId="77777777" w:rsidR="00ED5F82" w:rsidRPr="00795698" w:rsidRDefault="00ED5F82" w:rsidP="00ED5F82">
            <w:pPr>
              <w:spacing w:line="276" w:lineRule="auto"/>
              <w:ind w:left="113" w:right="113"/>
              <w:jc w:val="center"/>
              <w:rPr>
                <w:b/>
                <w:bCs/>
                <w:i/>
                <w:iCs/>
                <w:color w:val="000000"/>
                <w:sz w:val="16"/>
                <w:szCs w:val="16"/>
              </w:rPr>
            </w:pPr>
            <w:r w:rsidRPr="00795698">
              <w:rPr>
                <w:b/>
                <w:bCs/>
                <w:i/>
                <w:iCs/>
                <w:color w:val="000000"/>
                <w:sz w:val="16"/>
                <w:szCs w:val="16"/>
              </w:rPr>
              <w:t>Neni 234/a - Organizata terroriste</w:t>
            </w:r>
          </w:p>
        </w:tc>
        <w:tc>
          <w:tcPr>
            <w:tcW w:w="224" w:type="pct"/>
            <w:shd w:val="clear" w:color="auto" w:fill="DBE5F1"/>
            <w:textDirection w:val="btLr"/>
            <w:hideMark/>
          </w:tcPr>
          <w:p w14:paraId="5FEEF65A" w14:textId="77777777" w:rsidR="00ED5F82" w:rsidRPr="00795698" w:rsidRDefault="00ED5F82" w:rsidP="00ED5F82">
            <w:pPr>
              <w:spacing w:line="276" w:lineRule="auto"/>
              <w:ind w:left="113" w:right="113"/>
              <w:jc w:val="center"/>
              <w:rPr>
                <w:b/>
                <w:i/>
                <w:color w:val="000000"/>
                <w:sz w:val="16"/>
              </w:rPr>
            </w:pPr>
            <w:r w:rsidRPr="00795698">
              <w:rPr>
                <w:b/>
                <w:i/>
                <w:color w:val="000000"/>
                <w:sz w:val="16"/>
              </w:rPr>
              <w:t>Neni 234/b - Banda e armatosur</w:t>
            </w:r>
          </w:p>
        </w:tc>
        <w:tc>
          <w:tcPr>
            <w:tcW w:w="360" w:type="pct"/>
            <w:shd w:val="clear" w:color="auto" w:fill="DBE5F1"/>
            <w:noWrap/>
            <w:textDirection w:val="btLr"/>
            <w:hideMark/>
          </w:tcPr>
          <w:p w14:paraId="5FEEF65B" w14:textId="77777777" w:rsidR="00ED5F82" w:rsidRPr="00795698" w:rsidRDefault="00ED5F82" w:rsidP="00ED5F82">
            <w:pPr>
              <w:spacing w:line="276" w:lineRule="auto"/>
              <w:ind w:left="113" w:right="113"/>
              <w:jc w:val="center"/>
              <w:rPr>
                <w:b/>
                <w:bCs/>
                <w:color w:val="000000"/>
                <w:sz w:val="16"/>
                <w:szCs w:val="16"/>
              </w:rPr>
            </w:pPr>
            <w:r w:rsidRPr="00795698">
              <w:rPr>
                <w:b/>
                <w:bCs/>
                <w:color w:val="000000"/>
                <w:sz w:val="16"/>
                <w:szCs w:val="16"/>
              </w:rPr>
              <w:t>Totali</w:t>
            </w:r>
          </w:p>
        </w:tc>
      </w:tr>
      <w:tr w:rsidR="00203C47" w:rsidRPr="00795698" w14:paraId="5FEEF673" w14:textId="77777777" w:rsidTr="000C2409">
        <w:trPr>
          <w:trHeight w:val="56"/>
          <w:jc w:val="center"/>
        </w:trPr>
        <w:tc>
          <w:tcPr>
            <w:tcW w:w="390" w:type="pct"/>
            <w:vMerge w:val="restart"/>
            <w:shd w:val="clear" w:color="auto" w:fill="DBE5F1"/>
            <w:noWrap/>
            <w:hideMark/>
          </w:tcPr>
          <w:p w14:paraId="5FEEF65D" w14:textId="77777777" w:rsidR="00ED5F82" w:rsidRPr="00795698" w:rsidRDefault="00ED5F82" w:rsidP="002D5979">
            <w:pPr>
              <w:spacing w:line="276" w:lineRule="auto"/>
              <w:jc w:val="center"/>
              <w:rPr>
                <w:b/>
                <w:bCs/>
                <w:color w:val="000000"/>
                <w:sz w:val="16"/>
                <w:szCs w:val="16"/>
              </w:rPr>
            </w:pPr>
          </w:p>
          <w:p w14:paraId="5FEEF65E" w14:textId="77777777" w:rsidR="00ED5F82" w:rsidRPr="00795698" w:rsidRDefault="00ED5F82" w:rsidP="002D5979">
            <w:pPr>
              <w:spacing w:line="276" w:lineRule="auto"/>
              <w:jc w:val="center"/>
              <w:rPr>
                <w:b/>
                <w:bCs/>
                <w:color w:val="000000"/>
                <w:sz w:val="16"/>
                <w:szCs w:val="16"/>
              </w:rPr>
            </w:pPr>
          </w:p>
          <w:p w14:paraId="5FEEF65F" w14:textId="77777777" w:rsidR="00ED5F82" w:rsidRPr="00795698" w:rsidRDefault="00ED5F82" w:rsidP="002D5979">
            <w:pPr>
              <w:spacing w:line="276" w:lineRule="auto"/>
              <w:jc w:val="center"/>
              <w:rPr>
                <w:b/>
                <w:bCs/>
                <w:color w:val="000000"/>
                <w:sz w:val="16"/>
                <w:szCs w:val="16"/>
              </w:rPr>
            </w:pPr>
          </w:p>
          <w:p w14:paraId="5FEEF660" w14:textId="77777777" w:rsidR="00ED5F82" w:rsidRPr="00795698" w:rsidRDefault="00ED5F82" w:rsidP="002D5979">
            <w:pPr>
              <w:spacing w:line="276" w:lineRule="auto"/>
              <w:jc w:val="center"/>
              <w:rPr>
                <w:b/>
                <w:bCs/>
                <w:color w:val="000000"/>
                <w:sz w:val="16"/>
                <w:szCs w:val="16"/>
              </w:rPr>
            </w:pPr>
          </w:p>
          <w:p w14:paraId="5FEEF661" w14:textId="77777777" w:rsidR="00ED5F82" w:rsidRPr="00795698" w:rsidRDefault="00ED5F82" w:rsidP="002D5979">
            <w:pPr>
              <w:spacing w:line="276" w:lineRule="auto"/>
              <w:jc w:val="center"/>
              <w:rPr>
                <w:b/>
                <w:bCs/>
                <w:color w:val="000000"/>
                <w:sz w:val="16"/>
                <w:szCs w:val="16"/>
              </w:rPr>
            </w:pPr>
          </w:p>
          <w:p w14:paraId="5FEEF662" w14:textId="77777777" w:rsidR="00ED5F82" w:rsidRPr="00795698" w:rsidRDefault="00ED5F82" w:rsidP="002D5979">
            <w:pPr>
              <w:spacing w:line="276" w:lineRule="auto"/>
              <w:jc w:val="center"/>
              <w:rPr>
                <w:b/>
                <w:bCs/>
                <w:color w:val="000000"/>
                <w:sz w:val="16"/>
                <w:szCs w:val="16"/>
              </w:rPr>
            </w:pPr>
          </w:p>
          <w:p w14:paraId="5FEEF663"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2015</w:t>
            </w:r>
          </w:p>
        </w:tc>
        <w:tc>
          <w:tcPr>
            <w:tcW w:w="760" w:type="pct"/>
            <w:shd w:val="clear" w:color="auto" w:fill="DBE5F1"/>
            <w:hideMark/>
          </w:tcPr>
          <w:p w14:paraId="5FEEF664" w14:textId="77777777" w:rsidR="00ED5F82" w:rsidRPr="00795698" w:rsidRDefault="00ED5F82" w:rsidP="002D5979">
            <w:pPr>
              <w:spacing w:line="276" w:lineRule="auto"/>
              <w:jc w:val="center"/>
              <w:rPr>
                <w:bCs/>
                <w:i/>
                <w:iCs/>
                <w:color w:val="000000"/>
                <w:sz w:val="16"/>
                <w:szCs w:val="16"/>
              </w:rPr>
            </w:pPr>
            <w:r w:rsidRPr="00795698">
              <w:rPr>
                <w:bCs/>
                <w:i/>
                <w:iCs/>
                <w:color w:val="000000"/>
                <w:sz w:val="16"/>
                <w:szCs w:val="16"/>
              </w:rPr>
              <w:t>Nr. Proc. Regj.</w:t>
            </w:r>
          </w:p>
        </w:tc>
        <w:tc>
          <w:tcPr>
            <w:tcW w:w="224" w:type="pct"/>
            <w:shd w:val="clear" w:color="auto" w:fill="DBE5F1"/>
            <w:hideMark/>
          </w:tcPr>
          <w:p w14:paraId="5FEEF665" w14:textId="77777777" w:rsidR="00ED5F82" w:rsidRPr="00795698" w:rsidRDefault="00ED5F82" w:rsidP="002D5979">
            <w:pPr>
              <w:spacing w:line="276" w:lineRule="auto"/>
              <w:jc w:val="center"/>
              <w:rPr>
                <w:color w:val="000000"/>
                <w:sz w:val="16"/>
                <w:szCs w:val="16"/>
              </w:rPr>
            </w:pPr>
            <w:r w:rsidRPr="00795698">
              <w:rPr>
                <w:color w:val="000000"/>
                <w:sz w:val="16"/>
                <w:szCs w:val="16"/>
              </w:rPr>
              <w:t>6</w:t>
            </w:r>
          </w:p>
        </w:tc>
        <w:tc>
          <w:tcPr>
            <w:tcW w:w="224" w:type="pct"/>
            <w:shd w:val="clear" w:color="auto" w:fill="DBE5F1"/>
            <w:hideMark/>
          </w:tcPr>
          <w:p w14:paraId="5FEEF66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6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6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6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6A"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78" w:type="pct"/>
            <w:shd w:val="clear" w:color="auto" w:fill="DBE5F1"/>
            <w:noWrap/>
            <w:hideMark/>
          </w:tcPr>
          <w:p w14:paraId="5FEEF66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6C" w14:textId="77777777" w:rsidR="00ED5F82" w:rsidRPr="00795698" w:rsidRDefault="00ED5F82" w:rsidP="002D5979">
            <w:pPr>
              <w:spacing w:line="276" w:lineRule="auto"/>
              <w:jc w:val="center"/>
              <w:rPr>
                <w:color w:val="000000"/>
                <w:sz w:val="16"/>
                <w:szCs w:val="16"/>
              </w:rPr>
            </w:pPr>
            <w:r w:rsidRPr="00795698">
              <w:rPr>
                <w:color w:val="000000"/>
                <w:sz w:val="16"/>
                <w:szCs w:val="16"/>
              </w:rPr>
              <w:t>5</w:t>
            </w:r>
          </w:p>
        </w:tc>
        <w:tc>
          <w:tcPr>
            <w:tcW w:w="279" w:type="pct"/>
            <w:shd w:val="clear" w:color="auto" w:fill="DBE5F1"/>
            <w:noWrap/>
            <w:hideMark/>
          </w:tcPr>
          <w:p w14:paraId="5FEEF66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6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6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7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7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72"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12</w:t>
            </w:r>
          </w:p>
        </w:tc>
      </w:tr>
      <w:tr w:rsidR="00203C47" w:rsidRPr="00795698" w14:paraId="5FEEF684" w14:textId="77777777" w:rsidTr="000C2409">
        <w:trPr>
          <w:trHeight w:val="56"/>
          <w:jc w:val="center"/>
        </w:trPr>
        <w:tc>
          <w:tcPr>
            <w:tcW w:w="390" w:type="pct"/>
            <w:vMerge/>
            <w:shd w:val="clear" w:color="auto" w:fill="DBE5F1"/>
            <w:hideMark/>
          </w:tcPr>
          <w:p w14:paraId="5FEEF674"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75"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Proc. për gjykim</w:t>
            </w:r>
          </w:p>
        </w:tc>
        <w:tc>
          <w:tcPr>
            <w:tcW w:w="224" w:type="pct"/>
            <w:shd w:val="clear" w:color="auto" w:fill="DBE5F1"/>
            <w:hideMark/>
          </w:tcPr>
          <w:p w14:paraId="5FEEF67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67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7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7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7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7B"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78" w:type="pct"/>
            <w:shd w:val="clear" w:color="auto" w:fill="DBE5F1"/>
            <w:noWrap/>
            <w:hideMark/>
          </w:tcPr>
          <w:p w14:paraId="5FEEF67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7D" w14:textId="77777777" w:rsidR="00ED5F82" w:rsidRPr="00795698" w:rsidRDefault="00ED5F82" w:rsidP="002D5979">
            <w:pPr>
              <w:spacing w:line="276" w:lineRule="auto"/>
              <w:jc w:val="center"/>
              <w:rPr>
                <w:color w:val="000000"/>
                <w:sz w:val="16"/>
                <w:szCs w:val="16"/>
              </w:rPr>
            </w:pPr>
            <w:r w:rsidRPr="00795698">
              <w:rPr>
                <w:color w:val="000000"/>
                <w:sz w:val="16"/>
                <w:szCs w:val="16"/>
              </w:rPr>
              <w:t>2</w:t>
            </w:r>
          </w:p>
        </w:tc>
        <w:tc>
          <w:tcPr>
            <w:tcW w:w="279" w:type="pct"/>
            <w:shd w:val="clear" w:color="auto" w:fill="DBE5F1"/>
            <w:noWrap/>
            <w:hideMark/>
          </w:tcPr>
          <w:p w14:paraId="5FEEF67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7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8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8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8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83"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3</w:t>
            </w:r>
          </w:p>
        </w:tc>
      </w:tr>
      <w:tr w:rsidR="00203C47" w:rsidRPr="00795698" w14:paraId="5FEEF695" w14:textId="77777777" w:rsidTr="000C2409">
        <w:trPr>
          <w:trHeight w:val="56"/>
          <w:jc w:val="center"/>
        </w:trPr>
        <w:tc>
          <w:tcPr>
            <w:tcW w:w="390" w:type="pct"/>
            <w:vMerge/>
            <w:shd w:val="clear" w:color="auto" w:fill="DBE5F1"/>
            <w:hideMark/>
          </w:tcPr>
          <w:p w14:paraId="5FEEF685"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86"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Regj.</w:t>
            </w:r>
          </w:p>
        </w:tc>
        <w:tc>
          <w:tcPr>
            <w:tcW w:w="224" w:type="pct"/>
            <w:shd w:val="clear" w:color="auto" w:fill="DBE5F1"/>
            <w:hideMark/>
          </w:tcPr>
          <w:p w14:paraId="5FEEF68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68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8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8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8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8C"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78" w:type="pct"/>
            <w:shd w:val="clear" w:color="auto" w:fill="DBE5F1"/>
            <w:noWrap/>
            <w:hideMark/>
          </w:tcPr>
          <w:p w14:paraId="5FEEF68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8E" w14:textId="77777777" w:rsidR="00ED5F82" w:rsidRPr="00795698" w:rsidRDefault="00ED5F82" w:rsidP="002D5979">
            <w:pPr>
              <w:spacing w:line="276" w:lineRule="auto"/>
              <w:jc w:val="center"/>
              <w:rPr>
                <w:color w:val="000000"/>
                <w:sz w:val="16"/>
                <w:szCs w:val="16"/>
              </w:rPr>
            </w:pPr>
            <w:r w:rsidRPr="00795698">
              <w:rPr>
                <w:color w:val="000000"/>
                <w:sz w:val="16"/>
                <w:szCs w:val="16"/>
              </w:rPr>
              <w:t>7</w:t>
            </w:r>
          </w:p>
        </w:tc>
        <w:tc>
          <w:tcPr>
            <w:tcW w:w="279" w:type="pct"/>
            <w:shd w:val="clear" w:color="auto" w:fill="DBE5F1"/>
            <w:noWrap/>
            <w:hideMark/>
          </w:tcPr>
          <w:p w14:paraId="5FEEF68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9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9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9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9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94"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8</w:t>
            </w:r>
          </w:p>
        </w:tc>
      </w:tr>
      <w:tr w:rsidR="00203C47" w:rsidRPr="00795698" w14:paraId="5FEEF6A6" w14:textId="77777777" w:rsidTr="000C2409">
        <w:trPr>
          <w:trHeight w:val="440"/>
          <w:jc w:val="center"/>
        </w:trPr>
        <w:tc>
          <w:tcPr>
            <w:tcW w:w="390" w:type="pct"/>
            <w:vMerge/>
            <w:shd w:val="clear" w:color="auto" w:fill="DBE5F1"/>
            <w:hideMark/>
          </w:tcPr>
          <w:p w14:paraId="5FEEF696"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97"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për gjykim</w:t>
            </w:r>
          </w:p>
        </w:tc>
        <w:tc>
          <w:tcPr>
            <w:tcW w:w="224" w:type="pct"/>
            <w:shd w:val="clear" w:color="auto" w:fill="DBE5F1"/>
            <w:hideMark/>
          </w:tcPr>
          <w:p w14:paraId="5FEEF69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69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9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9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9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9D"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78" w:type="pct"/>
            <w:shd w:val="clear" w:color="auto" w:fill="DBE5F1"/>
            <w:noWrap/>
            <w:hideMark/>
          </w:tcPr>
          <w:p w14:paraId="5FEEF69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9F" w14:textId="77777777" w:rsidR="00ED5F82" w:rsidRPr="00795698" w:rsidRDefault="00ED5F82" w:rsidP="002D5979">
            <w:pPr>
              <w:spacing w:line="276" w:lineRule="auto"/>
              <w:jc w:val="center"/>
              <w:rPr>
                <w:color w:val="000000"/>
                <w:sz w:val="16"/>
                <w:szCs w:val="16"/>
              </w:rPr>
            </w:pPr>
            <w:r w:rsidRPr="00795698">
              <w:rPr>
                <w:color w:val="000000"/>
                <w:sz w:val="16"/>
                <w:szCs w:val="16"/>
              </w:rPr>
              <w:t>10</w:t>
            </w:r>
          </w:p>
        </w:tc>
        <w:tc>
          <w:tcPr>
            <w:tcW w:w="279" w:type="pct"/>
            <w:shd w:val="clear" w:color="auto" w:fill="DBE5F1"/>
            <w:noWrap/>
            <w:hideMark/>
          </w:tcPr>
          <w:p w14:paraId="5FEEF6A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A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A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A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A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A5"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11</w:t>
            </w:r>
          </w:p>
        </w:tc>
      </w:tr>
      <w:tr w:rsidR="00203C47" w:rsidRPr="00795698" w14:paraId="5FEEF6B7" w14:textId="77777777" w:rsidTr="000C2409">
        <w:trPr>
          <w:trHeight w:val="56"/>
          <w:jc w:val="center"/>
        </w:trPr>
        <w:tc>
          <w:tcPr>
            <w:tcW w:w="390" w:type="pct"/>
            <w:vMerge/>
            <w:shd w:val="clear" w:color="auto" w:fill="DBE5F1"/>
            <w:hideMark/>
          </w:tcPr>
          <w:p w14:paraId="5FEEF6A7"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A8"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dënuar</w:t>
            </w:r>
          </w:p>
        </w:tc>
        <w:tc>
          <w:tcPr>
            <w:tcW w:w="224" w:type="pct"/>
            <w:shd w:val="clear" w:color="auto" w:fill="DBE5F1"/>
            <w:hideMark/>
          </w:tcPr>
          <w:p w14:paraId="5FEEF6A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6A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A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A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A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A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A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B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6B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B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B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B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B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B6"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ED5F82" w:rsidRPr="00795698" w14:paraId="5FEEF6B9" w14:textId="77777777" w:rsidTr="00ED5F82">
        <w:trPr>
          <w:trHeight w:val="152"/>
          <w:jc w:val="center"/>
        </w:trPr>
        <w:tc>
          <w:tcPr>
            <w:tcW w:w="5000" w:type="pct"/>
            <w:gridSpan w:val="16"/>
            <w:shd w:val="clear" w:color="auto" w:fill="DBE5F1"/>
            <w:noWrap/>
            <w:hideMark/>
          </w:tcPr>
          <w:p w14:paraId="5FEEF6B8" w14:textId="77777777" w:rsidR="00ED5F82" w:rsidRPr="00795698" w:rsidRDefault="00ED5F82" w:rsidP="002D5979">
            <w:pPr>
              <w:spacing w:line="276" w:lineRule="auto"/>
              <w:jc w:val="center"/>
              <w:rPr>
                <w:bCs/>
                <w:color w:val="000000"/>
                <w:sz w:val="16"/>
                <w:szCs w:val="16"/>
              </w:rPr>
            </w:pPr>
            <w:r w:rsidRPr="00795698">
              <w:rPr>
                <w:bCs/>
                <w:color w:val="000000"/>
                <w:sz w:val="16"/>
                <w:szCs w:val="16"/>
              </w:rPr>
              <w:t> </w:t>
            </w:r>
          </w:p>
        </w:tc>
      </w:tr>
      <w:tr w:rsidR="00203C47" w:rsidRPr="00795698" w14:paraId="5FEEF6CF" w14:textId="77777777" w:rsidTr="000C2409">
        <w:trPr>
          <w:trHeight w:val="56"/>
          <w:jc w:val="center"/>
        </w:trPr>
        <w:tc>
          <w:tcPr>
            <w:tcW w:w="390" w:type="pct"/>
            <w:vMerge w:val="restart"/>
            <w:shd w:val="clear" w:color="auto" w:fill="DBE5F1"/>
            <w:noWrap/>
            <w:hideMark/>
          </w:tcPr>
          <w:p w14:paraId="5FEEF6BA" w14:textId="77777777" w:rsidR="00ED5F82" w:rsidRPr="00795698" w:rsidRDefault="00ED5F82" w:rsidP="002D5979">
            <w:pPr>
              <w:spacing w:line="276" w:lineRule="auto"/>
              <w:jc w:val="center"/>
              <w:rPr>
                <w:b/>
                <w:bCs/>
                <w:color w:val="000000"/>
                <w:sz w:val="16"/>
                <w:szCs w:val="16"/>
              </w:rPr>
            </w:pPr>
          </w:p>
          <w:p w14:paraId="5FEEF6BB" w14:textId="77777777" w:rsidR="00ED5F82" w:rsidRPr="00795698" w:rsidRDefault="00ED5F82" w:rsidP="002D5979">
            <w:pPr>
              <w:spacing w:line="276" w:lineRule="auto"/>
              <w:jc w:val="center"/>
              <w:rPr>
                <w:b/>
                <w:bCs/>
                <w:color w:val="000000"/>
                <w:sz w:val="16"/>
                <w:szCs w:val="16"/>
              </w:rPr>
            </w:pPr>
          </w:p>
          <w:p w14:paraId="5FEEF6BC" w14:textId="77777777" w:rsidR="00ED5F82" w:rsidRPr="00795698" w:rsidRDefault="00ED5F82" w:rsidP="002D5979">
            <w:pPr>
              <w:spacing w:line="276" w:lineRule="auto"/>
              <w:jc w:val="center"/>
              <w:rPr>
                <w:b/>
                <w:bCs/>
                <w:color w:val="000000"/>
                <w:sz w:val="16"/>
                <w:szCs w:val="16"/>
              </w:rPr>
            </w:pPr>
          </w:p>
          <w:p w14:paraId="5FEEF6BD" w14:textId="77777777" w:rsidR="00ED5F82" w:rsidRPr="00795698" w:rsidRDefault="00ED5F82" w:rsidP="002D5979">
            <w:pPr>
              <w:spacing w:line="276" w:lineRule="auto"/>
              <w:jc w:val="center"/>
              <w:rPr>
                <w:b/>
                <w:bCs/>
                <w:color w:val="000000"/>
                <w:sz w:val="16"/>
                <w:szCs w:val="16"/>
              </w:rPr>
            </w:pPr>
          </w:p>
          <w:p w14:paraId="5FEEF6BE" w14:textId="77777777" w:rsidR="00ED5F82" w:rsidRPr="00795698" w:rsidRDefault="00ED5F82" w:rsidP="002D5979">
            <w:pPr>
              <w:spacing w:line="276" w:lineRule="auto"/>
              <w:jc w:val="center"/>
              <w:rPr>
                <w:b/>
                <w:bCs/>
                <w:color w:val="000000"/>
                <w:sz w:val="16"/>
                <w:szCs w:val="16"/>
              </w:rPr>
            </w:pPr>
          </w:p>
          <w:p w14:paraId="5FEEF6BF" w14:textId="4778C4EA" w:rsidR="00ED5F82" w:rsidRPr="00795698" w:rsidRDefault="007C064A" w:rsidP="002D5979">
            <w:pPr>
              <w:spacing w:line="276" w:lineRule="auto"/>
              <w:rPr>
                <w:b/>
                <w:bCs/>
                <w:color w:val="000000"/>
                <w:sz w:val="16"/>
                <w:szCs w:val="16"/>
              </w:rPr>
            </w:pPr>
            <w:r w:rsidRPr="00795698">
              <w:rPr>
                <w:b/>
                <w:bCs/>
                <w:color w:val="000000"/>
                <w:sz w:val="16"/>
                <w:szCs w:val="16"/>
              </w:rPr>
              <w:t xml:space="preserve">  </w:t>
            </w:r>
            <w:r w:rsidR="00ED5F82" w:rsidRPr="00795698">
              <w:rPr>
                <w:b/>
                <w:bCs/>
                <w:color w:val="000000"/>
                <w:sz w:val="16"/>
                <w:szCs w:val="16"/>
              </w:rPr>
              <w:t>2016</w:t>
            </w:r>
          </w:p>
        </w:tc>
        <w:tc>
          <w:tcPr>
            <w:tcW w:w="760" w:type="pct"/>
            <w:shd w:val="clear" w:color="auto" w:fill="DBE5F1"/>
            <w:hideMark/>
          </w:tcPr>
          <w:p w14:paraId="5FEEF6C0"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Proc. Regj.</w:t>
            </w:r>
          </w:p>
        </w:tc>
        <w:tc>
          <w:tcPr>
            <w:tcW w:w="224" w:type="pct"/>
            <w:shd w:val="clear" w:color="auto" w:fill="DBE5F1"/>
            <w:hideMark/>
          </w:tcPr>
          <w:p w14:paraId="5FEEF6C1"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hideMark/>
          </w:tcPr>
          <w:p w14:paraId="5FEEF6C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C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C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C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C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C7" w14:textId="77777777" w:rsidR="00ED5F82" w:rsidRPr="00795698" w:rsidRDefault="00ED5F82" w:rsidP="002D5979">
            <w:pPr>
              <w:spacing w:line="276" w:lineRule="auto"/>
              <w:jc w:val="center"/>
              <w:rPr>
                <w:color w:val="000000"/>
                <w:sz w:val="16"/>
                <w:szCs w:val="16"/>
              </w:rPr>
            </w:pPr>
            <w:r w:rsidRPr="00795698">
              <w:rPr>
                <w:color w:val="000000"/>
                <w:sz w:val="16"/>
                <w:szCs w:val="16"/>
              </w:rPr>
              <w:t>3</w:t>
            </w:r>
          </w:p>
        </w:tc>
        <w:tc>
          <w:tcPr>
            <w:tcW w:w="278" w:type="pct"/>
            <w:shd w:val="clear" w:color="auto" w:fill="DBE5F1"/>
            <w:noWrap/>
            <w:hideMark/>
          </w:tcPr>
          <w:p w14:paraId="5FEEF6C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6C9"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noWrap/>
            <w:hideMark/>
          </w:tcPr>
          <w:p w14:paraId="5FEEF6C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CB"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noWrap/>
            <w:hideMark/>
          </w:tcPr>
          <w:p w14:paraId="5FEEF6C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C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CE"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6</w:t>
            </w:r>
          </w:p>
        </w:tc>
      </w:tr>
      <w:tr w:rsidR="00203C47" w:rsidRPr="00795698" w14:paraId="5FEEF6E0" w14:textId="77777777" w:rsidTr="000C2409">
        <w:trPr>
          <w:trHeight w:val="458"/>
          <w:jc w:val="center"/>
        </w:trPr>
        <w:tc>
          <w:tcPr>
            <w:tcW w:w="390" w:type="pct"/>
            <w:vMerge/>
            <w:shd w:val="clear" w:color="auto" w:fill="DBE5F1"/>
            <w:hideMark/>
          </w:tcPr>
          <w:p w14:paraId="5FEEF6D0"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D1"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Proc. për gjykim</w:t>
            </w:r>
          </w:p>
        </w:tc>
        <w:tc>
          <w:tcPr>
            <w:tcW w:w="224" w:type="pct"/>
            <w:shd w:val="clear" w:color="auto" w:fill="DBE5F1"/>
            <w:hideMark/>
          </w:tcPr>
          <w:p w14:paraId="5FEEF6D2"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hideMark/>
          </w:tcPr>
          <w:p w14:paraId="5FEEF6D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D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D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D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D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D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D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6D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D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D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D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D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DF"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w:t>
            </w:r>
          </w:p>
        </w:tc>
      </w:tr>
      <w:tr w:rsidR="00203C47" w:rsidRPr="00795698" w14:paraId="5FEEF6F1" w14:textId="77777777" w:rsidTr="000C2409">
        <w:trPr>
          <w:trHeight w:val="56"/>
          <w:jc w:val="center"/>
        </w:trPr>
        <w:tc>
          <w:tcPr>
            <w:tcW w:w="390" w:type="pct"/>
            <w:vMerge/>
            <w:shd w:val="clear" w:color="auto" w:fill="DBE5F1"/>
            <w:hideMark/>
          </w:tcPr>
          <w:p w14:paraId="5FEEF6E1"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E2"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Regj.</w:t>
            </w:r>
          </w:p>
        </w:tc>
        <w:tc>
          <w:tcPr>
            <w:tcW w:w="224" w:type="pct"/>
            <w:shd w:val="clear" w:color="auto" w:fill="DBE5F1"/>
            <w:hideMark/>
          </w:tcPr>
          <w:p w14:paraId="5FEEF6E3"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hideMark/>
          </w:tcPr>
          <w:p w14:paraId="5FEEF6E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E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E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E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E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E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E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6E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E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E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E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E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6F0"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w:t>
            </w:r>
          </w:p>
        </w:tc>
      </w:tr>
      <w:tr w:rsidR="00203C47" w:rsidRPr="00795698" w14:paraId="5FEEF702" w14:textId="77777777" w:rsidTr="000C2409">
        <w:trPr>
          <w:trHeight w:val="440"/>
          <w:jc w:val="center"/>
        </w:trPr>
        <w:tc>
          <w:tcPr>
            <w:tcW w:w="390" w:type="pct"/>
            <w:vMerge/>
            <w:shd w:val="clear" w:color="auto" w:fill="DBE5F1"/>
            <w:hideMark/>
          </w:tcPr>
          <w:p w14:paraId="5FEEF6F2"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6F3"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 xml:space="preserve">Nr. Pand. për gjykim </w:t>
            </w:r>
          </w:p>
        </w:tc>
        <w:tc>
          <w:tcPr>
            <w:tcW w:w="224" w:type="pct"/>
            <w:shd w:val="clear" w:color="auto" w:fill="DBE5F1"/>
            <w:hideMark/>
          </w:tcPr>
          <w:p w14:paraId="5FEEF6F4"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hideMark/>
          </w:tcPr>
          <w:p w14:paraId="5FEEF6F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F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F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6F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6F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F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6F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6F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F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F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6F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0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01"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w:t>
            </w:r>
          </w:p>
        </w:tc>
      </w:tr>
      <w:tr w:rsidR="00203C47" w:rsidRPr="00795698" w14:paraId="5FEEF713" w14:textId="77777777" w:rsidTr="000C2409">
        <w:trPr>
          <w:trHeight w:val="56"/>
          <w:jc w:val="center"/>
        </w:trPr>
        <w:tc>
          <w:tcPr>
            <w:tcW w:w="390" w:type="pct"/>
            <w:vMerge/>
            <w:shd w:val="clear" w:color="auto" w:fill="DBE5F1"/>
            <w:hideMark/>
          </w:tcPr>
          <w:p w14:paraId="5FEEF703"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04"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dënuar</w:t>
            </w:r>
          </w:p>
        </w:tc>
        <w:tc>
          <w:tcPr>
            <w:tcW w:w="224" w:type="pct"/>
            <w:shd w:val="clear" w:color="auto" w:fill="DBE5F1"/>
            <w:hideMark/>
          </w:tcPr>
          <w:p w14:paraId="5FEEF70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06"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78" w:type="pct"/>
            <w:shd w:val="clear" w:color="auto" w:fill="DBE5F1"/>
            <w:hideMark/>
          </w:tcPr>
          <w:p w14:paraId="5FEEF70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0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0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0A" w14:textId="77777777" w:rsidR="00ED5F82" w:rsidRPr="00795698" w:rsidRDefault="00ED5F82" w:rsidP="002D5979">
            <w:pPr>
              <w:spacing w:line="276" w:lineRule="auto"/>
              <w:jc w:val="center"/>
              <w:rPr>
                <w:color w:val="000000"/>
                <w:sz w:val="16"/>
                <w:szCs w:val="16"/>
              </w:rPr>
            </w:pPr>
            <w:r w:rsidRPr="00795698">
              <w:rPr>
                <w:color w:val="000000"/>
                <w:sz w:val="16"/>
                <w:szCs w:val="16"/>
              </w:rPr>
              <w:t>9</w:t>
            </w:r>
          </w:p>
        </w:tc>
        <w:tc>
          <w:tcPr>
            <w:tcW w:w="278" w:type="pct"/>
            <w:shd w:val="clear" w:color="auto" w:fill="DBE5F1"/>
            <w:noWrap/>
            <w:hideMark/>
          </w:tcPr>
          <w:p w14:paraId="5FEEF70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noWrap/>
            <w:hideMark/>
          </w:tcPr>
          <w:p w14:paraId="5FEEF70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70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0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0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1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1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12"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10</w:t>
            </w:r>
          </w:p>
        </w:tc>
      </w:tr>
      <w:tr w:rsidR="00ED5F82" w:rsidRPr="00795698" w14:paraId="5FEEF715" w14:textId="77777777" w:rsidTr="00ED5F82">
        <w:trPr>
          <w:trHeight w:val="152"/>
          <w:jc w:val="center"/>
        </w:trPr>
        <w:tc>
          <w:tcPr>
            <w:tcW w:w="5000" w:type="pct"/>
            <w:gridSpan w:val="16"/>
            <w:shd w:val="clear" w:color="auto" w:fill="DBE5F1"/>
            <w:noWrap/>
            <w:hideMark/>
          </w:tcPr>
          <w:p w14:paraId="5FEEF714" w14:textId="77777777" w:rsidR="00ED5F82" w:rsidRPr="00795698" w:rsidRDefault="00ED5F82" w:rsidP="002D5979">
            <w:pPr>
              <w:spacing w:line="276" w:lineRule="auto"/>
              <w:jc w:val="center"/>
              <w:rPr>
                <w:bCs/>
                <w:color w:val="000000"/>
                <w:sz w:val="16"/>
                <w:szCs w:val="16"/>
              </w:rPr>
            </w:pPr>
            <w:r w:rsidRPr="00795698">
              <w:rPr>
                <w:bCs/>
                <w:color w:val="000000"/>
                <w:sz w:val="16"/>
                <w:szCs w:val="16"/>
              </w:rPr>
              <w:t> </w:t>
            </w:r>
          </w:p>
        </w:tc>
      </w:tr>
      <w:tr w:rsidR="00203C47" w:rsidRPr="00795698" w14:paraId="5FEEF72A" w14:textId="77777777" w:rsidTr="000C2409">
        <w:trPr>
          <w:trHeight w:val="56"/>
          <w:jc w:val="center"/>
        </w:trPr>
        <w:tc>
          <w:tcPr>
            <w:tcW w:w="390" w:type="pct"/>
            <w:vMerge w:val="restart"/>
            <w:shd w:val="clear" w:color="auto" w:fill="DBE5F1"/>
            <w:noWrap/>
            <w:hideMark/>
          </w:tcPr>
          <w:p w14:paraId="5FEEF716" w14:textId="77777777" w:rsidR="00ED5F82" w:rsidRPr="00795698" w:rsidRDefault="00ED5F82" w:rsidP="002D5979">
            <w:pPr>
              <w:spacing w:line="276" w:lineRule="auto"/>
              <w:jc w:val="center"/>
              <w:rPr>
                <w:b/>
                <w:bCs/>
                <w:color w:val="000000"/>
                <w:sz w:val="16"/>
                <w:szCs w:val="16"/>
              </w:rPr>
            </w:pPr>
          </w:p>
          <w:p w14:paraId="5FEEF717" w14:textId="77777777" w:rsidR="00ED5F82" w:rsidRPr="00795698" w:rsidRDefault="00ED5F82" w:rsidP="002D5979">
            <w:pPr>
              <w:spacing w:line="276" w:lineRule="auto"/>
              <w:jc w:val="center"/>
              <w:rPr>
                <w:b/>
                <w:bCs/>
                <w:color w:val="000000"/>
                <w:sz w:val="16"/>
                <w:szCs w:val="16"/>
              </w:rPr>
            </w:pPr>
          </w:p>
          <w:p w14:paraId="5FEEF718" w14:textId="77777777" w:rsidR="00ED5F82" w:rsidRPr="00795698" w:rsidRDefault="00ED5F82" w:rsidP="002D5979">
            <w:pPr>
              <w:spacing w:line="276" w:lineRule="auto"/>
              <w:jc w:val="center"/>
              <w:rPr>
                <w:b/>
                <w:bCs/>
                <w:color w:val="000000"/>
                <w:sz w:val="16"/>
                <w:szCs w:val="16"/>
              </w:rPr>
            </w:pPr>
          </w:p>
          <w:p w14:paraId="5FEEF719" w14:textId="77777777" w:rsidR="00ED5F82" w:rsidRPr="00795698" w:rsidRDefault="00ED5F82" w:rsidP="002D5979">
            <w:pPr>
              <w:spacing w:line="276" w:lineRule="auto"/>
              <w:jc w:val="center"/>
              <w:rPr>
                <w:b/>
                <w:bCs/>
                <w:color w:val="000000"/>
                <w:sz w:val="16"/>
                <w:szCs w:val="16"/>
              </w:rPr>
            </w:pPr>
          </w:p>
          <w:p w14:paraId="5FEEF71A"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2017</w:t>
            </w:r>
          </w:p>
        </w:tc>
        <w:tc>
          <w:tcPr>
            <w:tcW w:w="760" w:type="pct"/>
            <w:shd w:val="clear" w:color="auto" w:fill="DBE5F1"/>
            <w:hideMark/>
          </w:tcPr>
          <w:p w14:paraId="5FEEF71B" w14:textId="77777777" w:rsidR="00ED5F82" w:rsidRPr="00795698" w:rsidRDefault="00ED5F82" w:rsidP="002D5979">
            <w:pPr>
              <w:spacing w:line="276" w:lineRule="auto"/>
              <w:jc w:val="center"/>
              <w:rPr>
                <w:bCs/>
                <w:i/>
                <w:iCs/>
                <w:color w:val="000000"/>
                <w:sz w:val="16"/>
                <w:szCs w:val="16"/>
              </w:rPr>
            </w:pPr>
            <w:r w:rsidRPr="00795698">
              <w:rPr>
                <w:bCs/>
                <w:i/>
                <w:iCs/>
                <w:color w:val="000000"/>
                <w:sz w:val="16"/>
                <w:szCs w:val="16"/>
              </w:rPr>
              <w:t>Nr. Proc. Regj.</w:t>
            </w:r>
          </w:p>
        </w:tc>
        <w:tc>
          <w:tcPr>
            <w:tcW w:w="224" w:type="pct"/>
            <w:shd w:val="clear" w:color="auto" w:fill="DBE5F1"/>
            <w:noWrap/>
            <w:hideMark/>
          </w:tcPr>
          <w:p w14:paraId="5FEEF71C"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noWrap/>
            <w:hideMark/>
          </w:tcPr>
          <w:p w14:paraId="5FEEF71D" w14:textId="77777777" w:rsidR="00ED5F82" w:rsidRPr="00795698" w:rsidRDefault="00ED5F82" w:rsidP="002D5979">
            <w:pPr>
              <w:spacing w:line="276" w:lineRule="auto"/>
              <w:jc w:val="center"/>
              <w:rPr>
                <w:color w:val="000000"/>
                <w:sz w:val="16"/>
                <w:szCs w:val="16"/>
              </w:rPr>
            </w:pPr>
            <w:r w:rsidRPr="00795698">
              <w:rPr>
                <w:color w:val="000000"/>
                <w:sz w:val="16"/>
                <w:szCs w:val="16"/>
              </w:rPr>
              <w:t>3</w:t>
            </w:r>
          </w:p>
        </w:tc>
        <w:tc>
          <w:tcPr>
            <w:tcW w:w="278" w:type="pct"/>
            <w:shd w:val="clear" w:color="auto" w:fill="DBE5F1"/>
            <w:noWrap/>
            <w:hideMark/>
          </w:tcPr>
          <w:p w14:paraId="5FEEF71E"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377" w:type="pct"/>
            <w:shd w:val="clear" w:color="auto" w:fill="DBE5F1"/>
            <w:hideMark/>
          </w:tcPr>
          <w:p w14:paraId="5FEEF71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2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2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2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2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724"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24" w:type="pct"/>
            <w:shd w:val="clear" w:color="auto" w:fill="DBE5F1"/>
            <w:hideMark/>
          </w:tcPr>
          <w:p w14:paraId="5FEEF72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2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2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2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29"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6</w:t>
            </w:r>
          </w:p>
        </w:tc>
      </w:tr>
      <w:tr w:rsidR="00203C47" w:rsidRPr="00795698" w14:paraId="5FEEF73B" w14:textId="77777777" w:rsidTr="000C2409">
        <w:trPr>
          <w:trHeight w:val="440"/>
          <w:jc w:val="center"/>
        </w:trPr>
        <w:tc>
          <w:tcPr>
            <w:tcW w:w="390" w:type="pct"/>
            <w:vMerge/>
            <w:shd w:val="clear" w:color="auto" w:fill="DBE5F1"/>
            <w:hideMark/>
          </w:tcPr>
          <w:p w14:paraId="5FEEF72B"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2C"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Proc. për gjykim</w:t>
            </w:r>
          </w:p>
        </w:tc>
        <w:tc>
          <w:tcPr>
            <w:tcW w:w="224" w:type="pct"/>
            <w:shd w:val="clear" w:color="auto" w:fill="DBE5F1"/>
            <w:hideMark/>
          </w:tcPr>
          <w:p w14:paraId="5FEEF72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2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2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3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3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3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3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3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3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3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3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3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3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3A"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203C47" w:rsidRPr="00795698" w14:paraId="5FEEF74C" w14:textId="77777777" w:rsidTr="000C2409">
        <w:trPr>
          <w:trHeight w:val="56"/>
          <w:jc w:val="center"/>
        </w:trPr>
        <w:tc>
          <w:tcPr>
            <w:tcW w:w="390" w:type="pct"/>
            <w:vMerge/>
            <w:shd w:val="clear" w:color="auto" w:fill="DBE5F1"/>
            <w:hideMark/>
          </w:tcPr>
          <w:p w14:paraId="5FEEF73C"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3D"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Regj.</w:t>
            </w:r>
          </w:p>
        </w:tc>
        <w:tc>
          <w:tcPr>
            <w:tcW w:w="224" w:type="pct"/>
            <w:shd w:val="clear" w:color="auto" w:fill="DBE5F1"/>
            <w:hideMark/>
          </w:tcPr>
          <w:p w14:paraId="5FEEF73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3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4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4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4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4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4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4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4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4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4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4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4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4B"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203C47" w:rsidRPr="00795698" w14:paraId="5FEEF75D" w14:textId="77777777" w:rsidTr="000C2409">
        <w:trPr>
          <w:trHeight w:val="386"/>
          <w:jc w:val="center"/>
        </w:trPr>
        <w:tc>
          <w:tcPr>
            <w:tcW w:w="390" w:type="pct"/>
            <w:vMerge/>
            <w:shd w:val="clear" w:color="auto" w:fill="DBE5F1"/>
            <w:hideMark/>
          </w:tcPr>
          <w:p w14:paraId="5FEEF74D"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4E"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 xml:space="preserve">Nr. Pand. për gjykim </w:t>
            </w:r>
          </w:p>
        </w:tc>
        <w:tc>
          <w:tcPr>
            <w:tcW w:w="224" w:type="pct"/>
            <w:shd w:val="clear" w:color="auto" w:fill="DBE5F1"/>
            <w:hideMark/>
          </w:tcPr>
          <w:p w14:paraId="5FEEF74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5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5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5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5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5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5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5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5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5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5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5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5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5C"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203C47" w:rsidRPr="00795698" w14:paraId="5FEEF76E" w14:textId="77777777" w:rsidTr="000C2409">
        <w:trPr>
          <w:trHeight w:val="56"/>
          <w:jc w:val="center"/>
        </w:trPr>
        <w:tc>
          <w:tcPr>
            <w:tcW w:w="390" w:type="pct"/>
            <w:vMerge/>
            <w:shd w:val="clear" w:color="auto" w:fill="DBE5F1"/>
            <w:hideMark/>
          </w:tcPr>
          <w:p w14:paraId="5FEEF75E"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5F"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dënuar</w:t>
            </w:r>
          </w:p>
        </w:tc>
        <w:tc>
          <w:tcPr>
            <w:tcW w:w="224" w:type="pct"/>
            <w:shd w:val="clear" w:color="auto" w:fill="DBE5F1"/>
            <w:hideMark/>
          </w:tcPr>
          <w:p w14:paraId="5FEEF76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6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6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6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6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noWrap/>
            <w:hideMark/>
          </w:tcPr>
          <w:p w14:paraId="5FEEF765" w14:textId="77777777" w:rsidR="00ED5F82" w:rsidRPr="00795698" w:rsidRDefault="00ED5F82" w:rsidP="002D5979">
            <w:pPr>
              <w:spacing w:line="276" w:lineRule="auto"/>
              <w:jc w:val="center"/>
              <w:rPr>
                <w:color w:val="000000"/>
                <w:sz w:val="16"/>
                <w:szCs w:val="16"/>
              </w:rPr>
            </w:pPr>
            <w:r w:rsidRPr="00795698">
              <w:rPr>
                <w:color w:val="000000"/>
                <w:sz w:val="16"/>
                <w:szCs w:val="16"/>
              </w:rPr>
              <w:t>1</w:t>
            </w:r>
          </w:p>
        </w:tc>
        <w:tc>
          <w:tcPr>
            <w:tcW w:w="278" w:type="pct"/>
            <w:shd w:val="clear" w:color="auto" w:fill="DBE5F1"/>
            <w:hideMark/>
          </w:tcPr>
          <w:p w14:paraId="5FEEF76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6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6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6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6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6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6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6D"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1</w:t>
            </w:r>
          </w:p>
        </w:tc>
      </w:tr>
      <w:tr w:rsidR="00ED5F82" w:rsidRPr="00795698" w14:paraId="5FEEF770" w14:textId="77777777" w:rsidTr="00ED5F82">
        <w:trPr>
          <w:trHeight w:val="161"/>
          <w:jc w:val="center"/>
        </w:trPr>
        <w:tc>
          <w:tcPr>
            <w:tcW w:w="5000" w:type="pct"/>
            <w:gridSpan w:val="16"/>
            <w:shd w:val="clear" w:color="auto" w:fill="DBE5F1"/>
            <w:noWrap/>
            <w:hideMark/>
          </w:tcPr>
          <w:p w14:paraId="5FEEF76F" w14:textId="77777777" w:rsidR="00ED5F82" w:rsidRPr="00795698" w:rsidRDefault="00ED5F82" w:rsidP="002D5979">
            <w:pPr>
              <w:spacing w:line="276" w:lineRule="auto"/>
              <w:jc w:val="center"/>
              <w:rPr>
                <w:bCs/>
                <w:color w:val="000000"/>
                <w:sz w:val="16"/>
                <w:szCs w:val="16"/>
              </w:rPr>
            </w:pPr>
            <w:r w:rsidRPr="00795698">
              <w:rPr>
                <w:bCs/>
                <w:color w:val="000000"/>
                <w:sz w:val="16"/>
                <w:szCs w:val="16"/>
              </w:rPr>
              <w:t> </w:t>
            </w:r>
          </w:p>
        </w:tc>
      </w:tr>
      <w:tr w:rsidR="00203C47" w:rsidRPr="00795698" w14:paraId="5FEEF785" w14:textId="77777777" w:rsidTr="000C2409">
        <w:trPr>
          <w:trHeight w:val="56"/>
          <w:jc w:val="center"/>
        </w:trPr>
        <w:tc>
          <w:tcPr>
            <w:tcW w:w="390" w:type="pct"/>
            <w:vMerge w:val="restart"/>
            <w:shd w:val="clear" w:color="auto" w:fill="DBE5F1"/>
            <w:noWrap/>
            <w:hideMark/>
          </w:tcPr>
          <w:p w14:paraId="5FEEF771" w14:textId="77777777" w:rsidR="00ED5F82" w:rsidRPr="00795698" w:rsidRDefault="00ED5F82" w:rsidP="002D5979">
            <w:pPr>
              <w:spacing w:line="276" w:lineRule="auto"/>
              <w:jc w:val="center"/>
              <w:rPr>
                <w:b/>
                <w:bCs/>
                <w:color w:val="000000"/>
                <w:sz w:val="16"/>
                <w:szCs w:val="16"/>
              </w:rPr>
            </w:pPr>
          </w:p>
          <w:p w14:paraId="5FEEF772" w14:textId="77777777" w:rsidR="00ED5F82" w:rsidRPr="00795698" w:rsidRDefault="00ED5F82" w:rsidP="002D5979">
            <w:pPr>
              <w:spacing w:line="276" w:lineRule="auto"/>
              <w:jc w:val="center"/>
              <w:rPr>
                <w:b/>
                <w:bCs/>
                <w:color w:val="000000"/>
                <w:sz w:val="16"/>
                <w:szCs w:val="16"/>
              </w:rPr>
            </w:pPr>
          </w:p>
          <w:p w14:paraId="5FEEF773" w14:textId="77777777" w:rsidR="00ED5F82" w:rsidRPr="00795698" w:rsidRDefault="00ED5F82" w:rsidP="002D5979">
            <w:pPr>
              <w:spacing w:line="276" w:lineRule="auto"/>
              <w:jc w:val="center"/>
              <w:rPr>
                <w:b/>
                <w:bCs/>
                <w:color w:val="000000"/>
                <w:sz w:val="16"/>
                <w:szCs w:val="16"/>
              </w:rPr>
            </w:pPr>
          </w:p>
          <w:p w14:paraId="5FEEF774" w14:textId="77777777" w:rsidR="00ED5F82" w:rsidRPr="00795698" w:rsidRDefault="00ED5F82" w:rsidP="002D5979">
            <w:pPr>
              <w:spacing w:line="276" w:lineRule="auto"/>
              <w:jc w:val="center"/>
              <w:rPr>
                <w:b/>
                <w:bCs/>
                <w:color w:val="000000"/>
                <w:sz w:val="16"/>
                <w:szCs w:val="16"/>
              </w:rPr>
            </w:pPr>
          </w:p>
          <w:p w14:paraId="5FEEF775"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2018</w:t>
            </w:r>
          </w:p>
        </w:tc>
        <w:tc>
          <w:tcPr>
            <w:tcW w:w="760" w:type="pct"/>
            <w:shd w:val="clear" w:color="auto" w:fill="DBE5F1"/>
            <w:hideMark/>
          </w:tcPr>
          <w:p w14:paraId="5FEEF776"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Proc. Regj.</w:t>
            </w:r>
          </w:p>
        </w:tc>
        <w:tc>
          <w:tcPr>
            <w:tcW w:w="224" w:type="pct"/>
            <w:shd w:val="clear" w:color="auto" w:fill="DBE5F1"/>
            <w:noWrap/>
            <w:hideMark/>
          </w:tcPr>
          <w:p w14:paraId="5FEEF77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noWrap/>
            <w:hideMark/>
          </w:tcPr>
          <w:p w14:paraId="5FEEF778" w14:textId="77777777" w:rsidR="00ED5F82" w:rsidRPr="00795698" w:rsidRDefault="00ED5F82" w:rsidP="002D5979">
            <w:pPr>
              <w:spacing w:line="276" w:lineRule="auto"/>
              <w:jc w:val="center"/>
              <w:rPr>
                <w:color w:val="000000"/>
                <w:sz w:val="16"/>
                <w:szCs w:val="16"/>
              </w:rPr>
            </w:pPr>
            <w:r w:rsidRPr="00795698">
              <w:rPr>
                <w:color w:val="000000"/>
                <w:sz w:val="16"/>
                <w:szCs w:val="16"/>
              </w:rPr>
              <w:t>4</w:t>
            </w:r>
          </w:p>
        </w:tc>
        <w:tc>
          <w:tcPr>
            <w:tcW w:w="278" w:type="pct"/>
            <w:shd w:val="clear" w:color="auto" w:fill="DBE5F1"/>
            <w:noWrap/>
            <w:hideMark/>
          </w:tcPr>
          <w:p w14:paraId="5FEEF77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7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7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7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7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7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noWrap/>
            <w:hideMark/>
          </w:tcPr>
          <w:p w14:paraId="5FEEF77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8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8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8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8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84"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4</w:t>
            </w:r>
          </w:p>
        </w:tc>
      </w:tr>
      <w:tr w:rsidR="00203C47" w:rsidRPr="00795698" w14:paraId="5FEEF796" w14:textId="77777777" w:rsidTr="000C2409">
        <w:trPr>
          <w:trHeight w:val="431"/>
          <w:jc w:val="center"/>
        </w:trPr>
        <w:tc>
          <w:tcPr>
            <w:tcW w:w="390" w:type="pct"/>
            <w:vMerge/>
            <w:shd w:val="clear" w:color="auto" w:fill="DBE5F1"/>
            <w:hideMark/>
          </w:tcPr>
          <w:p w14:paraId="5FEEF786"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87"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Proc. për gjykim</w:t>
            </w:r>
          </w:p>
        </w:tc>
        <w:tc>
          <w:tcPr>
            <w:tcW w:w="224" w:type="pct"/>
            <w:shd w:val="clear" w:color="auto" w:fill="DBE5F1"/>
            <w:hideMark/>
          </w:tcPr>
          <w:p w14:paraId="5FEEF788"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8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8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8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8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8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8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8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9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9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9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9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9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95"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203C47" w:rsidRPr="00795698" w14:paraId="5FEEF7A7" w14:textId="77777777" w:rsidTr="000C2409">
        <w:trPr>
          <w:trHeight w:val="56"/>
          <w:jc w:val="center"/>
        </w:trPr>
        <w:tc>
          <w:tcPr>
            <w:tcW w:w="390" w:type="pct"/>
            <w:vMerge/>
            <w:shd w:val="clear" w:color="auto" w:fill="DBE5F1"/>
            <w:hideMark/>
          </w:tcPr>
          <w:p w14:paraId="5FEEF797"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98"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Regj.</w:t>
            </w:r>
          </w:p>
        </w:tc>
        <w:tc>
          <w:tcPr>
            <w:tcW w:w="224" w:type="pct"/>
            <w:shd w:val="clear" w:color="auto" w:fill="DBE5F1"/>
            <w:hideMark/>
          </w:tcPr>
          <w:p w14:paraId="5FEEF799"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9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9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9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9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9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9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A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A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A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A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A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A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A6"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203C47" w:rsidRPr="00795698" w14:paraId="5FEEF7B8" w14:textId="77777777" w:rsidTr="000C2409">
        <w:trPr>
          <w:trHeight w:val="404"/>
          <w:jc w:val="center"/>
        </w:trPr>
        <w:tc>
          <w:tcPr>
            <w:tcW w:w="390" w:type="pct"/>
            <w:vMerge/>
            <w:shd w:val="clear" w:color="auto" w:fill="DBE5F1"/>
            <w:hideMark/>
          </w:tcPr>
          <w:p w14:paraId="5FEEF7A8"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A9"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 xml:space="preserve">Nr. Pand. për gjykim </w:t>
            </w:r>
          </w:p>
        </w:tc>
        <w:tc>
          <w:tcPr>
            <w:tcW w:w="224" w:type="pct"/>
            <w:shd w:val="clear" w:color="auto" w:fill="DBE5F1"/>
            <w:hideMark/>
          </w:tcPr>
          <w:p w14:paraId="5FEEF7AA"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A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A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A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A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A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B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B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B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B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B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B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B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B7"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r w:rsidR="00203C47" w:rsidRPr="00795698" w14:paraId="5FEEF7C9" w14:textId="77777777" w:rsidTr="000C2409">
        <w:trPr>
          <w:trHeight w:val="56"/>
          <w:jc w:val="center"/>
        </w:trPr>
        <w:tc>
          <w:tcPr>
            <w:tcW w:w="390" w:type="pct"/>
            <w:vMerge/>
            <w:shd w:val="clear" w:color="auto" w:fill="DBE5F1"/>
            <w:hideMark/>
          </w:tcPr>
          <w:p w14:paraId="5FEEF7B9" w14:textId="77777777" w:rsidR="00ED5F82" w:rsidRPr="00795698" w:rsidRDefault="00ED5F82" w:rsidP="002D5979">
            <w:pPr>
              <w:spacing w:line="276" w:lineRule="auto"/>
              <w:rPr>
                <w:b/>
                <w:bCs/>
                <w:color w:val="000000"/>
                <w:sz w:val="16"/>
                <w:szCs w:val="16"/>
              </w:rPr>
            </w:pPr>
          </w:p>
        </w:tc>
        <w:tc>
          <w:tcPr>
            <w:tcW w:w="760" w:type="pct"/>
            <w:shd w:val="clear" w:color="auto" w:fill="DBE5F1"/>
            <w:hideMark/>
          </w:tcPr>
          <w:p w14:paraId="5FEEF7BA" w14:textId="77777777" w:rsidR="00ED5F82" w:rsidRPr="00795698" w:rsidRDefault="00ED5F82" w:rsidP="000C2409">
            <w:pPr>
              <w:spacing w:line="276" w:lineRule="auto"/>
              <w:rPr>
                <w:bCs/>
                <w:i/>
                <w:iCs/>
                <w:color w:val="000000"/>
                <w:sz w:val="16"/>
                <w:szCs w:val="16"/>
              </w:rPr>
            </w:pPr>
            <w:r w:rsidRPr="00795698">
              <w:rPr>
                <w:bCs/>
                <w:i/>
                <w:iCs/>
                <w:color w:val="000000"/>
                <w:sz w:val="16"/>
                <w:szCs w:val="16"/>
              </w:rPr>
              <w:t>Nr. Pand. dënuar</w:t>
            </w:r>
          </w:p>
        </w:tc>
        <w:tc>
          <w:tcPr>
            <w:tcW w:w="224" w:type="pct"/>
            <w:shd w:val="clear" w:color="auto" w:fill="DBE5F1"/>
            <w:hideMark/>
          </w:tcPr>
          <w:p w14:paraId="5FEEF7BB"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BC"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BD"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hideMark/>
          </w:tcPr>
          <w:p w14:paraId="5FEEF7BE"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BF"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77" w:type="pct"/>
            <w:shd w:val="clear" w:color="auto" w:fill="DBE5F1"/>
            <w:noWrap/>
            <w:hideMark/>
          </w:tcPr>
          <w:p w14:paraId="5FEEF7C0"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C1"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8" w:type="pct"/>
            <w:shd w:val="clear" w:color="auto" w:fill="DBE5F1"/>
            <w:hideMark/>
          </w:tcPr>
          <w:p w14:paraId="5FEEF7C2"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79" w:type="pct"/>
            <w:shd w:val="clear" w:color="auto" w:fill="DBE5F1"/>
            <w:hideMark/>
          </w:tcPr>
          <w:p w14:paraId="5FEEF7C3"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C4"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C5"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C6"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224" w:type="pct"/>
            <w:shd w:val="clear" w:color="auto" w:fill="DBE5F1"/>
            <w:hideMark/>
          </w:tcPr>
          <w:p w14:paraId="5FEEF7C7" w14:textId="77777777" w:rsidR="00ED5F82" w:rsidRPr="00795698" w:rsidRDefault="00ED5F82" w:rsidP="002D5979">
            <w:pPr>
              <w:spacing w:line="276" w:lineRule="auto"/>
              <w:jc w:val="center"/>
              <w:rPr>
                <w:color w:val="000000"/>
                <w:sz w:val="16"/>
                <w:szCs w:val="16"/>
              </w:rPr>
            </w:pPr>
            <w:r w:rsidRPr="00795698">
              <w:rPr>
                <w:color w:val="000000"/>
                <w:sz w:val="16"/>
                <w:szCs w:val="16"/>
              </w:rPr>
              <w:t>0</w:t>
            </w:r>
          </w:p>
        </w:tc>
        <w:tc>
          <w:tcPr>
            <w:tcW w:w="360" w:type="pct"/>
            <w:shd w:val="clear" w:color="auto" w:fill="DBE5F1"/>
            <w:noWrap/>
            <w:hideMark/>
          </w:tcPr>
          <w:p w14:paraId="5FEEF7C8" w14:textId="77777777" w:rsidR="00ED5F82" w:rsidRPr="00795698" w:rsidRDefault="00ED5F82" w:rsidP="002D5979">
            <w:pPr>
              <w:spacing w:line="276" w:lineRule="auto"/>
              <w:jc w:val="center"/>
              <w:rPr>
                <w:b/>
                <w:bCs/>
                <w:color w:val="000000"/>
                <w:sz w:val="16"/>
                <w:szCs w:val="16"/>
              </w:rPr>
            </w:pPr>
            <w:r w:rsidRPr="00795698">
              <w:rPr>
                <w:b/>
                <w:bCs/>
                <w:color w:val="000000"/>
                <w:sz w:val="16"/>
                <w:szCs w:val="16"/>
              </w:rPr>
              <w:t>0</w:t>
            </w:r>
          </w:p>
        </w:tc>
      </w:tr>
    </w:tbl>
    <w:p w14:paraId="5FEEF7CA" w14:textId="77777777" w:rsidR="00ED5F82" w:rsidRPr="00795698" w:rsidRDefault="00ED5F82" w:rsidP="00ED5F82">
      <w:pPr>
        <w:pStyle w:val="TEKSTIIIII"/>
        <w:rPr>
          <w:i/>
          <w:sz w:val="18"/>
          <w:lang w:val="sq-AL"/>
        </w:rPr>
      </w:pPr>
    </w:p>
    <w:p w14:paraId="5FEEF7CB" w14:textId="6342651E" w:rsidR="00893E99" w:rsidRPr="00795698" w:rsidRDefault="00893E99" w:rsidP="00893E99">
      <w:pPr>
        <w:ind w:firstLine="284"/>
        <w:jc w:val="both"/>
        <w:rPr>
          <w:rFonts w:ascii="Garamond" w:hAnsi="Garamond"/>
        </w:rPr>
      </w:pPr>
      <w:r w:rsidRPr="00795698">
        <w:rPr>
          <w:rFonts w:ascii="Garamond" w:hAnsi="Garamond"/>
        </w:rPr>
        <w:t xml:space="preserve">Siç vihet re edhe nga sa më sipër për periudhën </w:t>
      </w:r>
      <w:r w:rsidR="00623407" w:rsidRPr="00795698">
        <w:rPr>
          <w:rFonts w:ascii="Garamond" w:hAnsi="Garamond"/>
        </w:rPr>
        <w:t>2015–</w:t>
      </w:r>
      <w:r w:rsidRPr="00795698">
        <w:rPr>
          <w:rFonts w:ascii="Garamond" w:hAnsi="Garamond"/>
        </w:rPr>
        <w:t>2018, rezultojnë 11 persona të dënuar për kategorinë e veprave të mësipërme, nga të cilët 10 persona për veprën penale të parashikuar nga neni 231 i Kodit Penal “Rekrutimi i personave për kryerjen e veprave me qëllime terroriste ose të financimit të terrorizmit”. Në total këta individë janë dënuar me 126 vjet burg, ku dënimet për secilin prej tyre varion 7</w:t>
      </w:r>
      <w:r w:rsidR="000C2409" w:rsidRPr="00795698">
        <w:rPr>
          <w:rFonts w:ascii="Garamond" w:hAnsi="Garamond"/>
        </w:rPr>
        <w:t>–</w:t>
      </w:r>
      <w:r w:rsidRPr="00795698">
        <w:rPr>
          <w:rFonts w:ascii="Garamond" w:hAnsi="Garamond"/>
        </w:rPr>
        <w:t xml:space="preserve">18 vjet. Ndërkohë rezulton vetëm një i dënuar për veprën penale të “Financimit të </w:t>
      </w:r>
      <w:r w:rsidR="000C2409" w:rsidRPr="00795698">
        <w:rPr>
          <w:rFonts w:ascii="Garamond" w:hAnsi="Garamond"/>
        </w:rPr>
        <w:t>t</w:t>
      </w:r>
      <w:r w:rsidRPr="00795698">
        <w:rPr>
          <w:rFonts w:ascii="Garamond" w:hAnsi="Garamond"/>
        </w:rPr>
        <w:t>errorizmit”.</w:t>
      </w:r>
    </w:p>
    <w:p w14:paraId="5FEEF7CC" w14:textId="77777777" w:rsidR="00893E99" w:rsidRPr="00795698" w:rsidRDefault="00893E99" w:rsidP="00893E99">
      <w:pPr>
        <w:pStyle w:val="Heading3"/>
        <w:spacing w:before="0"/>
        <w:ind w:firstLine="284"/>
        <w:rPr>
          <w:rFonts w:ascii="Garamond" w:hAnsi="Garamond"/>
          <w:color w:val="auto"/>
        </w:rPr>
      </w:pPr>
      <w:bookmarkStart w:id="31" w:name="_Toc108644263"/>
      <w:r w:rsidRPr="00795698">
        <w:rPr>
          <w:rFonts w:ascii="Garamond" w:hAnsi="Garamond"/>
          <w:color w:val="auto"/>
        </w:rPr>
        <w:t>2.2.4 Masat e marra në luftën kundër terrorizmit</w:t>
      </w:r>
      <w:bookmarkEnd w:id="31"/>
    </w:p>
    <w:p w14:paraId="5FEEF7CD" w14:textId="53DE2CC6" w:rsidR="00893E99" w:rsidRPr="00795698" w:rsidRDefault="00893E99" w:rsidP="00893E99">
      <w:pPr>
        <w:ind w:firstLine="284"/>
        <w:jc w:val="both"/>
        <w:rPr>
          <w:rFonts w:ascii="Garamond" w:hAnsi="Garamond"/>
          <w:color w:val="000000"/>
        </w:rPr>
      </w:pPr>
      <w:r w:rsidRPr="00795698">
        <w:rPr>
          <w:rFonts w:ascii="Garamond" w:hAnsi="Garamond"/>
          <w:color w:val="000000"/>
        </w:rPr>
        <w:t xml:space="preserve">Gjatë implementimit të strategjisë ndër-sektoriale të luftës kundër terrorizmit </w:t>
      </w:r>
      <w:r w:rsidR="00623407" w:rsidRPr="00795698">
        <w:rPr>
          <w:rFonts w:ascii="Garamond" w:hAnsi="Garamond"/>
          <w:color w:val="000000"/>
        </w:rPr>
        <w:t>2016–</w:t>
      </w:r>
      <w:r w:rsidRPr="00795698">
        <w:rPr>
          <w:rFonts w:ascii="Garamond" w:hAnsi="Garamond"/>
          <w:color w:val="000000"/>
        </w:rPr>
        <w:t xml:space="preserve">2020 janë ndërmarrë masa të rëndësishme në kuadrin ligjor, institucional dhe të ngritjes së kapaciteteve. </w:t>
      </w:r>
    </w:p>
    <w:p w14:paraId="5FEEF7CE" w14:textId="77777777" w:rsidR="00893E99" w:rsidRPr="00795698" w:rsidRDefault="002D5979" w:rsidP="00893E99">
      <w:pPr>
        <w:ind w:firstLine="284"/>
        <w:jc w:val="both"/>
        <w:rPr>
          <w:rFonts w:ascii="Garamond" w:eastAsia="Calibri" w:hAnsi="Garamond"/>
        </w:rPr>
      </w:pPr>
      <w:r w:rsidRPr="00795698">
        <w:rPr>
          <w:rFonts w:ascii="Garamond" w:eastAsia="Calibri" w:hAnsi="Garamond"/>
        </w:rPr>
        <w:t xml:space="preserve">- </w:t>
      </w:r>
      <w:r w:rsidR="00893E99" w:rsidRPr="00795698">
        <w:rPr>
          <w:rFonts w:ascii="Garamond" w:eastAsia="Calibri" w:hAnsi="Garamond"/>
        </w:rPr>
        <w:t>Reagimi i Shqipërisë ndaj rrezikut për akte terroriste apo financimin e tij deri tani ka qenë nëpërmjet masave si më poshtë:</w:t>
      </w:r>
    </w:p>
    <w:p w14:paraId="5FEEF7CF" w14:textId="0476DA1B" w:rsidR="00893E99" w:rsidRPr="00795698" w:rsidRDefault="002D5979" w:rsidP="002D5979">
      <w:pPr>
        <w:ind w:firstLine="284"/>
        <w:jc w:val="both"/>
        <w:rPr>
          <w:rFonts w:ascii="Garamond" w:hAnsi="Garamond"/>
        </w:rPr>
      </w:pPr>
      <w:r w:rsidRPr="00795698">
        <w:rPr>
          <w:rFonts w:ascii="Garamond" w:hAnsi="Garamond"/>
        </w:rPr>
        <w:lastRenderedPageBreak/>
        <w:t xml:space="preserve">- </w:t>
      </w:r>
      <w:r w:rsidR="00893E99" w:rsidRPr="00795698">
        <w:rPr>
          <w:rFonts w:ascii="Garamond" w:hAnsi="Garamond"/>
        </w:rPr>
        <w:t>Ndryshimet ligjore me ligjin nr. 144/2013 dhe ligjin nr. 98/2014 “Për disa shtesa dhe ndryshi</w:t>
      </w:r>
      <w:r w:rsidR="00BF041F" w:rsidRPr="00795698">
        <w:rPr>
          <w:rFonts w:ascii="Garamond" w:hAnsi="Garamond"/>
        </w:rPr>
        <w:t>me në ligjin nr. 7895, datë 27.</w:t>
      </w:r>
      <w:r w:rsidR="00893E99" w:rsidRPr="00795698">
        <w:rPr>
          <w:rFonts w:ascii="Garamond" w:hAnsi="Garamond"/>
        </w:rPr>
        <w:t xml:space="preserve">1.1995, “Kodit Penal i Republikës së Shqipërisë”, ku përveç nenit 265 të Kodit Penal, “Nxitja e urrejtjes ose grindjeve”, u shtuan </w:t>
      </w:r>
      <w:r w:rsidR="00893E99" w:rsidRPr="00795698">
        <w:rPr>
          <w:rFonts w:ascii="Garamond" w:hAnsi="Garamond"/>
          <w:i/>
        </w:rPr>
        <w:t>nenet 265/a, 265/b dhe 265/c përkatësisht “Pjesëmarrja në veprime luftarake në një shtet të huaj”, “Organizimi për pjesëmarrje në veprime luftarake në një shtet të huaj”, “Thirrja për pjesëmarrje në veprime luftarake të dhunshme në një shtet të huaj”</w:t>
      </w:r>
      <w:r w:rsidR="00893E99" w:rsidRPr="00795698">
        <w:rPr>
          <w:rFonts w:ascii="Garamond" w:hAnsi="Garamond"/>
        </w:rPr>
        <w:t xml:space="preserve">. </w:t>
      </w:r>
    </w:p>
    <w:p w14:paraId="5FEEF7D0" w14:textId="77777777" w:rsidR="00893E99" w:rsidRPr="00795698" w:rsidRDefault="002D5979" w:rsidP="002D5979">
      <w:pPr>
        <w:ind w:firstLine="284"/>
        <w:jc w:val="both"/>
        <w:rPr>
          <w:rFonts w:ascii="Garamond" w:hAnsi="Garamond"/>
        </w:rPr>
      </w:pPr>
      <w:r w:rsidRPr="00795698">
        <w:rPr>
          <w:rFonts w:ascii="Garamond" w:hAnsi="Garamond"/>
        </w:rPr>
        <w:t xml:space="preserve">- </w:t>
      </w:r>
      <w:r w:rsidR="00893E99" w:rsidRPr="00795698">
        <w:rPr>
          <w:rFonts w:ascii="Garamond" w:hAnsi="Garamond"/>
        </w:rPr>
        <w:t>Ngritja e Njësisë për Hetimin e Financimit të Terrorizmit, në përbërje të Drejtorisë së Antiterrorit, në zbatim të rekomandimeve të MoneyVal në funksion të hetimit të veprës penale të “Financim i terrorizmit”.</w:t>
      </w:r>
    </w:p>
    <w:p w14:paraId="5FEEF7D1" w14:textId="443CCD6D" w:rsidR="00893E99" w:rsidRPr="00795698" w:rsidRDefault="002D5979" w:rsidP="002D5979">
      <w:pPr>
        <w:ind w:firstLine="284"/>
        <w:jc w:val="both"/>
        <w:rPr>
          <w:rFonts w:ascii="Garamond" w:hAnsi="Garamond"/>
        </w:rPr>
      </w:pPr>
      <w:r w:rsidRPr="00795698">
        <w:rPr>
          <w:rFonts w:ascii="Garamond" w:hAnsi="Garamond"/>
        </w:rPr>
        <w:t xml:space="preserve">- </w:t>
      </w:r>
      <w:r w:rsidR="00893E99" w:rsidRPr="00795698">
        <w:rPr>
          <w:rFonts w:ascii="Garamond" w:hAnsi="Garamond"/>
        </w:rPr>
        <w:t xml:space="preserve">Hartimi dhe miratimi i Strategjisë Kombëtare për Luftën </w:t>
      </w:r>
      <w:r w:rsidR="00075100" w:rsidRPr="00795698">
        <w:rPr>
          <w:rFonts w:ascii="Garamond" w:hAnsi="Garamond"/>
        </w:rPr>
        <w:t>k</w:t>
      </w:r>
      <w:r w:rsidR="00893E99" w:rsidRPr="00795698">
        <w:rPr>
          <w:rFonts w:ascii="Garamond" w:hAnsi="Garamond"/>
        </w:rPr>
        <w:t xml:space="preserve">undër Ekstremizmit të Dhunshëm dhe Planit të Veprimit </w:t>
      </w:r>
      <w:r w:rsidR="00623407" w:rsidRPr="00795698">
        <w:rPr>
          <w:rFonts w:ascii="Garamond" w:hAnsi="Garamond"/>
        </w:rPr>
        <w:t>2016–</w:t>
      </w:r>
      <w:r w:rsidR="00893E99" w:rsidRPr="00795698">
        <w:rPr>
          <w:rFonts w:ascii="Garamond" w:hAnsi="Garamond"/>
        </w:rPr>
        <w:t xml:space="preserve">2020, miratuar me VKM </w:t>
      </w:r>
      <w:r w:rsidR="00075100" w:rsidRPr="00795698">
        <w:rPr>
          <w:rFonts w:ascii="Garamond" w:hAnsi="Garamond"/>
        </w:rPr>
        <w:t xml:space="preserve">nr. </w:t>
      </w:r>
      <w:r w:rsidR="00893E99" w:rsidRPr="00795698">
        <w:rPr>
          <w:rFonts w:ascii="Garamond" w:hAnsi="Garamond"/>
        </w:rPr>
        <w:t>930, datë 18.11.2015.</w:t>
      </w:r>
    </w:p>
    <w:p w14:paraId="5FEEF7D2" w14:textId="1D47AC7B" w:rsidR="00893E99" w:rsidRPr="00795698" w:rsidRDefault="002D5979" w:rsidP="002D5979">
      <w:pPr>
        <w:ind w:firstLine="284"/>
        <w:jc w:val="both"/>
        <w:rPr>
          <w:rFonts w:ascii="Garamond" w:eastAsia="Calibri" w:hAnsi="Garamond"/>
          <w:color w:val="000000"/>
        </w:rPr>
      </w:pPr>
      <w:r w:rsidRPr="00795698">
        <w:rPr>
          <w:rFonts w:ascii="Garamond" w:eastAsia="Calibri" w:hAnsi="Garamond"/>
        </w:rPr>
        <w:t xml:space="preserve">- </w:t>
      </w:r>
      <w:r w:rsidR="00893E99" w:rsidRPr="00795698">
        <w:rPr>
          <w:rFonts w:ascii="Garamond" w:eastAsia="Calibri" w:hAnsi="Garamond"/>
        </w:rPr>
        <w:t>Hartimi i Strategjisë së Sigurisë Kombëtare, me VKM nr. 930</w:t>
      </w:r>
      <w:r w:rsidR="000C2409" w:rsidRPr="00795698">
        <w:rPr>
          <w:rFonts w:ascii="Garamond" w:eastAsia="Calibri" w:hAnsi="Garamond"/>
        </w:rPr>
        <w:t>,</w:t>
      </w:r>
      <w:r w:rsidR="00893E99" w:rsidRPr="00795698">
        <w:rPr>
          <w:rFonts w:ascii="Garamond" w:eastAsia="Calibri" w:hAnsi="Garamond"/>
        </w:rPr>
        <w:t xml:space="preserve"> datë 18.11.2015. </w:t>
      </w:r>
      <w:r w:rsidR="00893E99" w:rsidRPr="00795698">
        <w:rPr>
          <w:rFonts w:ascii="Garamond" w:eastAsia="Calibri" w:hAnsi="Garamond"/>
          <w:color w:val="000000"/>
        </w:rPr>
        <w:t xml:space="preserve">Aktualisht kjo strategji është duke u rinovuar duke e trajtuar parandalimin dhe luftën kundër ekstremizmit të dhunshëm dhe terrorizmit si pjesë e përpjekjeve të përbashkëta dhe të koordinuara për reduktimin e kërcënimeve të sigurisë kombëtare nga këto fenomene. </w:t>
      </w:r>
    </w:p>
    <w:p w14:paraId="5FEEF7D3" w14:textId="4483D200" w:rsidR="00893E99" w:rsidRPr="00795698" w:rsidRDefault="002D5979" w:rsidP="002D5979">
      <w:pPr>
        <w:ind w:firstLine="284"/>
        <w:jc w:val="both"/>
        <w:rPr>
          <w:rFonts w:ascii="Garamond" w:eastAsia="Calibri" w:hAnsi="Garamond"/>
        </w:rPr>
      </w:pPr>
      <w:r w:rsidRPr="00795698">
        <w:rPr>
          <w:rFonts w:ascii="Garamond" w:eastAsia="Calibri" w:hAnsi="Garamond"/>
        </w:rPr>
        <w:t xml:space="preserve">- </w:t>
      </w:r>
      <w:r w:rsidR="00893E99" w:rsidRPr="00795698">
        <w:rPr>
          <w:rFonts w:ascii="Garamond" w:eastAsia="Calibri" w:hAnsi="Garamond"/>
        </w:rPr>
        <w:t>Miratimi i “Strategjisë ndërsektoriale të luftës kundër krimit të organizuar, trafiqeve të paligjshme dhe terrorizmit, 2013</w:t>
      </w:r>
      <w:r w:rsidR="000C2409" w:rsidRPr="00795698">
        <w:rPr>
          <w:rFonts w:ascii="Garamond" w:eastAsia="Calibri" w:hAnsi="Garamond"/>
        </w:rPr>
        <w:t>–</w:t>
      </w:r>
      <w:r w:rsidR="00893E99" w:rsidRPr="00795698">
        <w:rPr>
          <w:rFonts w:ascii="Garamond" w:eastAsia="Calibri" w:hAnsi="Garamond"/>
        </w:rPr>
        <w:t>2020” dhe Planit të Veprimit për vitet 2013</w:t>
      </w:r>
      <w:r w:rsidR="000C2409" w:rsidRPr="00795698">
        <w:rPr>
          <w:rFonts w:ascii="Garamond" w:eastAsia="Calibri" w:hAnsi="Garamond"/>
        </w:rPr>
        <w:t>–</w:t>
      </w:r>
      <w:r w:rsidR="00893E99" w:rsidRPr="00795698">
        <w:rPr>
          <w:rFonts w:ascii="Garamond" w:eastAsia="Calibri" w:hAnsi="Garamond"/>
        </w:rPr>
        <w:t>2</w:t>
      </w:r>
      <w:r w:rsidR="000C2409" w:rsidRPr="00795698">
        <w:rPr>
          <w:rFonts w:ascii="Garamond" w:eastAsia="Calibri" w:hAnsi="Garamond"/>
        </w:rPr>
        <w:t>016, me VKM nr. 663, datë 17.</w:t>
      </w:r>
      <w:r w:rsidR="00893E99" w:rsidRPr="00795698">
        <w:rPr>
          <w:rFonts w:ascii="Garamond" w:eastAsia="Calibri" w:hAnsi="Garamond"/>
        </w:rPr>
        <w:t>7.2013, strategji e cila synoi zhvillimin e politikave të duhura për të përmirësuar më tej standar</w:t>
      </w:r>
      <w:r w:rsidR="000C2409" w:rsidRPr="00795698">
        <w:rPr>
          <w:rFonts w:ascii="Garamond" w:eastAsia="Calibri" w:hAnsi="Garamond"/>
        </w:rPr>
        <w:t>d</w:t>
      </w:r>
      <w:r w:rsidR="00893E99" w:rsidRPr="00795698">
        <w:rPr>
          <w:rFonts w:ascii="Garamond" w:eastAsia="Calibri" w:hAnsi="Garamond"/>
        </w:rPr>
        <w:t>et e sigurisë në vend, nëpërmjet:</w:t>
      </w:r>
    </w:p>
    <w:p w14:paraId="5FEEF7D4" w14:textId="4B7ECB14" w:rsidR="00893E99" w:rsidRPr="00795698" w:rsidRDefault="006A584B" w:rsidP="002D5979">
      <w:pPr>
        <w:ind w:firstLine="284"/>
        <w:jc w:val="both"/>
        <w:rPr>
          <w:rFonts w:ascii="Garamond" w:eastAsia="Calibri" w:hAnsi="Garamond"/>
        </w:rPr>
      </w:pPr>
      <w:r>
        <w:rPr>
          <w:rFonts w:ascii="Garamond" w:eastAsia="Calibri" w:hAnsi="Garamond"/>
        </w:rPr>
        <w:t xml:space="preserve">a) </w:t>
      </w:r>
      <w:r w:rsidR="00893E99" w:rsidRPr="00795698">
        <w:rPr>
          <w:rFonts w:ascii="Garamond" w:eastAsia="Calibri" w:hAnsi="Garamond"/>
        </w:rPr>
        <w:t>rritjes së efikasitet të standar</w:t>
      </w:r>
      <w:r w:rsidR="000C2409" w:rsidRPr="00795698">
        <w:rPr>
          <w:rFonts w:ascii="Garamond" w:eastAsia="Calibri" w:hAnsi="Garamond"/>
        </w:rPr>
        <w:t>d</w:t>
      </w:r>
      <w:r w:rsidR="00893E99" w:rsidRPr="00795698">
        <w:rPr>
          <w:rFonts w:ascii="Garamond" w:eastAsia="Calibri" w:hAnsi="Garamond"/>
        </w:rPr>
        <w:t>eve të menaxhimit të personelit në çdo agjenci apo strukturë;</w:t>
      </w:r>
    </w:p>
    <w:p w14:paraId="5FEEF7D5" w14:textId="3C7439D4" w:rsidR="00893E99" w:rsidRPr="00795698" w:rsidRDefault="006A584B" w:rsidP="002D5979">
      <w:pPr>
        <w:ind w:firstLine="284"/>
        <w:jc w:val="both"/>
        <w:rPr>
          <w:rFonts w:ascii="Garamond" w:eastAsia="Calibri" w:hAnsi="Garamond"/>
        </w:rPr>
      </w:pPr>
      <w:r>
        <w:rPr>
          <w:rFonts w:ascii="Garamond" w:eastAsia="Calibri" w:hAnsi="Garamond"/>
        </w:rPr>
        <w:t xml:space="preserve">b) </w:t>
      </w:r>
      <w:r w:rsidR="00893E99" w:rsidRPr="00795698">
        <w:rPr>
          <w:rFonts w:ascii="Garamond" w:eastAsia="Calibri" w:hAnsi="Garamond"/>
        </w:rPr>
        <w:t>rritjes dhe forcimit të masave në drejtim të parandalimit të akteve terroriste dhe ekstremizmit;</w:t>
      </w:r>
    </w:p>
    <w:p w14:paraId="5FEEF7D6" w14:textId="5F5712D2" w:rsidR="00893E99" w:rsidRPr="00795698" w:rsidRDefault="006A584B" w:rsidP="002D5979">
      <w:pPr>
        <w:ind w:firstLine="284"/>
        <w:jc w:val="both"/>
        <w:rPr>
          <w:rFonts w:ascii="Garamond" w:eastAsia="Calibri" w:hAnsi="Garamond"/>
        </w:rPr>
      </w:pPr>
      <w:r>
        <w:rPr>
          <w:rFonts w:ascii="Garamond" w:eastAsia="Calibri" w:hAnsi="Garamond"/>
        </w:rPr>
        <w:t>c)</w:t>
      </w:r>
      <w:r w:rsidR="002D5979" w:rsidRPr="00795698">
        <w:rPr>
          <w:rFonts w:ascii="Garamond" w:eastAsia="Calibri" w:hAnsi="Garamond"/>
        </w:rPr>
        <w:t xml:space="preserve"> </w:t>
      </w:r>
      <w:r w:rsidR="00893E99" w:rsidRPr="00795698">
        <w:rPr>
          <w:rFonts w:ascii="Garamond" w:eastAsia="Calibri" w:hAnsi="Garamond"/>
        </w:rPr>
        <w:t>rritjes së kapaciteteve operacionale dhe goditjes së krimit të organizuar bazuar në vlerësimin e kërcënimeve dhe hetimeve proaktive;</w:t>
      </w:r>
    </w:p>
    <w:p w14:paraId="5FEEF7D7" w14:textId="50D76AC0" w:rsidR="00893E99" w:rsidRPr="00795698" w:rsidRDefault="006A584B" w:rsidP="002D5979">
      <w:pPr>
        <w:ind w:firstLine="284"/>
        <w:jc w:val="both"/>
        <w:rPr>
          <w:rFonts w:ascii="Garamond" w:eastAsia="Calibri" w:hAnsi="Garamond"/>
        </w:rPr>
      </w:pPr>
      <w:r>
        <w:rPr>
          <w:rFonts w:ascii="Garamond" w:eastAsia="Calibri" w:hAnsi="Garamond"/>
        </w:rPr>
        <w:t>d)</w:t>
      </w:r>
      <w:r w:rsidR="002D5979" w:rsidRPr="00795698">
        <w:rPr>
          <w:rFonts w:ascii="Garamond" w:eastAsia="Calibri" w:hAnsi="Garamond"/>
        </w:rPr>
        <w:t xml:space="preserve"> </w:t>
      </w:r>
      <w:r w:rsidR="00893E99" w:rsidRPr="00795698">
        <w:rPr>
          <w:rFonts w:ascii="Garamond" w:eastAsia="Calibri" w:hAnsi="Garamond"/>
        </w:rPr>
        <w:t>rritjes së bashkëpunimit me strukturat e brendshme dhe partnerët rajonale të BE-së, si dhe institucionet relevante të sistemit të Kombeve të Bashkuara për luftën ndaj krimit të organizuar, trafiqeve të paligjshme, krimit financiar dhe korrupsionit;</w:t>
      </w:r>
    </w:p>
    <w:p w14:paraId="5FEEF7D8" w14:textId="2F018E83" w:rsidR="00893E99" w:rsidRPr="00795698" w:rsidRDefault="006A584B" w:rsidP="002D5979">
      <w:pPr>
        <w:ind w:firstLine="284"/>
        <w:jc w:val="both"/>
        <w:rPr>
          <w:rFonts w:ascii="Garamond" w:eastAsia="Calibri" w:hAnsi="Garamond"/>
        </w:rPr>
      </w:pPr>
      <w:r>
        <w:rPr>
          <w:rFonts w:ascii="Garamond" w:eastAsia="Calibri" w:hAnsi="Garamond"/>
        </w:rPr>
        <w:t xml:space="preserve">e) </w:t>
      </w:r>
      <w:r w:rsidR="00893E99" w:rsidRPr="00795698">
        <w:rPr>
          <w:rFonts w:ascii="Garamond" w:eastAsia="Calibri" w:hAnsi="Garamond"/>
        </w:rPr>
        <w:t>rritjes së kapaciteteve investiguese dhe orientimin e këtyre strukturave drejt inteligjencës.</w:t>
      </w:r>
    </w:p>
    <w:p w14:paraId="5FEEF7D9" w14:textId="69C506A3" w:rsidR="00893E99" w:rsidRPr="00795698" w:rsidRDefault="002D5979" w:rsidP="002D5979">
      <w:pPr>
        <w:pStyle w:val="ListParagraph"/>
        <w:ind w:left="0" w:firstLine="284"/>
        <w:jc w:val="both"/>
        <w:rPr>
          <w:rFonts w:ascii="Garamond" w:eastAsia="Calibri" w:hAnsi="Garamond"/>
        </w:rPr>
      </w:pPr>
      <w:r w:rsidRPr="00795698">
        <w:rPr>
          <w:rFonts w:ascii="Garamond" w:eastAsia="Calibri" w:hAnsi="Garamond"/>
        </w:rPr>
        <w:t xml:space="preserve"> </w:t>
      </w:r>
      <w:r w:rsidR="00893E99" w:rsidRPr="00795698">
        <w:rPr>
          <w:rFonts w:ascii="Garamond" w:eastAsia="Calibri" w:hAnsi="Garamond"/>
        </w:rPr>
        <w:t xml:space="preserve">Kjo strategji është rinovuar me strategjinë për luftën kundër krimit të organizuar dhe krimeve të rënda </w:t>
      </w:r>
      <w:r w:rsidR="007C064A" w:rsidRPr="00795698">
        <w:rPr>
          <w:rFonts w:ascii="Garamond" w:eastAsia="Calibri" w:hAnsi="Garamond"/>
        </w:rPr>
        <w:t>2021–2025</w:t>
      </w:r>
      <w:r w:rsidR="00893E99" w:rsidRPr="00795698">
        <w:rPr>
          <w:rFonts w:ascii="Garamond" w:eastAsia="Calibri" w:hAnsi="Garamond"/>
        </w:rPr>
        <w:t xml:space="preserve"> dhe planit të veprimit për zbatimin e saj </w:t>
      </w:r>
      <w:r w:rsidR="00623407" w:rsidRPr="00795698">
        <w:rPr>
          <w:rFonts w:ascii="Garamond" w:eastAsia="Calibri" w:hAnsi="Garamond"/>
        </w:rPr>
        <w:t>2021–</w:t>
      </w:r>
      <w:r w:rsidR="00893E99" w:rsidRPr="00795698">
        <w:rPr>
          <w:rFonts w:ascii="Garamond" w:eastAsia="Calibri" w:hAnsi="Garamond"/>
        </w:rPr>
        <w:t xml:space="preserve">2022. </w:t>
      </w:r>
    </w:p>
    <w:p w14:paraId="5FEEF7DA" w14:textId="2F1D19E2" w:rsidR="00893E99" w:rsidRPr="00795698" w:rsidRDefault="002D5979" w:rsidP="002D5979">
      <w:pPr>
        <w:ind w:firstLine="284"/>
        <w:jc w:val="both"/>
        <w:rPr>
          <w:rFonts w:ascii="Garamond" w:eastAsia="Calibri" w:hAnsi="Garamond"/>
        </w:rPr>
      </w:pPr>
      <w:r w:rsidRPr="00795698">
        <w:rPr>
          <w:rFonts w:ascii="Garamond" w:eastAsia="Calibri" w:hAnsi="Garamond"/>
        </w:rPr>
        <w:t xml:space="preserve">- </w:t>
      </w:r>
      <w:r w:rsidR="00893E99" w:rsidRPr="00795698">
        <w:rPr>
          <w:rFonts w:ascii="Garamond" w:eastAsia="Calibri" w:hAnsi="Garamond"/>
        </w:rPr>
        <w:t xml:space="preserve">Miratimi i strategjisë për Kontrollin e Armëve të Vogla e të Lehta, Municioneve dhe Eksplozivëve </w:t>
      </w:r>
      <w:r w:rsidR="00623407" w:rsidRPr="00795698">
        <w:rPr>
          <w:rFonts w:ascii="Garamond" w:eastAsia="Calibri" w:hAnsi="Garamond"/>
        </w:rPr>
        <w:t>2019–</w:t>
      </w:r>
      <w:r w:rsidR="00893E99" w:rsidRPr="00795698">
        <w:rPr>
          <w:rFonts w:ascii="Garamond" w:eastAsia="Calibri" w:hAnsi="Garamond"/>
        </w:rPr>
        <w:t xml:space="preserve">2024 dhe planit të saj të veprimit </w:t>
      </w:r>
      <w:r w:rsidR="00623407" w:rsidRPr="00795698">
        <w:rPr>
          <w:rFonts w:ascii="Garamond" w:eastAsia="Calibri" w:hAnsi="Garamond"/>
        </w:rPr>
        <w:t>2019–</w:t>
      </w:r>
      <w:r w:rsidR="00893E99" w:rsidRPr="00795698">
        <w:rPr>
          <w:rFonts w:ascii="Garamond" w:eastAsia="Calibri" w:hAnsi="Garamond"/>
        </w:rPr>
        <w:t xml:space="preserve">2021 i rinovuar së fundmi për periudhën </w:t>
      </w:r>
      <w:r w:rsidR="00666444" w:rsidRPr="00795698">
        <w:rPr>
          <w:rFonts w:ascii="Garamond" w:eastAsia="Calibri" w:hAnsi="Garamond"/>
        </w:rPr>
        <w:t>2022–</w:t>
      </w:r>
      <w:r w:rsidR="00893E99" w:rsidRPr="00795698">
        <w:rPr>
          <w:rFonts w:ascii="Garamond" w:eastAsia="Calibri" w:hAnsi="Garamond"/>
        </w:rPr>
        <w:t>2024 ku parashikohen një sërë masash për kontrollin e armëve të vogla e të lehta, municioneve dhe eksplozivëve duke reduktuar aksesin dhe burimet e personave dhe organizatave terroriste në sigurimin e armëve apo lëndëve plasëse pë</w:t>
      </w:r>
      <w:r w:rsidR="00C62D65" w:rsidRPr="00795698">
        <w:rPr>
          <w:rFonts w:ascii="Garamond" w:eastAsia="Calibri" w:hAnsi="Garamond"/>
        </w:rPr>
        <w:t>r</w:t>
      </w:r>
      <w:r w:rsidR="00893E99" w:rsidRPr="00795698">
        <w:rPr>
          <w:rFonts w:ascii="Garamond" w:eastAsia="Calibri" w:hAnsi="Garamond"/>
        </w:rPr>
        <w:t xml:space="preserve"> t</w:t>
      </w:r>
      <w:r w:rsidR="00C62D65" w:rsidRPr="00795698">
        <w:rPr>
          <w:rFonts w:ascii="Garamond" w:eastAsia="Calibri" w:hAnsi="Garamond"/>
        </w:rPr>
        <w:t>’</w:t>
      </w:r>
      <w:r w:rsidR="00893E99" w:rsidRPr="00795698">
        <w:rPr>
          <w:rFonts w:ascii="Garamond" w:eastAsia="Calibri" w:hAnsi="Garamond"/>
        </w:rPr>
        <w:t xml:space="preserve">i përdorur ato për kryerjen e akteve terroriste. </w:t>
      </w:r>
    </w:p>
    <w:p w14:paraId="5FEEF7DB" w14:textId="355A1041" w:rsidR="00893E99" w:rsidRPr="00795698" w:rsidRDefault="002D5979" w:rsidP="002D5979">
      <w:pPr>
        <w:ind w:firstLine="284"/>
        <w:jc w:val="both"/>
        <w:rPr>
          <w:rFonts w:ascii="Garamond" w:eastAsia="Calibri" w:hAnsi="Garamond"/>
        </w:rPr>
      </w:pPr>
      <w:r w:rsidRPr="00795698">
        <w:rPr>
          <w:rFonts w:ascii="Garamond" w:eastAsia="Calibri" w:hAnsi="Garamond"/>
          <w:color w:val="231F20"/>
        </w:rPr>
        <w:t xml:space="preserve">- </w:t>
      </w:r>
      <w:r w:rsidR="00893E99" w:rsidRPr="00795698">
        <w:rPr>
          <w:rFonts w:ascii="Garamond" w:eastAsia="Calibri" w:hAnsi="Garamond"/>
          <w:color w:val="231F20"/>
        </w:rPr>
        <w:t xml:space="preserve">Krijimi i “Qendrës së Koordinimit </w:t>
      </w:r>
      <w:r w:rsidR="00075100" w:rsidRPr="00795698">
        <w:rPr>
          <w:rFonts w:ascii="Garamond" w:eastAsia="Calibri" w:hAnsi="Garamond"/>
          <w:color w:val="231F20"/>
        </w:rPr>
        <w:t xml:space="preserve">kundër </w:t>
      </w:r>
      <w:r w:rsidR="00893E99" w:rsidRPr="00795698">
        <w:rPr>
          <w:rFonts w:ascii="Garamond" w:eastAsia="Calibri" w:hAnsi="Garamond"/>
          <w:color w:val="231F20"/>
        </w:rPr>
        <w:t>Ekstremizmit të Dhunshëm (QKEDH)” si institucion koordinues për çështjet e parandalimit të ekstremizmit të dhunshëm.</w:t>
      </w:r>
    </w:p>
    <w:p w14:paraId="5FEEF7DC" w14:textId="445C5C00" w:rsidR="00893E99" w:rsidRPr="00795698" w:rsidRDefault="002D5979" w:rsidP="002D5979">
      <w:pPr>
        <w:ind w:firstLine="284"/>
        <w:jc w:val="both"/>
        <w:rPr>
          <w:rFonts w:ascii="Garamond" w:eastAsia="Calibri" w:hAnsi="Garamond"/>
        </w:rPr>
      </w:pPr>
      <w:r w:rsidRPr="00795698">
        <w:rPr>
          <w:rFonts w:ascii="Garamond" w:eastAsia="Calibri" w:hAnsi="Garamond"/>
          <w:color w:val="231F20"/>
        </w:rPr>
        <w:t xml:space="preserve">- </w:t>
      </w:r>
      <w:r w:rsidR="00893E99" w:rsidRPr="00795698">
        <w:rPr>
          <w:rFonts w:ascii="Garamond" w:eastAsia="Calibri" w:hAnsi="Garamond"/>
          <w:color w:val="231F20"/>
        </w:rPr>
        <w:t xml:space="preserve">Një vit më vonë nga hartimi i VKM-së nr. </w:t>
      </w:r>
      <w:r w:rsidR="00893E99" w:rsidRPr="00795698">
        <w:rPr>
          <w:rFonts w:ascii="Garamond" w:hAnsi="Garamond"/>
        </w:rPr>
        <w:t xml:space="preserve">930, datë 18.11.2015 </w:t>
      </w:r>
      <w:r w:rsidR="00893E99" w:rsidRPr="00795698">
        <w:rPr>
          <w:rFonts w:ascii="Garamond" w:eastAsia="Calibri" w:hAnsi="Garamond"/>
          <w:color w:val="231F20"/>
        </w:rPr>
        <w:t xml:space="preserve">u emërua Koordinatori Kombëtar </w:t>
      </w:r>
      <w:r w:rsidR="00075100" w:rsidRPr="00795698">
        <w:rPr>
          <w:rFonts w:ascii="Garamond" w:eastAsia="Calibri" w:hAnsi="Garamond"/>
          <w:color w:val="231F20"/>
        </w:rPr>
        <w:t xml:space="preserve">kundër </w:t>
      </w:r>
      <w:r w:rsidR="00893E99" w:rsidRPr="00795698">
        <w:rPr>
          <w:rFonts w:ascii="Garamond" w:eastAsia="Calibri" w:hAnsi="Garamond"/>
          <w:color w:val="231F20"/>
        </w:rPr>
        <w:t>Ekstremizmit të Dhunshëm (KEDH), me qëllim bashkërendimin e zbatimit të strategjisë kombëtare. Pothuajse dy vjet më vonë</w:t>
      </w:r>
      <w:r w:rsidR="00893E99" w:rsidRPr="00795698">
        <w:rPr>
          <w:rFonts w:ascii="Garamond" w:hAnsi="Garamond"/>
        </w:rPr>
        <w:t xml:space="preserve"> (</w:t>
      </w:r>
      <w:r w:rsidR="00893E99" w:rsidRPr="00795698">
        <w:rPr>
          <w:rFonts w:ascii="Garamond" w:eastAsia="Calibri" w:hAnsi="Garamond"/>
          <w:color w:val="231F20"/>
        </w:rPr>
        <w:t xml:space="preserve">VKM 737, dhjetor 2018), Zyra Kombëtare e Koordinatorit të KEDH-së u shndërrua në Qendrën e Koordinimit </w:t>
      </w:r>
      <w:r w:rsidR="00075100" w:rsidRPr="00795698">
        <w:rPr>
          <w:rFonts w:ascii="Garamond" w:eastAsia="Calibri" w:hAnsi="Garamond"/>
          <w:color w:val="231F20"/>
        </w:rPr>
        <w:t xml:space="preserve">kundër </w:t>
      </w:r>
      <w:r w:rsidR="00893E99" w:rsidRPr="00795698">
        <w:rPr>
          <w:rFonts w:ascii="Garamond" w:eastAsia="Calibri" w:hAnsi="Garamond"/>
          <w:color w:val="231F20"/>
        </w:rPr>
        <w:t>Ekstremizmit të Dhunshëm (QKEDH e njohur edhe si Qendra CVE</w:t>
      </w:r>
      <w:r w:rsidR="00893E99" w:rsidRPr="00795698">
        <w:rPr>
          <w:rFonts w:ascii="Garamond" w:eastAsia="Calibri" w:hAnsi="Garamond"/>
        </w:rPr>
        <w:t>) si agjenci në varësi të Kryeministrisë.</w:t>
      </w:r>
    </w:p>
    <w:p w14:paraId="5FEEF7DD" w14:textId="78007784" w:rsidR="00893E99" w:rsidRPr="00795698" w:rsidRDefault="002D5979" w:rsidP="002D5979">
      <w:pPr>
        <w:ind w:firstLine="284"/>
        <w:jc w:val="both"/>
        <w:rPr>
          <w:rFonts w:ascii="Garamond" w:eastAsia="Calibri" w:hAnsi="Garamond"/>
        </w:rPr>
      </w:pPr>
      <w:r w:rsidRPr="00795698">
        <w:rPr>
          <w:rFonts w:ascii="Garamond" w:eastAsia="Calibri" w:hAnsi="Garamond"/>
          <w:color w:val="231F20"/>
        </w:rPr>
        <w:t xml:space="preserve">- </w:t>
      </w:r>
      <w:r w:rsidR="00893E99" w:rsidRPr="00795698">
        <w:rPr>
          <w:rFonts w:ascii="Garamond" w:eastAsia="Calibri" w:hAnsi="Garamond"/>
          <w:color w:val="231F20"/>
        </w:rPr>
        <w:t xml:space="preserve">Miratimi i </w:t>
      </w:r>
      <w:r w:rsidR="00893E99" w:rsidRPr="00795698">
        <w:rPr>
          <w:rFonts w:ascii="Garamond" w:eastAsia="Calibri" w:hAnsi="Garamond"/>
        </w:rPr>
        <w:t>strategjisë kombëtare për luftën kundër ekstremizmit të dhunshëm dhe planit të veprimit me vendimin e Këshillit të Ministrave nr. 930, datë 18.11.2015</w:t>
      </w:r>
      <w:r w:rsidR="000C2409" w:rsidRPr="00795698">
        <w:rPr>
          <w:rFonts w:ascii="Garamond" w:eastAsia="Calibri" w:hAnsi="Garamond"/>
        </w:rPr>
        <w:t>,</w:t>
      </w:r>
      <w:r w:rsidR="00893E99" w:rsidRPr="00795698">
        <w:rPr>
          <w:rFonts w:ascii="Garamond" w:eastAsia="Calibri" w:hAnsi="Garamond"/>
        </w:rPr>
        <w:t xml:space="preserve"> e cila u </w:t>
      </w:r>
      <w:r w:rsidR="00075100" w:rsidRPr="00795698">
        <w:rPr>
          <w:rFonts w:ascii="Garamond" w:eastAsia="Calibri" w:hAnsi="Garamond"/>
        </w:rPr>
        <w:t>përqendruar</w:t>
      </w:r>
      <w:r w:rsidR="00893E99" w:rsidRPr="00795698">
        <w:rPr>
          <w:rFonts w:ascii="Garamond" w:eastAsia="Calibri" w:hAnsi="Garamond"/>
        </w:rPr>
        <w:t xml:space="preserve"> në tr</w:t>
      </w:r>
      <w:r w:rsidR="002D69E7" w:rsidRPr="00795698">
        <w:rPr>
          <w:rFonts w:ascii="Garamond" w:eastAsia="Calibri" w:hAnsi="Garamond"/>
        </w:rPr>
        <w:t>i</w:t>
      </w:r>
      <w:r w:rsidR="00893E99" w:rsidRPr="00795698">
        <w:rPr>
          <w:rFonts w:ascii="Garamond" w:eastAsia="Calibri" w:hAnsi="Garamond"/>
        </w:rPr>
        <w:t xml:space="preserve"> fusha prioritare: </w:t>
      </w:r>
      <w:r w:rsidR="00F93667" w:rsidRPr="00795698">
        <w:rPr>
          <w:rFonts w:ascii="Garamond" w:eastAsia="Calibri" w:hAnsi="Garamond"/>
        </w:rPr>
        <w:t>s</w:t>
      </w:r>
      <w:r w:rsidR="00893E99" w:rsidRPr="00795698">
        <w:rPr>
          <w:rFonts w:ascii="Garamond" w:eastAsia="Calibri" w:hAnsi="Garamond"/>
        </w:rPr>
        <w:t xml:space="preserve">htrirja dhe angazhimi i komunitetit; </w:t>
      </w:r>
      <w:r w:rsidR="000C2409" w:rsidRPr="00795698">
        <w:rPr>
          <w:rFonts w:ascii="Garamond" w:eastAsia="Calibri" w:hAnsi="Garamond"/>
        </w:rPr>
        <w:t>l</w:t>
      </w:r>
      <w:r w:rsidR="00893E99" w:rsidRPr="00795698">
        <w:rPr>
          <w:rFonts w:ascii="Garamond" w:eastAsia="Calibri" w:hAnsi="Garamond"/>
        </w:rPr>
        <w:t xml:space="preserve">uftimi i propagandës ekstremiste duke promovuar vlerat demokratike; dhe </w:t>
      </w:r>
      <w:r w:rsidR="000C2409" w:rsidRPr="00795698">
        <w:rPr>
          <w:rFonts w:ascii="Garamond" w:eastAsia="Calibri" w:hAnsi="Garamond"/>
        </w:rPr>
        <w:t>h</w:t>
      </w:r>
      <w:r w:rsidR="00893E99" w:rsidRPr="00795698">
        <w:rPr>
          <w:rFonts w:ascii="Garamond" w:eastAsia="Calibri" w:hAnsi="Garamond"/>
        </w:rPr>
        <w:t>artimi i politikave afatgjata gjithëpërfshirëse kundër ekstremizmit të dhunshëm.</w:t>
      </w:r>
    </w:p>
    <w:p w14:paraId="5FEEF7DE" w14:textId="77777777" w:rsidR="00893E99" w:rsidRPr="00795698" w:rsidRDefault="002D5979" w:rsidP="002D5979">
      <w:pPr>
        <w:ind w:firstLine="284"/>
        <w:jc w:val="both"/>
        <w:rPr>
          <w:rFonts w:ascii="Garamond" w:eastAsia="Calibri" w:hAnsi="Garamond"/>
        </w:rPr>
      </w:pPr>
      <w:r w:rsidRPr="00795698">
        <w:rPr>
          <w:rFonts w:ascii="Garamond" w:hAnsi="Garamond"/>
        </w:rPr>
        <w:t xml:space="preserve">- </w:t>
      </w:r>
      <w:r w:rsidR="00893E99" w:rsidRPr="00795698">
        <w:rPr>
          <w:rFonts w:ascii="Garamond" w:hAnsi="Garamond"/>
        </w:rPr>
        <w:t>Kryerja e disa hetimeve dhe operacioneve të përbashkëta ndërkombëtare të cilat janë finalizuar me ndalimin, arrestimin dhe dënimin e individëve të dyshuar për veprimtari të ekstremizmit të dhunshëm dhe terrorizmit.</w:t>
      </w:r>
    </w:p>
    <w:p w14:paraId="5FEEF7DF" w14:textId="77777777" w:rsidR="00893E99" w:rsidRPr="00795698" w:rsidRDefault="002D5979" w:rsidP="002D5979">
      <w:pPr>
        <w:ind w:firstLine="284"/>
        <w:jc w:val="both"/>
        <w:rPr>
          <w:rFonts w:ascii="Garamond" w:eastAsia="Calibri" w:hAnsi="Garamond"/>
        </w:rPr>
      </w:pPr>
      <w:r w:rsidRPr="00795698">
        <w:rPr>
          <w:rFonts w:ascii="Garamond" w:hAnsi="Garamond"/>
        </w:rPr>
        <w:lastRenderedPageBreak/>
        <w:t xml:space="preserve">- </w:t>
      </w:r>
      <w:r w:rsidR="00893E99" w:rsidRPr="00795698">
        <w:rPr>
          <w:rFonts w:ascii="Garamond" w:hAnsi="Garamond"/>
        </w:rPr>
        <w:t xml:space="preserve">Anëtarësimi i strukturave të Policisë së Shtetit në Pikat Fokale “HYDRA”, “DOLPHIN” dhe “TRAVELLERS”. </w:t>
      </w:r>
    </w:p>
    <w:p w14:paraId="5FEEF7E0" w14:textId="77777777" w:rsidR="00893E99" w:rsidRPr="00795698" w:rsidRDefault="002D5979" w:rsidP="002D5979">
      <w:pPr>
        <w:ind w:firstLine="284"/>
        <w:jc w:val="both"/>
        <w:rPr>
          <w:rFonts w:ascii="Garamond" w:eastAsia="Calibri" w:hAnsi="Garamond"/>
        </w:rPr>
      </w:pPr>
      <w:r w:rsidRPr="00795698">
        <w:rPr>
          <w:rFonts w:ascii="Garamond" w:hAnsi="Garamond"/>
        </w:rPr>
        <w:t xml:space="preserve">- </w:t>
      </w:r>
      <w:r w:rsidR="00893E99" w:rsidRPr="00795698">
        <w:rPr>
          <w:rFonts w:ascii="Garamond" w:hAnsi="Garamond"/>
        </w:rPr>
        <w:t>Rritja e bashkëpunimit në nivel operacional dhe në shkëmbimin e shpejtë të informacionit midis strukturave ligjzbatuese në vend.</w:t>
      </w:r>
    </w:p>
    <w:p w14:paraId="5FEEF7E1" w14:textId="2822293B" w:rsidR="00893E99" w:rsidRPr="00795698" w:rsidRDefault="002D5979" w:rsidP="002D5979">
      <w:pPr>
        <w:ind w:firstLine="284"/>
        <w:jc w:val="both"/>
        <w:rPr>
          <w:rFonts w:ascii="Garamond" w:eastAsia="Calibri" w:hAnsi="Garamond"/>
        </w:rPr>
      </w:pPr>
      <w:r w:rsidRPr="00795698">
        <w:rPr>
          <w:rFonts w:ascii="Garamond" w:hAnsi="Garamond"/>
        </w:rPr>
        <w:t xml:space="preserve">- </w:t>
      </w:r>
      <w:r w:rsidR="00893E99" w:rsidRPr="00795698">
        <w:rPr>
          <w:rFonts w:ascii="Garamond" w:hAnsi="Garamond"/>
        </w:rPr>
        <w:t>Monitorimi në territorin e Republikës së Shqipërisë të individëve shtetas shqiptarë dhe të huaj të dyshuar për përfshirje në konfliktin e armatosur jashtë vendit, në bashkëpunim me shërbimet partnere të huaja dhe agjencitë inteligjente e ligjzbatuesenë vend, si</w:t>
      </w:r>
      <w:r w:rsidR="00075100" w:rsidRPr="00795698">
        <w:rPr>
          <w:rFonts w:ascii="Garamond" w:hAnsi="Garamond"/>
        </w:rPr>
        <w:t>:</w:t>
      </w:r>
      <w:r w:rsidR="00893E99" w:rsidRPr="00795698">
        <w:rPr>
          <w:rFonts w:ascii="Garamond" w:hAnsi="Garamond"/>
        </w:rPr>
        <w:t xml:space="preserve"> SHISH, Prokuroria/SPAK, Drejtoria e Përgjithshme e Burgjeve, AISM</w:t>
      </w:r>
      <w:r w:rsidR="00496156" w:rsidRPr="00795698">
        <w:rPr>
          <w:rFonts w:ascii="Garamond" w:hAnsi="Garamond"/>
        </w:rPr>
        <w:t xml:space="preserve"> etj.</w:t>
      </w:r>
    </w:p>
    <w:p w14:paraId="5FEEF7E2" w14:textId="6B333FC4" w:rsidR="00893E99" w:rsidRPr="00795698" w:rsidRDefault="002D5979" w:rsidP="002D5979">
      <w:pPr>
        <w:ind w:firstLine="284"/>
        <w:jc w:val="both"/>
        <w:rPr>
          <w:rFonts w:ascii="Garamond" w:eastAsia="Calibri" w:hAnsi="Garamond"/>
        </w:rPr>
      </w:pPr>
      <w:r w:rsidRPr="00795698">
        <w:rPr>
          <w:rFonts w:ascii="Garamond" w:hAnsi="Garamond"/>
        </w:rPr>
        <w:t xml:space="preserve">- </w:t>
      </w:r>
      <w:r w:rsidR="00893E99" w:rsidRPr="00795698">
        <w:rPr>
          <w:rFonts w:ascii="Garamond" w:hAnsi="Garamond"/>
        </w:rPr>
        <w:t xml:space="preserve">Përfshirja e </w:t>
      </w:r>
      <w:r w:rsidR="00893E99" w:rsidRPr="00795698">
        <w:rPr>
          <w:rFonts w:ascii="Garamond" w:hAnsi="Garamond"/>
          <w:b/>
        </w:rPr>
        <w:t xml:space="preserve">18 individëve </w:t>
      </w:r>
      <w:r w:rsidR="00893E99" w:rsidRPr="00795698">
        <w:rPr>
          <w:rFonts w:ascii="Garamond" w:hAnsi="Garamond"/>
        </w:rPr>
        <w:t>nga Shqipëria, të dyshuar për veprimtari kriminale në fushën e terrorizmit, në “</w:t>
      </w:r>
      <w:r w:rsidR="00893E99" w:rsidRPr="00795698">
        <w:rPr>
          <w:rFonts w:ascii="Garamond" w:hAnsi="Garamond"/>
          <w:b/>
        </w:rPr>
        <w:t>Lista e brendshme e personave të shpallur</w:t>
      </w:r>
      <w:r w:rsidR="00893E99" w:rsidRPr="00795698">
        <w:rPr>
          <w:rFonts w:ascii="Garamond" w:hAnsi="Garamond"/>
        </w:rPr>
        <w:t xml:space="preserve">”, me VKM, bazuar në </w:t>
      </w:r>
      <w:r w:rsidR="00075100" w:rsidRPr="00795698">
        <w:rPr>
          <w:rFonts w:ascii="Garamond" w:hAnsi="Garamond"/>
        </w:rPr>
        <w:t xml:space="preserve">ligjin </w:t>
      </w:r>
      <w:r w:rsidR="00893E99" w:rsidRPr="00795698">
        <w:rPr>
          <w:rFonts w:ascii="Garamond" w:hAnsi="Garamond"/>
        </w:rPr>
        <w:t>nr. 157/2013, “Për masat kundër financimit të terrorizmit”.</w:t>
      </w:r>
    </w:p>
    <w:p w14:paraId="5FEEF7E3" w14:textId="77777777" w:rsidR="00893E99" w:rsidRPr="00795698" w:rsidRDefault="002D5979" w:rsidP="002D5979">
      <w:pPr>
        <w:ind w:firstLine="284"/>
        <w:jc w:val="both"/>
        <w:rPr>
          <w:rFonts w:ascii="Garamond" w:eastAsia="Calibri" w:hAnsi="Garamond"/>
        </w:rPr>
      </w:pPr>
      <w:r w:rsidRPr="00795698">
        <w:rPr>
          <w:rFonts w:ascii="Garamond" w:hAnsi="Garamond"/>
        </w:rPr>
        <w:t xml:space="preserve">- </w:t>
      </w:r>
      <w:r w:rsidR="00893E99" w:rsidRPr="00795698">
        <w:rPr>
          <w:rFonts w:ascii="Garamond" w:hAnsi="Garamond"/>
        </w:rPr>
        <w:t>Implementimi nga Policia e Shtetit e Programit “</w:t>
      </w:r>
      <w:r w:rsidR="00893E99" w:rsidRPr="00795698">
        <w:rPr>
          <w:rFonts w:ascii="Garamond" w:hAnsi="Garamond"/>
          <w:i/>
        </w:rPr>
        <w:t>Kundër ekstremizmit të dhunshëm përmes policimit në komunitet</w:t>
      </w:r>
      <w:r w:rsidR="00893E99" w:rsidRPr="00795698">
        <w:rPr>
          <w:rFonts w:ascii="Garamond" w:hAnsi="Garamond"/>
        </w:rPr>
        <w:t xml:space="preserve">”. </w:t>
      </w:r>
    </w:p>
    <w:p w14:paraId="5FEEF7E4" w14:textId="3E3601E6" w:rsidR="00893E99" w:rsidRPr="00795698" w:rsidRDefault="002D5979" w:rsidP="002D5979">
      <w:pPr>
        <w:pStyle w:val="NoSpacing"/>
        <w:ind w:firstLine="284"/>
        <w:jc w:val="both"/>
        <w:rPr>
          <w:rFonts w:ascii="Garamond" w:hAnsi="Garamond"/>
          <w:lang w:val="sq-AL"/>
        </w:rPr>
      </w:pPr>
      <w:r w:rsidRPr="00795698">
        <w:rPr>
          <w:rFonts w:ascii="Garamond" w:hAnsi="Garamond"/>
          <w:lang w:val="sq-AL"/>
        </w:rPr>
        <w:t xml:space="preserve">- </w:t>
      </w:r>
      <w:r w:rsidR="00893E99" w:rsidRPr="00795698">
        <w:rPr>
          <w:rFonts w:ascii="Garamond" w:hAnsi="Garamond"/>
          <w:lang w:val="sq-AL"/>
        </w:rPr>
        <w:t>Hartimi dhe implementimi nga institucionet përgjegjëse i Planit dhe Planit Shtesë të Veprimit Ndëristitucional, “</w:t>
      </w:r>
      <w:r w:rsidR="00893E99" w:rsidRPr="00795698">
        <w:rPr>
          <w:rFonts w:ascii="Garamond" w:hAnsi="Garamond"/>
          <w:i/>
          <w:lang w:val="sq-AL"/>
        </w:rPr>
        <w:t xml:space="preserve">Për pritjen dhe </w:t>
      </w:r>
      <w:r w:rsidR="00F53E58" w:rsidRPr="00795698">
        <w:rPr>
          <w:rFonts w:ascii="Garamond" w:hAnsi="Garamond"/>
          <w:i/>
          <w:lang w:val="sq-AL"/>
        </w:rPr>
        <w:t>ri</w:t>
      </w:r>
      <w:r w:rsidR="00893E99" w:rsidRPr="00795698">
        <w:rPr>
          <w:rFonts w:ascii="Garamond" w:hAnsi="Garamond"/>
          <w:i/>
          <w:lang w:val="sq-AL"/>
        </w:rPr>
        <w:t>integrimin e shtetasve që pritet të kthehen nga vendet e konfliktit Si</w:t>
      </w:r>
      <w:r w:rsidR="00F53E58" w:rsidRPr="00795698">
        <w:rPr>
          <w:rFonts w:ascii="Garamond" w:hAnsi="Garamond"/>
          <w:i/>
          <w:lang w:val="sq-AL"/>
        </w:rPr>
        <w:t>ri</w:t>
      </w:r>
      <w:r w:rsidR="00893E99" w:rsidRPr="00795698">
        <w:rPr>
          <w:rFonts w:ascii="Garamond" w:hAnsi="Garamond"/>
          <w:i/>
          <w:lang w:val="sq-AL"/>
        </w:rPr>
        <w:t>Irak</w:t>
      </w:r>
      <w:r w:rsidR="00893E99" w:rsidRPr="00795698">
        <w:rPr>
          <w:rFonts w:ascii="Garamond" w:hAnsi="Garamond"/>
          <w:lang w:val="sq-AL"/>
        </w:rPr>
        <w:t xml:space="preserve">”, miratuar me Urdhër </w:t>
      </w:r>
      <w:r w:rsidR="00075100" w:rsidRPr="00795698">
        <w:rPr>
          <w:rFonts w:ascii="Garamond" w:hAnsi="Garamond"/>
          <w:lang w:val="sq-AL"/>
        </w:rPr>
        <w:t xml:space="preserve">të Kryeministrit nr. 169, datë 1.11.2018 dhe nr. 148 datë </w:t>
      </w:r>
      <w:r w:rsidR="00893E99" w:rsidRPr="00795698">
        <w:rPr>
          <w:rFonts w:ascii="Garamond" w:hAnsi="Garamond"/>
          <w:lang w:val="sq-AL"/>
        </w:rPr>
        <w:t xml:space="preserve">5.11.2019. </w:t>
      </w:r>
    </w:p>
    <w:p w14:paraId="5FEEF7E5" w14:textId="3D905116" w:rsidR="00893E99" w:rsidRPr="00795698" w:rsidRDefault="002D5979" w:rsidP="002D5979">
      <w:pPr>
        <w:ind w:firstLine="284"/>
        <w:jc w:val="both"/>
        <w:rPr>
          <w:rFonts w:ascii="Garamond" w:hAnsi="Garamond"/>
          <w:color w:val="000000"/>
        </w:rPr>
      </w:pPr>
      <w:r w:rsidRPr="00795698">
        <w:rPr>
          <w:rFonts w:ascii="Garamond" w:hAnsi="Garamond"/>
          <w:color w:val="000000"/>
        </w:rPr>
        <w:t xml:space="preserve">- </w:t>
      </w:r>
      <w:r w:rsidR="00893E99" w:rsidRPr="00795698">
        <w:rPr>
          <w:rFonts w:ascii="Garamond" w:hAnsi="Garamond"/>
          <w:color w:val="000000"/>
        </w:rPr>
        <w:t xml:space="preserve">Vendi ynë së fundmi ka aprovuar Strategjinë për Mbrojtje Kibernetike </w:t>
      </w:r>
      <w:r w:rsidR="00623407" w:rsidRPr="00795698">
        <w:rPr>
          <w:rFonts w:ascii="Garamond" w:hAnsi="Garamond"/>
          <w:color w:val="000000"/>
        </w:rPr>
        <w:t>2021–</w:t>
      </w:r>
      <w:r w:rsidR="00893E99" w:rsidRPr="00795698">
        <w:rPr>
          <w:rFonts w:ascii="Garamond" w:hAnsi="Garamond"/>
          <w:color w:val="000000"/>
        </w:rPr>
        <w:t>2023</w:t>
      </w:r>
      <w:r w:rsidR="007C064A" w:rsidRPr="00795698">
        <w:rPr>
          <w:rFonts w:ascii="Garamond" w:hAnsi="Garamond"/>
          <w:color w:val="000000"/>
        </w:rPr>
        <w:t xml:space="preserve"> </w:t>
      </w:r>
      <w:r w:rsidR="00893E99" w:rsidRPr="00795698">
        <w:rPr>
          <w:rFonts w:ascii="Garamond" w:hAnsi="Garamond"/>
          <w:color w:val="000000"/>
        </w:rPr>
        <w:t xml:space="preserve">qëllimi i </w:t>
      </w:r>
      <w:r w:rsidR="00CA234B" w:rsidRPr="00795698">
        <w:rPr>
          <w:rFonts w:ascii="Garamond" w:hAnsi="Garamond"/>
          <w:color w:val="000000"/>
        </w:rPr>
        <w:t>s</w:t>
      </w:r>
      <w:r w:rsidR="00893E99" w:rsidRPr="00795698">
        <w:rPr>
          <w:rFonts w:ascii="Garamond" w:hAnsi="Garamond"/>
          <w:color w:val="000000"/>
        </w:rPr>
        <w:t xml:space="preserve">ë cilës është mbajtja e një hapësire kibernetike të besueshme e të </w:t>
      </w:r>
      <w:r w:rsidR="006249E3" w:rsidRPr="00795698">
        <w:rPr>
          <w:rFonts w:ascii="Garamond" w:hAnsi="Garamond"/>
          <w:color w:val="000000"/>
        </w:rPr>
        <w:t>sigurt</w:t>
      </w:r>
      <w:r w:rsidR="00893E99" w:rsidRPr="00795698">
        <w:rPr>
          <w:rFonts w:ascii="Garamond" w:hAnsi="Garamond"/>
          <w:color w:val="000000"/>
        </w:rPr>
        <w:t>, strategji e cila shtrin efektet edhe në parandalimin e terrorizmit kibernetik.</w:t>
      </w:r>
    </w:p>
    <w:p w14:paraId="5FEEF7E6" w14:textId="7F1D74C0" w:rsidR="00893E99" w:rsidRPr="00795698" w:rsidRDefault="002D5979" w:rsidP="002D5979">
      <w:pPr>
        <w:ind w:firstLine="284"/>
        <w:jc w:val="both"/>
        <w:rPr>
          <w:rFonts w:ascii="Garamond" w:hAnsi="Garamond"/>
          <w:color w:val="000000"/>
        </w:rPr>
      </w:pPr>
      <w:r w:rsidRPr="00795698">
        <w:rPr>
          <w:rFonts w:ascii="Garamond" w:hAnsi="Garamond"/>
          <w:color w:val="000000"/>
        </w:rPr>
        <w:t xml:space="preserve">- </w:t>
      </w:r>
      <w:r w:rsidR="00893E99" w:rsidRPr="00795698">
        <w:rPr>
          <w:rFonts w:ascii="Garamond" w:hAnsi="Garamond"/>
          <w:color w:val="000000"/>
        </w:rPr>
        <w:t xml:space="preserve">Aplikimi i programit për “Shkollat për Komunitete më të </w:t>
      </w:r>
      <w:r w:rsidR="006249E3" w:rsidRPr="00795698">
        <w:rPr>
          <w:rFonts w:ascii="Garamond" w:hAnsi="Garamond"/>
          <w:color w:val="000000"/>
        </w:rPr>
        <w:t>Sigurt</w:t>
      </w:r>
      <w:r w:rsidR="00893E99" w:rsidRPr="00795698">
        <w:rPr>
          <w:rFonts w:ascii="Garamond" w:hAnsi="Garamond"/>
          <w:color w:val="000000"/>
        </w:rPr>
        <w:t>” me qëllim edukimin e të rinjve, trajnimin e mësuesve në të gjithë Shqipërinë për rreziqet e radikalizimit të dhunës në mesin e të rinjve.</w:t>
      </w:r>
    </w:p>
    <w:p w14:paraId="5FEEF7E7" w14:textId="77777777" w:rsidR="00893E99" w:rsidRPr="00795698" w:rsidRDefault="002D5979" w:rsidP="002D5979">
      <w:pPr>
        <w:ind w:firstLine="284"/>
        <w:jc w:val="both"/>
        <w:rPr>
          <w:rFonts w:ascii="Garamond" w:hAnsi="Garamond"/>
          <w:color w:val="000000"/>
        </w:rPr>
      </w:pPr>
      <w:r w:rsidRPr="00795698">
        <w:rPr>
          <w:rFonts w:ascii="Garamond" w:hAnsi="Garamond"/>
          <w:color w:val="000000"/>
        </w:rPr>
        <w:t xml:space="preserve">- </w:t>
      </w:r>
      <w:r w:rsidR="00893E99" w:rsidRPr="00795698">
        <w:rPr>
          <w:rFonts w:ascii="Garamond" w:hAnsi="Garamond"/>
          <w:color w:val="000000"/>
        </w:rPr>
        <w:t>Nënshkrimi, implementimi dhe zbatimi i disa marrëveshjeve e protokolleve të bashkëpunimit me disa vende të rajonit, Evropës dhe SHBA–së, në fushën e sigurisë dhe luftës kundër terrorizmit (aktualisht 21 marrëveshje e protokolle bashkëpunimi).</w:t>
      </w:r>
    </w:p>
    <w:p w14:paraId="5FEEF7E8" w14:textId="20429F69" w:rsidR="00893E99" w:rsidRPr="00795698" w:rsidRDefault="002D5979" w:rsidP="002D5979">
      <w:pPr>
        <w:ind w:firstLine="284"/>
        <w:jc w:val="both"/>
        <w:rPr>
          <w:rFonts w:ascii="Garamond" w:hAnsi="Garamond"/>
          <w:color w:val="000000"/>
        </w:rPr>
      </w:pPr>
      <w:r w:rsidRPr="00795698">
        <w:rPr>
          <w:rFonts w:ascii="Garamond" w:hAnsi="Garamond"/>
          <w:color w:val="000000"/>
        </w:rPr>
        <w:t xml:space="preserve">- </w:t>
      </w:r>
      <w:r w:rsidR="00893E99" w:rsidRPr="00795698">
        <w:rPr>
          <w:rFonts w:ascii="Garamond" w:hAnsi="Garamond"/>
          <w:color w:val="000000"/>
        </w:rPr>
        <w:t xml:space="preserve">Miratimi i strategjisë ndërsektoriale të sigurisë në komunitet </w:t>
      </w:r>
      <w:r w:rsidR="00623407" w:rsidRPr="00795698">
        <w:rPr>
          <w:rFonts w:ascii="Garamond" w:hAnsi="Garamond"/>
          <w:color w:val="000000"/>
        </w:rPr>
        <w:t>2021–</w:t>
      </w:r>
      <w:r w:rsidR="00893E99" w:rsidRPr="00795698">
        <w:rPr>
          <w:rFonts w:ascii="Garamond" w:hAnsi="Garamond"/>
          <w:color w:val="000000"/>
        </w:rPr>
        <w:t xml:space="preserve">2026 dhe planit të saj të veprimit </w:t>
      </w:r>
      <w:r w:rsidR="00623407" w:rsidRPr="00795698">
        <w:rPr>
          <w:rFonts w:ascii="Garamond" w:hAnsi="Garamond"/>
          <w:color w:val="000000"/>
        </w:rPr>
        <w:t>2021–</w:t>
      </w:r>
      <w:r w:rsidR="00893E99" w:rsidRPr="00795698">
        <w:rPr>
          <w:rFonts w:ascii="Garamond" w:hAnsi="Garamond"/>
          <w:color w:val="000000"/>
        </w:rPr>
        <w:t>2023 ka luajtur një rol të rëndësishëm në implementimin e programeve të policimit në komunitet dhe implementimin e programeve të rehabilitimit dhe riintegrimet por edhe në rritjen e rolit të mekanimave parandalues si Këshillat Vendorë të Sigurisë Publikë, duke parashikuar masa për rritjen e efektivitetit të tyre në parandalimin e ekstremizmit të dhunshëm dhe terrorizmit si edhe duke ndërgjegjësuar dhe forcuar kapacitetet e</w:t>
      </w:r>
      <w:r w:rsidR="007C064A" w:rsidRPr="00795698">
        <w:rPr>
          <w:rFonts w:ascii="Garamond" w:hAnsi="Garamond"/>
          <w:color w:val="000000"/>
        </w:rPr>
        <w:t xml:space="preserve"> </w:t>
      </w:r>
      <w:r w:rsidR="00893E99" w:rsidRPr="00795698">
        <w:rPr>
          <w:rFonts w:ascii="Garamond" w:hAnsi="Garamond"/>
          <w:color w:val="000000"/>
        </w:rPr>
        <w:t>aktorëve të vijës së parë për identifikimin dhe referimin e rasteve të evidentuara.</w:t>
      </w:r>
    </w:p>
    <w:p w14:paraId="5FEEF7E9" w14:textId="6592901D" w:rsidR="00893E99" w:rsidRPr="00795698" w:rsidRDefault="002D5979" w:rsidP="002D5979">
      <w:pPr>
        <w:ind w:firstLine="284"/>
        <w:jc w:val="both"/>
        <w:rPr>
          <w:rFonts w:ascii="Garamond" w:hAnsi="Garamond"/>
          <w:color w:val="000000"/>
        </w:rPr>
      </w:pPr>
      <w:r w:rsidRPr="00795698">
        <w:rPr>
          <w:rFonts w:ascii="Garamond" w:hAnsi="Garamond"/>
          <w:color w:val="000000"/>
        </w:rPr>
        <w:t xml:space="preserve">- </w:t>
      </w:r>
      <w:r w:rsidR="00893E99" w:rsidRPr="00795698">
        <w:rPr>
          <w:rFonts w:ascii="Garamond" w:hAnsi="Garamond"/>
          <w:color w:val="000000"/>
        </w:rPr>
        <w:t xml:space="preserve">Ndryshimet kushtetuese të vitit 2016 parashikuan krijimin e një gjykate të posaçme penale dhe një prokurorie të posaçme, me kompetencë lëndore sipas nenit 135, paragrafi 2, të Kushtetutës. Kodi i Procedurës Penale, i ndryshuar, në nenin 75/a të tij, detajonte kompetencën lëndore të Gjykatës kundër Korrupsionit dhe Krimit të Organizuar, duke përcaktuar kompetencën për kategori të caktuara të veprave penale dhe kompetencën për kategori të caktuara subjektesh. Sa më sipër, veprat penale me qëllime terroriste që ishin në kompetencë të gjykatës për krime të rënda, nuk u përfshinë në kompetencë të Gjykatës kundër Korrupsionit dhe Krimit të Organizuar, por gjykatave të juridiksionit të zakonshëm. Për pasojë edhe kompetenca në hetimin e tyre i takonte prokurorive pranë gjykatave të juridiksionit të zakonshëm. Ndërsa në shkronjën “b” të nenit 75/a, përcaktohej se përfshihen në kompetencën e Gjykatës kundër Korrupsionit dhe Krimit të Organizuar çdo vepër penale e kryer nga grupi i strukturuar kriminal, organizata kriminale, organizata terroriste dhe banda e armatosur, sipas përcaktimeve të Kodit Penal. Si rrjedhim, kompetenca lëndore e hetimit të veprave me qëllime terroriste, me krijimin e Prokurorisë së Posaçme i përkiste gjykatave të juridiksionit të zakonshëm. Ndërsa çdo vepër penale e kryer nga organizata terroriste (një formë e veçantë e organizatës kriminale, e përbërë nga dy ose më shumë persona, që kanë një bashkëpunim të qëndrueshëm në kohë, me synim kryerjen e veprave me qëllime terroriste), sipas përcaktimeve të </w:t>
      </w:r>
      <w:r w:rsidR="00893E99" w:rsidRPr="00795698">
        <w:rPr>
          <w:rFonts w:ascii="Garamond" w:hAnsi="Garamond"/>
          <w:color w:val="000000"/>
        </w:rPr>
        <w:lastRenderedPageBreak/>
        <w:t>Kodit Pro</w:t>
      </w:r>
      <w:r w:rsidR="00075100" w:rsidRPr="00795698">
        <w:rPr>
          <w:rFonts w:ascii="Garamond" w:hAnsi="Garamond"/>
          <w:color w:val="000000"/>
        </w:rPr>
        <w:t>c</w:t>
      </w:r>
      <w:r w:rsidR="00893E99" w:rsidRPr="00795698">
        <w:rPr>
          <w:rFonts w:ascii="Garamond" w:hAnsi="Garamond"/>
          <w:color w:val="000000"/>
        </w:rPr>
        <w:t xml:space="preserve">edurës Penale, u përcaktua në kompetencë të Prokurorisë së Posaçme. Në rastet e procedimeve të lidhura ndërmjet tyre dhe që nuk mund të ndaheshin, pasi rezultonin pjesërisht në kompetencë të gjykatës kundër korrupsionit dhe krimit të organizuar dhe pjesërisht në kompetencë të gjykatave të zakonshme dhe kur rezultonte se subjekt i procedimit ishtë një organizatë terroriste, në bazë të nenit 80 të Kodit të Procedurës Penale, kompetenca për këto raste i takonte gjykatës kundër korrupsionit dhe krimit të organizuar. Në këto kushte, me qëllim eleminimin e vështirësive që u hasën për ndjekjen penale të veprave me qëllime terroriste dhe financimin e terrorizmit u miratuan </w:t>
      </w:r>
      <w:r w:rsidR="00075100" w:rsidRPr="00795698">
        <w:rPr>
          <w:rFonts w:ascii="Garamond" w:hAnsi="Garamond"/>
          <w:color w:val="000000"/>
        </w:rPr>
        <w:t>me ligjin nr. 41/2021, datë 23.</w:t>
      </w:r>
      <w:r w:rsidR="00893E99" w:rsidRPr="00795698">
        <w:rPr>
          <w:rFonts w:ascii="Garamond" w:hAnsi="Garamond"/>
          <w:color w:val="000000"/>
        </w:rPr>
        <w:t xml:space="preserve">3.2021 “Për disa shtesa dhe ndryshime në ligjin nr. 7905, datë 21.3.1995, “Kodi i Procedurës Penale i Republikës së Shqipërisë”, të ndryshuar”, kompetencat lëndore të Gjykatës së Posaçme kundër Korrupsionit dhe Krimit të Organizuar, bazuar në nenin 135 të Kushtetutës. Në sferën e juridiksionit të Gjykatës së Posaçme kundër Korrupsionit dhe Krimit të Organizuar u përfshinë edhe gjykimi i veprave penale me qëllime terroriste sipas neneve vijuese: neni 230 “Vepra me </w:t>
      </w:r>
      <w:r w:rsidR="00075100" w:rsidRPr="00795698">
        <w:rPr>
          <w:rFonts w:ascii="Garamond" w:hAnsi="Garamond"/>
          <w:color w:val="000000"/>
        </w:rPr>
        <w:t>qëllime</w:t>
      </w:r>
      <w:r w:rsidR="00893E99" w:rsidRPr="00795698">
        <w:rPr>
          <w:rFonts w:ascii="Garamond" w:hAnsi="Garamond"/>
          <w:color w:val="000000"/>
        </w:rPr>
        <w:t xml:space="preserve"> terroriste”, neni 230/a “Financimi i terrorizmit”, neni 230/b “Fshehja e fondeve dhe e pasurive të tjera, që financojnë terrorizmin”, neni 230/c “Dhënia e informacioneve nga persona që ushtrojnë funksione publike ose në ushtrim të detyrës a profesionit”; neni 230/9 “Kryerja e shërbimeve dhe veprimeve me persona të shpallur”; neni 231 “Rekrutimi i personave për kryerjen e veprave me qëllime terroriste ose të financimit të terrorizmit”; neni 232 “Stërvitja për kryerjen e veprave me qëllime terroriste”; neni 232/a “Nxitja, thirrja publike dhe propaganda për kryerjen e veprave me qëllime terroriste”; neni 232/b “Kanosja për kryerjen e veprave me qëllime terroriste”; neni 233 “Krijimi i turmave të armatosura”; neni 234 “Prodhimi i armëve luftarake”; neni 234/a “Organizata terroriste”; neni 234/b “Banda e armatosur”. Kalimi i kompetencës së hetimit të veprave me qëllime terroriste nga prokuroritë e juridiksionit të përgjithshëm te SPAK çfarë ka sjellë edhe nevojën e reflektimit të kësaj përgjegjësie të re në implementimin e masave dhe aktiviteteve të parashikuara në planin e veprimit të strategjisë ndërsektoriale të luftës kundër terrorizmit.</w:t>
      </w:r>
    </w:p>
    <w:p w14:paraId="5FEEF7EA" w14:textId="77777777" w:rsidR="00893E99" w:rsidRPr="00795698" w:rsidRDefault="00893E99" w:rsidP="00893E99">
      <w:pPr>
        <w:ind w:firstLine="284"/>
        <w:jc w:val="both"/>
        <w:rPr>
          <w:rFonts w:ascii="Garamond" w:hAnsi="Garamond"/>
          <w:color w:val="000000"/>
        </w:rPr>
      </w:pPr>
      <w:r w:rsidRPr="00795698">
        <w:rPr>
          <w:rFonts w:ascii="Garamond" w:hAnsi="Garamond"/>
          <w:color w:val="000000"/>
        </w:rPr>
        <w:t>Prioritet i Prokurorisë në luftën kundër terrorizmit është goditja në të gjitha format e shfaqjes së tij dhe përmbushja e këtij angazhimi ka në fokus rritjen e cilësisë së hetimit dhe forcimin e bashkëpunimit ndërinstitucional me agjencitë e specializuara në këtë fushë, si dhe orientimi drejt një politike të ashpër dënimi.</w:t>
      </w:r>
    </w:p>
    <w:p w14:paraId="5FEEF7EB" w14:textId="77777777" w:rsidR="00893E99" w:rsidRPr="00795698" w:rsidRDefault="00893E99" w:rsidP="00893E99">
      <w:pPr>
        <w:ind w:firstLine="284"/>
        <w:jc w:val="both"/>
        <w:rPr>
          <w:rFonts w:ascii="Garamond" w:hAnsi="Garamond"/>
          <w:color w:val="000000"/>
        </w:rPr>
      </w:pPr>
      <w:r w:rsidRPr="00795698">
        <w:rPr>
          <w:rFonts w:ascii="Garamond" w:hAnsi="Garamond"/>
          <w:color w:val="000000"/>
        </w:rPr>
        <w:t>Kjo është e lidhur ngushtësisht me forcimin e kapaciteteve për hetimin e veprave penale që lidhen me terrorizmin nëpërmjet përmirësimit të teknologjisë dhe trajnimin e prokurorëve dhe oficerëve të policisë gjyqësore që hetojnë këto vepra. Ndjekja e praktikave më të mira të luftës kundër terrorizmit, si dhe analizimi i legjislacionit shqiptar, përbën bazën për procesin e trajnimit të prokurorëve dhe oficerëve të policisë gjyqësore të ngarkuar për hetimin e veprave penale që lidhen me terrorizmin.</w:t>
      </w:r>
    </w:p>
    <w:p w14:paraId="5FEEF7EC" w14:textId="77777777" w:rsidR="00893E99" w:rsidRPr="00795698" w:rsidRDefault="00893E99" w:rsidP="00893E99">
      <w:pPr>
        <w:pStyle w:val="Heading3"/>
        <w:spacing w:before="0"/>
        <w:ind w:firstLine="284"/>
        <w:rPr>
          <w:rFonts w:ascii="Garamond" w:eastAsia="Calibri" w:hAnsi="Garamond"/>
          <w:color w:val="auto"/>
        </w:rPr>
      </w:pPr>
      <w:bookmarkStart w:id="32" w:name="_Toc108644264"/>
      <w:r w:rsidRPr="00795698">
        <w:rPr>
          <w:rFonts w:ascii="Garamond" w:eastAsia="Calibri" w:hAnsi="Garamond"/>
          <w:color w:val="auto"/>
        </w:rPr>
        <w:t>2.2.5 Financimi i terrorizmit</w:t>
      </w:r>
      <w:bookmarkEnd w:id="32"/>
      <w:r w:rsidRPr="00795698">
        <w:rPr>
          <w:rFonts w:ascii="Garamond" w:eastAsia="Calibri" w:hAnsi="Garamond"/>
          <w:color w:val="auto"/>
        </w:rPr>
        <w:t xml:space="preserve"> </w:t>
      </w:r>
    </w:p>
    <w:p w14:paraId="5FEEF7ED" w14:textId="02245637" w:rsidR="00893E99" w:rsidRPr="00795698" w:rsidRDefault="00893E99" w:rsidP="0089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i/>
          <w:iCs/>
        </w:rPr>
      </w:pPr>
      <w:r w:rsidRPr="00795698">
        <w:rPr>
          <w:rFonts w:ascii="Garamond" w:hAnsi="Garamond"/>
          <w:i/>
          <w:iCs/>
        </w:rPr>
        <w:t>Faktorët që ndikojnë në c</w:t>
      </w:r>
      <w:r w:rsidR="00F93667" w:rsidRPr="00795698">
        <w:rPr>
          <w:rFonts w:ascii="Garamond" w:hAnsi="Garamond"/>
          <w:i/>
          <w:iCs/>
        </w:rPr>
        <w:t>e</w:t>
      </w:r>
      <w:r w:rsidRPr="00795698">
        <w:rPr>
          <w:rFonts w:ascii="Garamond" w:hAnsi="Garamond"/>
          <w:i/>
          <w:iCs/>
        </w:rPr>
        <w:t xml:space="preserve">nueshmëri (dobësitë) të sistemit dhe që mund të shfrytëzohen apo mund të lehtësojnë veprimtarinë e terroristëve </w:t>
      </w:r>
    </w:p>
    <w:p w14:paraId="5FEEF7EE" w14:textId="77777777" w:rsidR="00893E99" w:rsidRPr="00795698" w:rsidRDefault="00893E99" w:rsidP="00893E99">
      <w:pPr>
        <w:ind w:firstLine="284"/>
        <w:jc w:val="both"/>
        <w:rPr>
          <w:rFonts w:ascii="Garamond" w:hAnsi="Garamond"/>
        </w:rPr>
      </w:pPr>
      <w:r w:rsidRPr="00795698">
        <w:rPr>
          <w:rFonts w:ascii="Garamond" w:hAnsi="Garamond"/>
          <w:b/>
          <w:i/>
        </w:rPr>
        <w:t>1. Pozicioni gjeostrategjik i Shqipërisë</w:t>
      </w:r>
      <w:r w:rsidRPr="00795698">
        <w:rPr>
          <w:rFonts w:ascii="Garamond" w:hAnsi="Garamond"/>
        </w:rPr>
        <w:t xml:space="preserve"> (flukse të mëdha të qarkullimit të njerëzve, mallrave dhe shërbimeve ndërkombëtare), krijon kushte që vendi të synohet jo vetëm si një pikë transiti i mundshëm për trafiqet dhe aktivitetet e paligjshme, por edhe për përhapjen e sindromës së terrorizmit, veçanërisht atij me baza fondamentaliste. </w:t>
      </w:r>
    </w:p>
    <w:p w14:paraId="5FEEF7EF" w14:textId="77777777" w:rsidR="00893E99" w:rsidRPr="00795698" w:rsidRDefault="00893E99" w:rsidP="0089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b/>
          <w:i/>
        </w:rPr>
      </w:pPr>
      <w:r w:rsidRPr="00795698">
        <w:rPr>
          <w:rFonts w:ascii="Garamond" w:hAnsi="Garamond"/>
          <w:b/>
          <w:i/>
        </w:rPr>
        <w:t>2. Prania e individëve dhe grupeve që mbështesin ose promovojnë ekstremizmin e dhunshëm</w:t>
      </w:r>
    </w:p>
    <w:p w14:paraId="5FEEF7F0" w14:textId="77777777" w:rsidR="00893E99" w:rsidRPr="00795698" w:rsidRDefault="00893E99" w:rsidP="0089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rPr>
      </w:pPr>
      <w:r w:rsidRPr="00795698">
        <w:rPr>
          <w:rFonts w:ascii="Garamond" w:hAnsi="Garamond"/>
        </w:rPr>
        <w:t>Në vendin tonë ka të dhëna për ekzistencën e mbështetësve të veçantë të ideologjive radikale. Nuk janë evidentuar figura drejtuese në radhët e mbështetësve dhe nuk operojnë në formë të mirëorganizuar por veprimtaria zhvillohet nga grupime të fragmentizura që zhvillojnë aktivitet të pakoordinuar me njëri tjetrin.</w:t>
      </w:r>
    </w:p>
    <w:p w14:paraId="5FEEF7F1" w14:textId="77777777" w:rsidR="00893E99" w:rsidRPr="00795698" w:rsidRDefault="00893E99" w:rsidP="00893E99">
      <w:pPr>
        <w:ind w:firstLine="284"/>
        <w:jc w:val="both"/>
        <w:rPr>
          <w:rFonts w:ascii="Garamond" w:hAnsi="Garamond"/>
          <w:b/>
          <w:i/>
        </w:rPr>
      </w:pPr>
      <w:r w:rsidRPr="00795698">
        <w:rPr>
          <w:rFonts w:ascii="Garamond" w:hAnsi="Garamond"/>
          <w:b/>
          <w:i/>
        </w:rPr>
        <w:t>3. Vështirësitë në kontrollet e kufijve</w:t>
      </w:r>
    </w:p>
    <w:p w14:paraId="5FEEF7F2" w14:textId="04AC99A4" w:rsidR="00893E99" w:rsidRPr="00795698" w:rsidRDefault="00893E99" w:rsidP="00893E99">
      <w:pPr>
        <w:ind w:firstLine="284"/>
        <w:jc w:val="both"/>
        <w:rPr>
          <w:rFonts w:ascii="Garamond" w:hAnsi="Garamond"/>
          <w:b/>
          <w:i/>
        </w:rPr>
      </w:pPr>
      <w:r w:rsidRPr="00795698">
        <w:rPr>
          <w:rFonts w:ascii="Garamond" w:hAnsi="Garamond"/>
        </w:rPr>
        <w:lastRenderedPageBreak/>
        <w:t xml:space="preserve">Mbetet problem niveli i ulët i deklarimeve në kufi. Edhe gjatë </w:t>
      </w:r>
      <w:r w:rsidR="00623407" w:rsidRPr="00795698">
        <w:rPr>
          <w:rFonts w:ascii="Garamond" w:hAnsi="Garamond"/>
        </w:rPr>
        <w:t>2015–</w:t>
      </w:r>
      <w:r w:rsidRPr="00795698">
        <w:rPr>
          <w:rFonts w:ascii="Garamond" w:hAnsi="Garamond"/>
        </w:rPr>
        <w:t>2018 ndër të tjera është venë re se:</w:t>
      </w:r>
    </w:p>
    <w:p w14:paraId="5FEEF7F3" w14:textId="77777777" w:rsidR="00893E99" w:rsidRPr="00795698" w:rsidRDefault="002D5979" w:rsidP="002D5979">
      <w:pPr>
        <w:pStyle w:val="TEKSTIIIII"/>
        <w:rPr>
          <w:lang w:val="sq-AL"/>
        </w:rPr>
      </w:pPr>
      <w:r w:rsidRPr="00795698">
        <w:rPr>
          <w:lang w:val="sq-AL"/>
        </w:rPr>
        <w:t xml:space="preserve">- </w:t>
      </w:r>
      <w:r w:rsidR="00893E99" w:rsidRPr="00795698">
        <w:rPr>
          <w:lang w:val="sq-AL"/>
        </w:rPr>
        <w:t xml:space="preserve">paraja fizike ka një përdorim të lartë, mirëpo deklarimet në kufi janë ende të ulëta dhe në pika të veçuara kufitare, </w:t>
      </w:r>
    </w:p>
    <w:p w14:paraId="5FEEF7F4" w14:textId="77777777" w:rsidR="00893E99" w:rsidRPr="00795698" w:rsidRDefault="002D5979" w:rsidP="002D5979">
      <w:pPr>
        <w:pStyle w:val="TEKSTIIIII"/>
        <w:rPr>
          <w:lang w:val="sq-AL"/>
        </w:rPr>
      </w:pPr>
      <w:r w:rsidRPr="00795698">
        <w:rPr>
          <w:lang w:val="sq-AL"/>
        </w:rPr>
        <w:t xml:space="preserve">- </w:t>
      </w:r>
      <w:r w:rsidR="00893E99" w:rsidRPr="00795698">
        <w:rPr>
          <w:lang w:val="sq-AL"/>
        </w:rPr>
        <w:t>disporporcion midis numrit të deklarimeve në hyrje (numër i vogël) dhe deklarimeve në dalje;</w:t>
      </w:r>
    </w:p>
    <w:p w14:paraId="5FEEF7F5" w14:textId="77777777" w:rsidR="00893E99" w:rsidRPr="00795698" w:rsidRDefault="002D5979" w:rsidP="002D5979">
      <w:pPr>
        <w:pStyle w:val="TEKSTIIIII"/>
        <w:rPr>
          <w:lang w:val="sq-AL"/>
        </w:rPr>
      </w:pPr>
      <w:r w:rsidRPr="00795698">
        <w:rPr>
          <w:lang w:val="sq-AL"/>
        </w:rPr>
        <w:t xml:space="preserve">- </w:t>
      </w:r>
      <w:r w:rsidR="00893E99" w:rsidRPr="00795698">
        <w:rPr>
          <w:lang w:val="sq-AL"/>
        </w:rPr>
        <w:t>rastet sporadike të dedektimit të mosdeklarimit, ndëshkimi në nivel të ulët dhe mos konfiskimi i shumave.</w:t>
      </w:r>
    </w:p>
    <w:p w14:paraId="5FEEF7F6" w14:textId="0653222A" w:rsidR="00893E99" w:rsidRPr="00795698" w:rsidRDefault="002D5979" w:rsidP="002D5979">
      <w:pPr>
        <w:pStyle w:val="TEKSTIIIII"/>
        <w:rPr>
          <w:lang w:val="sq-AL"/>
        </w:rPr>
      </w:pPr>
      <w:r w:rsidRPr="00795698">
        <w:rPr>
          <w:lang w:val="sq-AL"/>
        </w:rPr>
        <w:t xml:space="preserve">- </w:t>
      </w:r>
      <w:r w:rsidR="00893E99" w:rsidRPr="00795698">
        <w:rPr>
          <w:lang w:val="sq-AL"/>
        </w:rPr>
        <w:t>Edhe nga një analizë sektoriale e kryer nga DPPPP</w:t>
      </w:r>
      <w:r w:rsidR="00C704C5" w:rsidRPr="00795698">
        <w:rPr>
          <w:lang w:val="sq-AL"/>
        </w:rPr>
        <w:t>-ja</w:t>
      </w:r>
      <w:r w:rsidR="00893E99" w:rsidRPr="00795698">
        <w:rPr>
          <w:lang w:val="sq-AL"/>
        </w:rPr>
        <w:t>, për periudhën janar</w:t>
      </w:r>
      <w:r w:rsidR="002D69E7" w:rsidRPr="00795698">
        <w:rPr>
          <w:lang w:val="sq-AL"/>
        </w:rPr>
        <w:t>–</w:t>
      </w:r>
      <w:r w:rsidR="00893E99" w:rsidRPr="00795698">
        <w:rPr>
          <w:lang w:val="sq-AL"/>
        </w:rPr>
        <w:t>tetor 2016, vihet re se situata është e njëjtë.</w:t>
      </w:r>
    </w:p>
    <w:p w14:paraId="5FEEF7F7" w14:textId="77777777" w:rsidR="00893E99" w:rsidRPr="00795698" w:rsidRDefault="002D5979" w:rsidP="00893E99">
      <w:pPr>
        <w:ind w:firstLine="284"/>
        <w:jc w:val="both"/>
        <w:rPr>
          <w:rFonts w:ascii="Garamond" w:hAnsi="Garamond"/>
        </w:rPr>
      </w:pPr>
      <w:r w:rsidRPr="00795698">
        <w:rPr>
          <w:rFonts w:ascii="Garamond" w:hAnsi="Garamond"/>
        </w:rPr>
        <w:t xml:space="preserve">- </w:t>
      </w:r>
      <w:r w:rsidR="00893E99" w:rsidRPr="00795698">
        <w:rPr>
          <w:rFonts w:ascii="Garamond" w:hAnsi="Garamond"/>
        </w:rPr>
        <w:t>Fluksi i madh e pasagjerëve dhe automjeteve sidomos gjatë sezonit të pushimeve, shton mundësinë për kalim të sasive të parasë fizike të padeklaruar.</w:t>
      </w:r>
    </w:p>
    <w:p w14:paraId="5FEEF7F9" w14:textId="6400D956" w:rsidR="00893E99" w:rsidRPr="00795698" w:rsidRDefault="00893E99" w:rsidP="00893E99">
      <w:pPr>
        <w:ind w:firstLine="284"/>
        <w:jc w:val="both"/>
        <w:rPr>
          <w:rFonts w:ascii="Garamond" w:hAnsi="Garamond"/>
          <w:b/>
          <w:i/>
        </w:rPr>
      </w:pPr>
      <w:r w:rsidRPr="00795698">
        <w:rPr>
          <w:rFonts w:ascii="Garamond" w:hAnsi="Garamond"/>
          <w:b/>
          <w:i/>
        </w:rPr>
        <w:t>4. Përdorimi i gj</w:t>
      </w:r>
      <w:r w:rsidR="00075100" w:rsidRPr="00795698">
        <w:rPr>
          <w:rFonts w:ascii="Garamond" w:hAnsi="Garamond"/>
          <w:b/>
          <w:i/>
        </w:rPr>
        <w:t>e</w:t>
      </w:r>
      <w:r w:rsidRPr="00795698">
        <w:rPr>
          <w:rFonts w:ascii="Garamond" w:hAnsi="Garamond"/>
          <w:b/>
          <w:i/>
        </w:rPr>
        <w:t>rë i parasë fizike</w:t>
      </w:r>
    </w:p>
    <w:p w14:paraId="5FEEF7FA" w14:textId="77777777" w:rsidR="00893E99" w:rsidRPr="00795698" w:rsidRDefault="00893E99" w:rsidP="00893E99">
      <w:pPr>
        <w:ind w:firstLine="284"/>
        <w:jc w:val="both"/>
        <w:rPr>
          <w:rFonts w:ascii="Garamond" w:hAnsi="Garamond"/>
        </w:rPr>
      </w:pPr>
      <w:r w:rsidRPr="00795698">
        <w:rPr>
          <w:rFonts w:ascii="Garamond" w:hAnsi="Garamond"/>
        </w:rPr>
        <w:t xml:space="preserve">Ekzistenca e një ekonomie ku përdorimi i parasë fizike është i lartë, krijon mjaft avantazhe për personat e përfshirë në veprimtari kriminale duke siguruar anonimitet dhe mundësinë për të mos lënë gjurmë. </w:t>
      </w:r>
    </w:p>
    <w:p w14:paraId="5FEEF7FB" w14:textId="77777777" w:rsidR="00893E99" w:rsidRPr="00795698" w:rsidRDefault="00893E99" w:rsidP="00893E99">
      <w:pPr>
        <w:ind w:firstLine="284"/>
        <w:jc w:val="both"/>
        <w:rPr>
          <w:rFonts w:ascii="Garamond" w:hAnsi="Garamond"/>
          <w:b/>
          <w:i/>
        </w:rPr>
      </w:pPr>
      <w:r w:rsidRPr="00795698">
        <w:rPr>
          <w:rFonts w:ascii="Garamond" w:hAnsi="Garamond"/>
          <w:b/>
          <w:i/>
        </w:rPr>
        <w:t>5. Përdorimi i mjeteve të reja të komunikimit për propagandë</w:t>
      </w:r>
    </w:p>
    <w:p w14:paraId="5FEEF7FC" w14:textId="0F9EA052" w:rsidR="00893E99" w:rsidRPr="00795698" w:rsidRDefault="00893E99" w:rsidP="0089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olor w:val="000000"/>
        </w:rPr>
      </w:pPr>
      <w:r w:rsidRPr="00795698">
        <w:rPr>
          <w:rFonts w:ascii="Garamond" w:hAnsi="Garamond"/>
          <w:color w:val="000000"/>
        </w:rPr>
        <w:t>Hapësira kibernetike, të cilën çdo njeri mund ta përdorë pa kufij kohorë dhe gjeografikë, jep në mënyrë të padiskutuar avantazhe dhe mu</w:t>
      </w:r>
      <w:r w:rsidR="00075100" w:rsidRPr="00795698">
        <w:rPr>
          <w:rFonts w:ascii="Garamond" w:hAnsi="Garamond"/>
          <w:color w:val="000000"/>
        </w:rPr>
        <w:t>n</w:t>
      </w:r>
      <w:r w:rsidRPr="00795698">
        <w:rPr>
          <w:rFonts w:ascii="Garamond" w:hAnsi="Garamond"/>
          <w:color w:val="000000"/>
        </w:rPr>
        <w:t xml:space="preserve">dësi për hakerat. Propaganda terroriste vazhdimisht po zhvendoset në platforma të reja dhe të ndryshme dhe sasia e informacionit të shkëmbyer, qoftë publikisht apo në hapësira private, po rritet. </w:t>
      </w:r>
    </w:p>
    <w:p w14:paraId="5FEEF7FD" w14:textId="537928BA" w:rsidR="00893E99" w:rsidRPr="00795698" w:rsidRDefault="00893E99" w:rsidP="00893E99">
      <w:pPr>
        <w:ind w:firstLine="284"/>
        <w:jc w:val="both"/>
        <w:rPr>
          <w:rFonts w:ascii="Garamond" w:hAnsi="Garamond"/>
          <w:b/>
          <w:u w:val="single"/>
        </w:rPr>
      </w:pPr>
      <w:r w:rsidRPr="00795698">
        <w:rPr>
          <w:rFonts w:ascii="Garamond" w:hAnsi="Garamond"/>
          <w:color w:val="000000"/>
        </w:rPr>
        <w:t>Në funksion të rekrutimit të anëtarëve të rinj kërkohen fonde, që më pas shfrytëzohen duke përdorur rrjetet sociale, të cilat përveç rekrutimit shërbejnë dhe si një instrument efikas propagande dhe mbledhje fondesh. Përdorimi i internetit siguron një mekanizëm me kosto të ulët në fazat fillestare të rekrutimit ndërkohë që për hapat e mëtejshëm ka kosto shtesë. Shfrytëzimi i mediave sociale për qëllime të rekrutimit dhe propagandës terroriste, është bërë një çështje prioritare për luftën kundër financimit të terrorizmit, pasi shumë organizata terroriste kanë shfrytëzuar mediat sociale për të siguruar fonde nga mbështetësit. Organizatat terroriste më komplekse, investojnë fonde të konsiderueshme në drejtim të operacioneve të sofistikuara propagandistike, që përfshijnë botimin e revistave dhe gazetave, administrimin e faqeve të internetit dhe përdorimin e programeve audiovizive për të promovuar mesazhet dhe pikëpamjet e tyre.</w:t>
      </w:r>
    </w:p>
    <w:p w14:paraId="5FEEF7FE" w14:textId="77777777" w:rsidR="00893E99" w:rsidRPr="00795698" w:rsidRDefault="00893E99" w:rsidP="00893E99">
      <w:pPr>
        <w:ind w:firstLine="284"/>
        <w:jc w:val="both"/>
        <w:rPr>
          <w:rFonts w:ascii="Garamond" w:hAnsi="Garamond"/>
          <w:b/>
        </w:rPr>
      </w:pPr>
      <w:r w:rsidRPr="00795698">
        <w:rPr>
          <w:rFonts w:ascii="Garamond" w:hAnsi="Garamond"/>
          <w:b/>
        </w:rPr>
        <w:t>Listimi i brendshëm</w:t>
      </w:r>
    </w:p>
    <w:p w14:paraId="5FEEF7FF" w14:textId="5E0FDCF3" w:rsidR="00893E99" w:rsidRPr="00795698" w:rsidRDefault="00893E99" w:rsidP="00893E99">
      <w:pPr>
        <w:ind w:firstLine="284"/>
        <w:jc w:val="both"/>
        <w:rPr>
          <w:rFonts w:ascii="Garamond" w:hAnsi="Garamond"/>
          <w:spacing w:val="-1"/>
          <w:lang w:eastAsia="x-none"/>
        </w:rPr>
      </w:pPr>
      <w:r w:rsidRPr="00795698">
        <w:rPr>
          <w:rFonts w:ascii="Garamond" w:hAnsi="Garamond"/>
          <w:lang w:eastAsia="x-none"/>
        </w:rPr>
        <w:t>Një nga ligjet me karakter administrativ në bazë të së cilit funksionon dhe ushtron detyrat DPPPP është</w:t>
      </w:r>
      <w:r w:rsidR="007C064A" w:rsidRPr="00795698">
        <w:rPr>
          <w:rFonts w:ascii="Garamond" w:hAnsi="Garamond"/>
          <w:lang w:eastAsia="x-none"/>
        </w:rPr>
        <w:t xml:space="preserve"> </w:t>
      </w:r>
      <w:r w:rsidR="00075100" w:rsidRPr="00795698">
        <w:rPr>
          <w:rFonts w:ascii="Garamond" w:hAnsi="Garamond"/>
          <w:lang w:eastAsia="x-none"/>
        </w:rPr>
        <w:t>l</w:t>
      </w:r>
      <w:r w:rsidRPr="00795698">
        <w:rPr>
          <w:rFonts w:ascii="Garamond" w:hAnsi="Garamond"/>
          <w:lang w:eastAsia="x-none"/>
        </w:rPr>
        <w:t>igji nr. 157/2013</w:t>
      </w:r>
      <w:r w:rsidR="00075100" w:rsidRPr="00795698">
        <w:rPr>
          <w:rFonts w:ascii="Garamond" w:hAnsi="Garamond"/>
          <w:lang w:eastAsia="x-none"/>
        </w:rPr>
        <w:t>,</w:t>
      </w:r>
      <w:r w:rsidRPr="00795698">
        <w:rPr>
          <w:rFonts w:ascii="Garamond" w:hAnsi="Garamond"/>
          <w:lang w:eastAsia="x-none"/>
        </w:rPr>
        <w:t xml:space="preserve"> “</w:t>
      </w:r>
      <w:r w:rsidRPr="00795698">
        <w:rPr>
          <w:rFonts w:ascii="Garamond" w:hAnsi="Garamond"/>
          <w:i/>
          <w:lang w:eastAsia="x-none"/>
        </w:rPr>
        <w:t>Për masat kundër financimit të terrorizmit</w:t>
      </w:r>
      <w:r w:rsidRPr="00795698">
        <w:rPr>
          <w:rFonts w:ascii="Garamond" w:hAnsi="Garamond"/>
          <w:lang w:eastAsia="x-none"/>
        </w:rPr>
        <w:t xml:space="preserve">”, i cili ka si objektiv kryesor </w:t>
      </w:r>
      <w:r w:rsidRPr="00795698">
        <w:rPr>
          <w:rFonts w:ascii="Garamond" w:hAnsi="Garamond"/>
          <w:spacing w:val="-1"/>
          <w:lang w:eastAsia="x-none"/>
        </w:rPr>
        <w:t xml:space="preserve">bllokimin dhe sekuestrimin e fondeve/pasurive, nëpërmjet </w:t>
      </w:r>
      <w:r w:rsidRPr="00795698">
        <w:rPr>
          <w:rFonts w:ascii="Garamond" w:hAnsi="Garamond"/>
          <w:spacing w:val="-2"/>
          <w:lang w:eastAsia="x-none"/>
        </w:rPr>
        <w:t xml:space="preserve">parandalimit </w:t>
      </w:r>
      <w:r w:rsidRPr="00795698">
        <w:rPr>
          <w:rFonts w:ascii="Garamond" w:hAnsi="Garamond"/>
          <w:spacing w:val="-1"/>
          <w:lang w:eastAsia="x-none"/>
        </w:rPr>
        <w:t xml:space="preserve">dhe goditjes së veprimtarive të terroristëve dhe e atyre që </w:t>
      </w:r>
      <w:r w:rsidRPr="00795698">
        <w:rPr>
          <w:rFonts w:ascii="Garamond" w:hAnsi="Garamond"/>
          <w:spacing w:val="-2"/>
          <w:lang w:eastAsia="x-none"/>
        </w:rPr>
        <w:t xml:space="preserve">mbështesin dhe financojnë terrorizmin apo të atyre, për të cilët ka dyshime që kanë kryer, po </w:t>
      </w:r>
      <w:r w:rsidRPr="00795698">
        <w:rPr>
          <w:rFonts w:ascii="Garamond" w:hAnsi="Garamond"/>
          <w:spacing w:val="-1"/>
          <w:lang w:eastAsia="x-none"/>
        </w:rPr>
        <w:t xml:space="preserve">kryejnë ose kanë qëllim/tentojnë të kryejnë veprimtari të tillë. </w:t>
      </w:r>
    </w:p>
    <w:p w14:paraId="5FEEF800" w14:textId="77777777" w:rsidR="00893E99" w:rsidRPr="00795698" w:rsidRDefault="00893E99" w:rsidP="00893E99">
      <w:pPr>
        <w:ind w:firstLine="284"/>
        <w:jc w:val="both"/>
        <w:rPr>
          <w:rFonts w:ascii="Garamond" w:hAnsi="Garamond"/>
          <w:spacing w:val="-1"/>
          <w:lang w:eastAsia="x-none"/>
        </w:rPr>
      </w:pPr>
      <w:r w:rsidRPr="00795698">
        <w:rPr>
          <w:rFonts w:ascii="Garamond" w:hAnsi="Garamond"/>
          <w:spacing w:val="-1"/>
          <w:lang w:eastAsia="x-none"/>
        </w:rPr>
        <w:t>Për të kryer këtë detyrim, në ligj parashikohen dy mënyra listimi (nenet 14 dhe 15) sipas të cilave, në mënyrë të shkurtuar:</w:t>
      </w:r>
    </w:p>
    <w:p w14:paraId="5FEEF801" w14:textId="219C46AC" w:rsidR="00893E99" w:rsidRPr="00795698" w:rsidRDefault="002D5979" w:rsidP="002D5979">
      <w:pPr>
        <w:pStyle w:val="TEKSTIIIII"/>
        <w:rPr>
          <w:lang w:val="sq-AL"/>
        </w:rPr>
      </w:pPr>
      <w:r w:rsidRPr="00795698">
        <w:rPr>
          <w:lang w:val="sq-AL"/>
        </w:rPr>
        <w:t>-</w:t>
      </w:r>
      <w:r w:rsidR="00075100" w:rsidRPr="00795698">
        <w:rPr>
          <w:lang w:val="sq-AL"/>
        </w:rPr>
        <w:t xml:space="preserve"> </w:t>
      </w:r>
      <w:r w:rsidR="00893E99" w:rsidRPr="00795698">
        <w:rPr>
          <w:lang w:val="sq-AL"/>
        </w:rPr>
        <w:t>e para, ka lidhje me miratimin me VKM të listave të personave të shpallur bazuar në vendimet/rezolutat detyruese të Këshillit të Sigurimit të Kombeve të Bashkuara, proces i cili tashmë kryhet në vendin tonë.</w:t>
      </w:r>
    </w:p>
    <w:p w14:paraId="5FEEF802" w14:textId="27489FAE" w:rsidR="00893E99" w:rsidRPr="00795698" w:rsidRDefault="002D5979" w:rsidP="002D5979">
      <w:pPr>
        <w:pStyle w:val="TEKSTIIIII"/>
        <w:rPr>
          <w:lang w:val="sq-AL"/>
        </w:rPr>
      </w:pPr>
      <w:r w:rsidRPr="00795698">
        <w:rPr>
          <w:lang w:val="sq-AL"/>
        </w:rPr>
        <w:t>-</w:t>
      </w:r>
      <w:r w:rsidR="00075100" w:rsidRPr="00795698">
        <w:rPr>
          <w:lang w:val="sq-AL"/>
        </w:rPr>
        <w:t xml:space="preserve"> </w:t>
      </w:r>
      <w:r w:rsidR="00893E99" w:rsidRPr="00795698">
        <w:rPr>
          <w:lang w:val="sq-AL"/>
        </w:rPr>
        <w:t xml:space="preserve">e dyta, ka lidhje me procedurën e brendshme të shpalljes, e pavarur nga e para, sipas </w:t>
      </w:r>
      <w:r w:rsidR="00CA234B" w:rsidRPr="00795698">
        <w:rPr>
          <w:lang w:val="sq-AL"/>
        </w:rPr>
        <w:t>s</w:t>
      </w:r>
      <w:r w:rsidR="00893E99" w:rsidRPr="00795698">
        <w:rPr>
          <w:lang w:val="sq-AL"/>
        </w:rPr>
        <w:t>ë cilës listimi bëhet me indic</w:t>
      </w:r>
      <w:r w:rsidR="00DE5583" w:rsidRPr="00795698">
        <w:rPr>
          <w:lang w:val="sq-AL"/>
        </w:rPr>
        <w:t>i</w:t>
      </w:r>
      <w:r w:rsidR="00893E99" w:rsidRPr="00795698">
        <w:rPr>
          <w:lang w:val="sq-AL"/>
        </w:rPr>
        <w:t>e të brendshme nga institucione të mirë përcaktuara</w:t>
      </w:r>
      <w:r w:rsidR="00893E99" w:rsidRPr="00795698">
        <w:rPr>
          <w:vertAlign w:val="superscript"/>
          <w:lang w:val="sq-AL"/>
        </w:rPr>
        <w:footnoteReference w:id="5"/>
      </w:r>
      <w:r w:rsidR="00893E99" w:rsidRPr="00795698">
        <w:rPr>
          <w:lang w:val="sq-AL"/>
        </w:rPr>
        <w:t>, bazuar në parimet dhe/ose detyrimet:</w:t>
      </w:r>
    </w:p>
    <w:p w14:paraId="5FEEF803" w14:textId="7545E938" w:rsidR="00893E99" w:rsidRPr="00795698" w:rsidRDefault="002D5979" w:rsidP="002D5979">
      <w:pPr>
        <w:pStyle w:val="TEKSTIIIII"/>
        <w:rPr>
          <w:lang w:val="sq-AL"/>
        </w:rPr>
      </w:pPr>
      <w:r w:rsidRPr="00795698">
        <w:rPr>
          <w:lang w:val="sq-AL"/>
        </w:rPr>
        <w:lastRenderedPageBreak/>
        <w:t xml:space="preserve">- </w:t>
      </w:r>
      <w:r w:rsidR="00893E99" w:rsidRPr="00795698">
        <w:rPr>
          <w:lang w:val="sq-AL"/>
        </w:rPr>
        <w:t xml:space="preserve">e </w:t>
      </w:r>
      <w:r w:rsidR="00075100" w:rsidRPr="00795698">
        <w:rPr>
          <w:lang w:val="sq-AL"/>
        </w:rPr>
        <w:t>r</w:t>
      </w:r>
      <w:r w:rsidR="00893E99" w:rsidRPr="00795698">
        <w:rPr>
          <w:lang w:val="sq-AL"/>
        </w:rPr>
        <w:t>ezolutës 1373 (2001)</w:t>
      </w:r>
      <w:r w:rsidR="00893E99" w:rsidRPr="00795698">
        <w:rPr>
          <w:vertAlign w:val="superscript"/>
          <w:lang w:val="sq-AL"/>
        </w:rPr>
        <w:footnoteReference w:id="6"/>
      </w:r>
      <w:r w:rsidR="00893E99" w:rsidRPr="00795698">
        <w:rPr>
          <w:lang w:val="sq-AL"/>
        </w:rPr>
        <w:t xml:space="preserve"> të Këshillit të Sigurimit (KS) të Kombeve të Bashkuara, </w:t>
      </w:r>
    </w:p>
    <w:p w14:paraId="5FEEF804" w14:textId="245DABFE" w:rsidR="00893E99" w:rsidRPr="00795698" w:rsidRDefault="002D5979" w:rsidP="002D5979">
      <w:pPr>
        <w:pStyle w:val="TEKSTIIIII"/>
        <w:rPr>
          <w:lang w:val="sq-AL"/>
        </w:rPr>
      </w:pPr>
      <w:r w:rsidRPr="00795698">
        <w:rPr>
          <w:lang w:val="sq-AL"/>
        </w:rPr>
        <w:t xml:space="preserve">- </w:t>
      </w:r>
      <w:r w:rsidR="00893E99" w:rsidRPr="00795698">
        <w:rPr>
          <w:lang w:val="sq-AL"/>
        </w:rPr>
        <w:t>të çdo marrëveshjeje ndërkombëtare, ku Shqipëria është palë</w:t>
      </w:r>
      <w:r w:rsidR="007C064A" w:rsidRPr="00795698">
        <w:rPr>
          <w:lang w:val="sq-AL"/>
        </w:rPr>
        <w:t xml:space="preserve"> </w:t>
      </w:r>
      <w:r w:rsidR="00893E99" w:rsidRPr="00795698">
        <w:rPr>
          <w:lang w:val="sq-AL"/>
        </w:rPr>
        <w:t>apo të vendimeve të BE</w:t>
      </w:r>
      <w:r w:rsidR="00075100" w:rsidRPr="00795698">
        <w:rPr>
          <w:lang w:val="sq-AL"/>
        </w:rPr>
        <w:t>-së</w:t>
      </w:r>
      <w:r w:rsidR="00893E99" w:rsidRPr="00795698">
        <w:rPr>
          <w:lang w:val="sq-AL"/>
        </w:rPr>
        <w:t xml:space="preserve"> apo</w:t>
      </w:r>
      <w:r w:rsidR="007C064A" w:rsidRPr="00795698">
        <w:rPr>
          <w:lang w:val="sq-AL"/>
        </w:rPr>
        <w:t xml:space="preserve"> </w:t>
      </w:r>
      <w:r w:rsidR="00893E99" w:rsidRPr="00795698">
        <w:rPr>
          <w:lang w:val="sq-AL"/>
        </w:rPr>
        <w:t>vendimit të një shteti tjetër, që lidhen me luftën kundër terrorizmit</w:t>
      </w:r>
      <w:r w:rsidR="00893E99" w:rsidRPr="00795698">
        <w:rPr>
          <w:spacing w:val="-2"/>
          <w:lang w:val="sq-AL"/>
        </w:rPr>
        <w:t xml:space="preserve"> dhe financimit të tij.</w:t>
      </w:r>
    </w:p>
    <w:p w14:paraId="5FEEF805" w14:textId="51B51EEC" w:rsidR="00893E99" w:rsidRPr="00795698" w:rsidRDefault="00893E99" w:rsidP="00893E99">
      <w:pPr>
        <w:ind w:firstLine="284"/>
        <w:jc w:val="both"/>
        <w:rPr>
          <w:rFonts w:ascii="Garamond" w:hAnsi="Garamond"/>
          <w:spacing w:val="-2"/>
          <w:lang w:eastAsia="x-none"/>
        </w:rPr>
      </w:pPr>
      <w:r w:rsidRPr="00795698">
        <w:rPr>
          <w:rFonts w:ascii="Garamond" w:hAnsi="Garamond"/>
          <w:spacing w:val="-2"/>
          <w:lang w:eastAsia="x-none"/>
        </w:rPr>
        <w:t>Procedura e dytë, pra shpallja e brendshme, e cila nuk ka lidhje me të parën, është thelbi i sistemit parandalues pasi parashikon detektimin proaktiv, shpalljen dhe njoftimin e KS të OKB</w:t>
      </w:r>
      <w:r w:rsidR="00075100" w:rsidRPr="00795698">
        <w:t>-së</w:t>
      </w:r>
      <w:r w:rsidRPr="00795698">
        <w:rPr>
          <w:rFonts w:ascii="Garamond" w:hAnsi="Garamond"/>
          <w:spacing w:val="-2"/>
          <w:lang w:eastAsia="x-none"/>
        </w:rPr>
        <w:t xml:space="preserve"> dhe </w:t>
      </w:r>
      <w:r w:rsidRPr="00795698">
        <w:rPr>
          <w:rFonts w:ascii="Garamond" w:hAnsi="Garamond"/>
          <w:spacing w:val="-1"/>
          <w:lang w:eastAsia="x-none"/>
        </w:rPr>
        <w:t>është e pa ndikuar nga procedimi i mundshëm penal apo pasuror</w:t>
      </w:r>
      <w:r w:rsidRPr="00795698">
        <w:rPr>
          <w:rFonts w:ascii="Garamond" w:hAnsi="Garamond"/>
          <w:spacing w:val="-1"/>
          <w:vertAlign w:val="superscript"/>
          <w:lang w:eastAsia="x-none"/>
        </w:rPr>
        <w:footnoteReference w:id="7"/>
      </w:r>
      <w:r w:rsidRPr="00795698">
        <w:rPr>
          <w:rFonts w:ascii="Garamond" w:hAnsi="Garamond"/>
          <w:spacing w:val="-1"/>
          <w:lang w:eastAsia="x-none"/>
        </w:rPr>
        <w:t>.</w:t>
      </w:r>
    </w:p>
    <w:p w14:paraId="5FEEF806" w14:textId="01BFF0D2" w:rsidR="00893E99" w:rsidRPr="00795698" w:rsidRDefault="00893E99" w:rsidP="00893E99">
      <w:pPr>
        <w:ind w:firstLine="284"/>
        <w:jc w:val="both"/>
        <w:rPr>
          <w:rFonts w:ascii="Garamond" w:hAnsi="Garamond"/>
          <w:spacing w:val="-2"/>
          <w:lang w:eastAsia="x-none"/>
        </w:rPr>
      </w:pPr>
      <w:r w:rsidRPr="00795698">
        <w:rPr>
          <w:rFonts w:ascii="Garamond" w:hAnsi="Garamond"/>
          <w:spacing w:val="-2"/>
          <w:lang w:eastAsia="x-none"/>
        </w:rPr>
        <w:t xml:space="preserve">Gjatë viteve </w:t>
      </w:r>
      <w:r w:rsidR="00623407" w:rsidRPr="00795698">
        <w:rPr>
          <w:rFonts w:ascii="Garamond" w:hAnsi="Garamond"/>
          <w:spacing w:val="-2"/>
          <w:lang w:eastAsia="x-none"/>
        </w:rPr>
        <w:t>2015–</w:t>
      </w:r>
      <w:r w:rsidRPr="00795698">
        <w:rPr>
          <w:rFonts w:ascii="Garamond" w:hAnsi="Garamond"/>
          <w:spacing w:val="-2"/>
          <w:lang w:eastAsia="x-none"/>
        </w:rPr>
        <w:t xml:space="preserve">2018, në </w:t>
      </w:r>
      <w:r w:rsidRPr="00795698">
        <w:rPr>
          <w:rFonts w:ascii="Garamond" w:hAnsi="Garamond"/>
          <w:lang w:eastAsia="x-none"/>
        </w:rPr>
        <w:t xml:space="preserve">zbatimin e detyrimit për propozim për listim sipas procedurës së brendshëm </w:t>
      </w:r>
      <w:r w:rsidRPr="00795698">
        <w:rPr>
          <w:rFonts w:ascii="Garamond" w:hAnsi="Garamond"/>
          <w:spacing w:val="-2"/>
          <w:lang w:eastAsia="x-none"/>
        </w:rPr>
        <w:t>janë listuar si persona të shpallur 20 individë.</w:t>
      </w:r>
      <w:r w:rsidRPr="00795698">
        <w:rPr>
          <w:rFonts w:ascii="Garamond" w:hAnsi="Garamond"/>
        </w:rPr>
        <w:t xml:space="preserve"> </w:t>
      </w:r>
      <w:r w:rsidRPr="00795698">
        <w:rPr>
          <w:rFonts w:ascii="Garamond" w:hAnsi="Garamond"/>
          <w:spacing w:val="-2"/>
          <w:lang w:eastAsia="x-none"/>
        </w:rPr>
        <w:t>Nga viti 2018 e në vijim</w:t>
      </w:r>
      <w:r w:rsidR="007C064A" w:rsidRPr="00795698">
        <w:rPr>
          <w:rFonts w:ascii="Garamond" w:hAnsi="Garamond"/>
          <w:spacing w:val="-2"/>
          <w:lang w:eastAsia="x-none"/>
        </w:rPr>
        <w:t xml:space="preserve"> </w:t>
      </w:r>
      <w:r w:rsidRPr="00795698">
        <w:rPr>
          <w:rFonts w:ascii="Garamond" w:hAnsi="Garamond"/>
          <w:spacing w:val="-2"/>
          <w:lang w:eastAsia="x-none"/>
        </w:rPr>
        <w:t>nuk rezultojnë që nëpërmjet kësaj procedure të jenë shpall</w:t>
      </w:r>
      <w:r w:rsidR="00DE5583" w:rsidRPr="00795698">
        <w:rPr>
          <w:rFonts w:ascii="Garamond" w:hAnsi="Garamond"/>
          <w:spacing w:val="-2"/>
          <w:lang w:eastAsia="x-none"/>
        </w:rPr>
        <w:t>u</w:t>
      </w:r>
      <w:r w:rsidRPr="00795698">
        <w:rPr>
          <w:rFonts w:ascii="Garamond" w:hAnsi="Garamond"/>
          <w:spacing w:val="-2"/>
          <w:lang w:eastAsia="x-none"/>
        </w:rPr>
        <w:t>r subjekte të tjera.</w:t>
      </w:r>
    </w:p>
    <w:p w14:paraId="5FEEF807" w14:textId="77777777" w:rsidR="00893E99" w:rsidRPr="00795698" w:rsidRDefault="00893E99" w:rsidP="00893E99">
      <w:pPr>
        <w:ind w:firstLine="284"/>
        <w:jc w:val="both"/>
        <w:rPr>
          <w:rFonts w:ascii="Garamond" w:hAnsi="Garamond"/>
          <w:spacing w:val="-2"/>
          <w:lang w:eastAsia="x-none"/>
        </w:rPr>
      </w:pPr>
    </w:p>
    <w:p w14:paraId="5FEEF809" w14:textId="3CB60FC9" w:rsidR="00893E99" w:rsidRPr="00795698" w:rsidRDefault="00893E99" w:rsidP="00893E99">
      <w:pPr>
        <w:ind w:firstLine="284"/>
        <w:jc w:val="both"/>
        <w:rPr>
          <w:rFonts w:ascii="Garamond" w:hAnsi="Garamond"/>
          <w:i/>
          <w:spacing w:val="-2"/>
        </w:rPr>
      </w:pPr>
      <w:r w:rsidRPr="00795698">
        <w:rPr>
          <w:rFonts w:ascii="Garamond" w:hAnsi="Garamond"/>
          <w:i/>
        </w:rPr>
        <w:t>Tab. 17:</w:t>
      </w:r>
      <w:r w:rsidRPr="00795698">
        <w:rPr>
          <w:rFonts w:ascii="Garamond" w:hAnsi="Garamond"/>
          <w:b/>
          <w:i/>
        </w:rPr>
        <w:t xml:space="preserve"> </w:t>
      </w:r>
      <w:r w:rsidRPr="00795698">
        <w:rPr>
          <w:rFonts w:ascii="Garamond" w:hAnsi="Garamond"/>
          <w:i/>
        </w:rPr>
        <w:t xml:space="preserve">Lista </w:t>
      </w:r>
      <w:r w:rsidRPr="00795698">
        <w:rPr>
          <w:rFonts w:ascii="Garamond" w:hAnsi="Garamond"/>
          <w:i/>
          <w:spacing w:val="-2"/>
        </w:rPr>
        <w:t>me personat e shpallur</w:t>
      </w:r>
    </w:p>
    <w:tbl>
      <w:tblPr>
        <w:tblW w:w="0" w:type="auto"/>
        <w:jc w:val="cente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1998"/>
        <w:gridCol w:w="1980"/>
        <w:gridCol w:w="1890"/>
        <w:gridCol w:w="1148"/>
      </w:tblGrid>
      <w:tr w:rsidR="00893E99" w:rsidRPr="00795698" w14:paraId="5FEEF80E" w14:textId="77777777" w:rsidTr="00DE5583">
        <w:trPr>
          <w:trHeight w:val="46"/>
          <w:jc w:val="center"/>
        </w:trPr>
        <w:tc>
          <w:tcPr>
            <w:tcW w:w="1998" w:type="dxa"/>
            <w:tcBorders>
              <w:top w:val="single" w:sz="8" w:space="0" w:color="F79646"/>
              <w:left w:val="single" w:sz="8" w:space="0" w:color="F79646"/>
              <w:bottom w:val="single" w:sz="18" w:space="0" w:color="F79646"/>
              <w:right w:val="single" w:sz="8" w:space="0" w:color="F79646"/>
            </w:tcBorders>
            <w:shd w:val="clear" w:color="auto" w:fill="auto"/>
          </w:tcPr>
          <w:p w14:paraId="5FEEF80A" w14:textId="77777777" w:rsidR="00893E99" w:rsidRPr="00795698" w:rsidRDefault="00893E99" w:rsidP="002D5979">
            <w:pPr>
              <w:jc w:val="both"/>
              <w:rPr>
                <w:rFonts w:ascii="Garamond" w:hAnsi="Garamond"/>
                <w:b/>
                <w:bCs/>
                <w:i/>
                <w:spacing w:val="-2"/>
                <w:sz w:val="20"/>
                <w:lang w:eastAsia="x-none"/>
              </w:rPr>
            </w:pPr>
            <w:r w:rsidRPr="00795698">
              <w:rPr>
                <w:rFonts w:ascii="Garamond" w:hAnsi="Garamond"/>
                <w:b/>
                <w:bCs/>
                <w:i/>
                <w:spacing w:val="-2"/>
                <w:sz w:val="20"/>
                <w:lang w:eastAsia="x-none"/>
              </w:rPr>
              <w:t>Viti 2015</w:t>
            </w:r>
            <w:r w:rsidRPr="00795698">
              <w:rPr>
                <w:rFonts w:ascii="Garamond" w:hAnsi="Garamond"/>
                <w:b/>
                <w:bCs/>
                <w:i/>
                <w:spacing w:val="-2"/>
                <w:sz w:val="20"/>
                <w:vertAlign w:val="superscript"/>
                <w:lang w:eastAsia="x-none"/>
              </w:rPr>
              <w:footnoteReference w:id="8"/>
            </w:r>
          </w:p>
        </w:tc>
        <w:tc>
          <w:tcPr>
            <w:tcW w:w="1980" w:type="dxa"/>
            <w:tcBorders>
              <w:top w:val="single" w:sz="8" w:space="0" w:color="F79646"/>
              <w:left w:val="single" w:sz="8" w:space="0" w:color="F79646"/>
              <w:bottom w:val="single" w:sz="18" w:space="0" w:color="F79646"/>
              <w:right w:val="single" w:sz="8" w:space="0" w:color="F79646"/>
            </w:tcBorders>
            <w:shd w:val="clear" w:color="auto" w:fill="auto"/>
          </w:tcPr>
          <w:p w14:paraId="5FEEF80B" w14:textId="77777777" w:rsidR="00893E99" w:rsidRPr="00795698" w:rsidRDefault="00893E99" w:rsidP="002D5979">
            <w:pPr>
              <w:jc w:val="both"/>
              <w:rPr>
                <w:rFonts w:ascii="Garamond" w:hAnsi="Garamond"/>
                <w:b/>
                <w:bCs/>
                <w:i/>
                <w:spacing w:val="-2"/>
                <w:sz w:val="20"/>
                <w:lang w:eastAsia="x-none"/>
              </w:rPr>
            </w:pPr>
            <w:r w:rsidRPr="00795698">
              <w:rPr>
                <w:rFonts w:ascii="Garamond" w:hAnsi="Garamond"/>
                <w:b/>
                <w:bCs/>
                <w:i/>
                <w:spacing w:val="-2"/>
                <w:sz w:val="20"/>
                <w:lang w:eastAsia="x-none"/>
              </w:rPr>
              <w:t>Viti 2016</w:t>
            </w:r>
            <w:r w:rsidRPr="00795698">
              <w:rPr>
                <w:rFonts w:ascii="Garamond" w:hAnsi="Garamond"/>
                <w:b/>
                <w:bCs/>
                <w:i/>
                <w:spacing w:val="-2"/>
                <w:sz w:val="20"/>
                <w:vertAlign w:val="superscript"/>
                <w:lang w:eastAsia="x-none"/>
              </w:rPr>
              <w:footnoteReference w:id="9"/>
            </w:r>
          </w:p>
        </w:tc>
        <w:tc>
          <w:tcPr>
            <w:tcW w:w="1890" w:type="dxa"/>
            <w:tcBorders>
              <w:top w:val="single" w:sz="8" w:space="0" w:color="F79646"/>
              <w:left w:val="single" w:sz="8" w:space="0" w:color="F79646"/>
              <w:bottom w:val="single" w:sz="18" w:space="0" w:color="F79646"/>
              <w:right w:val="single" w:sz="8" w:space="0" w:color="F79646"/>
            </w:tcBorders>
            <w:shd w:val="clear" w:color="auto" w:fill="auto"/>
          </w:tcPr>
          <w:p w14:paraId="5FEEF80C" w14:textId="77777777" w:rsidR="00893E99" w:rsidRPr="00795698" w:rsidRDefault="00893E99" w:rsidP="002D5979">
            <w:pPr>
              <w:jc w:val="both"/>
              <w:rPr>
                <w:rFonts w:ascii="Garamond" w:hAnsi="Garamond"/>
                <w:b/>
                <w:bCs/>
                <w:i/>
                <w:spacing w:val="-2"/>
                <w:sz w:val="20"/>
                <w:lang w:eastAsia="x-none"/>
              </w:rPr>
            </w:pPr>
            <w:r w:rsidRPr="00795698">
              <w:rPr>
                <w:rFonts w:ascii="Garamond" w:hAnsi="Garamond"/>
                <w:b/>
                <w:bCs/>
                <w:i/>
                <w:spacing w:val="-2"/>
                <w:sz w:val="20"/>
                <w:lang w:eastAsia="x-none"/>
              </w:rPr>
              <w:t>Viti 2017</w:t>
            </w:r>
            <w:r w:rsidRPr="00795698">
              <w:rPr>
                <w:rFonts w:ascii="Garamond" w:hAnsi="Garamond"/>
                <w:b/>
                <w:bCs/>
                <w:i/>
                <w:spacing w:val="-2"/>
                <w:sz w:val="20"/>
                <w:vertAlign w:val="superscript"/>
                <w:lang w:eastAsia="x-none"/>
              </w:rPr>
              <w:footnoteReference w:id="10"/>
            </w:r>
          </w:p>
        </w:tc>
        <w:tc>
          <w:tcPr>
            <w:tcW w:w="1148" w:type="dxa"/>
            <w:tcBorders>
              <w:top w:val="single" w:sz="8" w:space="0" w:color="F79646"/>
              <w:left w:val="single" w:sz="8" w:space="0" w:color="F79646"/>
              <w:bottom w:val="single" w:sz="18" w:space="0" w:color="F79646"/>
              <w:right w:val="single" w:sz="8" w:space="0" w:color="F79646"/>
            </w:tcBorders>
            <w:shd w:val="clear" w:color="auto" w:fill="auto"/>
          </w:tcPr>
          <w:p w14:paraId="5FEEF80D" w14:textId="77777777" w:rsidR="00893E99" w:rsidRPr="00795698" w:rsidRDefault="00893E99" w:rsidP="002D5979">
            <w:pPr>
              <w:jc w:val="both"/>
              <w:rPr>
                <w:rFonts w:ascii="Garamond" w:hAnsi="Garamond"/>
                <w:b/>
                <w:bCs/>
                <w:i/>
                <w:spacing w:val="-2"/>
                <w:sz w:val="20"/>
                <w:lang w:eastAsia="x-none"/>
              </w:rPr>
            </w:pPr>
            <w:r w:rsidRPr="00795698">
              <w:rPr>
                <w:rFonts w:ascii="Garamond" w:hAnsi="Garamond"/>
                <w:b/>
                <w:bCs/>
                <w:i/>
                <w:spacing w:val="-2"/>
                <w:sz w:val="20"/>
                <w:lang w:eastAsia="x-none"/>
              </w:rPr>
              <w:t>Viti 2018</w:t>
            </w:r>
          </w:p>
        </w:tc>
      </w:tr>
      <w:tr w:rsidR="00893E99" w:rsidRPr="00795698" w14:paraId="5FEEF813" w14:textId="77777777" w:rsidTr="002D5979">
        <w:trPr>
          <w:trHeight w:val="234"/>
          <w:jc w:val="center"/>
        </w:trPr>
        <w:tc>
          <w:tcPr>
            <w:tcW w:w="1998" w:type="dxa"/>
            <w:tcBorders>
              <w:top w:val="single" w:sz="8" w:space="0" w:color="F79646"/>
              <w:left w:val="single" w:sz="8" w:space="0" w:color="F79646"/>
              <w:bottom w:val="single" w:sz="8" w:space="0" w:color="F79646"/>
              <w:right w:val="single" w:sz="8" w:space="0" w:color="F79646"/>
            </w:tcBorders>
            <w:shd w:val="clear" w:color="auto" w:fill="FDE4D0"/>
          </w:tcPr>
          <w:p w14:paraId="5FEEF80F" w14:textId="77777777" w:rsidR="00893E99" w:rsidRPr="00795698" w:rsidRDefault="00893E99" w:rsidP="002D5979">
            <w:pPr>
              <w:jc w:val="both"/>
              <w:rPr>
                <w:rFonts w:ascii="Garamond" w:hAnsi="Garamond"/>
                <w:bCs/>
                <w:spacing w:val="-2"/>
                <w:sz w:val="20"/>
                <w:lang w:eastAsia="x-none"/>
              </w:rPr>
            </w:pPr>
            <w:r w:rsidRPr="00795698">
              <w:rPr>
                <w:rFonts w:ascii="Garamond" w:hAnsi="Garamond"/>
                <w:bCs/>
                <w:spacing w:val="-2"/>
                <w:sz w:val="20"/>
                <w:lang w:eastAsia="x-none"/>
              </w:rPr>
              <w:t>2 individë të shpallur</w:t>
            </w:r>
          </w:p>
        </w:tc>
        <w:tc>
          <w:tcPr>
            <w:tcW w:w="1980" w:type="dxa"/>
            <w:tcBorders>
              <w:top w:val="single" w:sz="8" w:space="0" w:color="F79646"/>
              <w:left w:val="single" w:sz="8" w:space="0" w:color="F79646"/>
              <w:bottom w:val="single" w:sz="8" w:space="0" w:color="F79646"/>
              <w:right w:val="single" w:sz="8" w:space="0" w:color="F79646"/>
            </w:tcBorders>
            <w:shd w:val="clear" w:color="auto" w:fill="FDE4D0"/>
          </w:tcPr>
          <w:p w14:paraId="5FEEF810" w14:textId="77777777" w:rsidR="00893E99" w:rsidRPr="00795698" w:rsidRDefault="00893E99" w:rsidP="002D5979">
            <w:pPr>
              <w:jc w:val="both"/>
              <w:rPr>
                <w:rFonts w:ascii="Garamond" w:hAnsi="Garamond"/>
                <w:spacing w:val="-2"/>
                <w:sz w:val="20"/>
                <w:lang w:eastAsia="x-none"/>
              </w:rPr>
            </w:pPr>
            <w:r w:rsidRPr="00795698">
              <w:rPr>
                <w:rFonts w:ascii="Garamond" w:hAnsi="Garamond"/>
                <w:spacing w:val="-2"/>
                <w:sz w:val="20"/>
                <w:lang w:eastAsia="x-none"/>
              </w:rPr>
              <w:t>13 individë të shpallur</w:t>
            </w:r>
          </w:p>
        </w:tc>
        <w:tc>
          <w:tcPr>
            <w:tcW w:w="1890" w:type="dxa"/>
            <w:tcBorders>
              <w:top w:val="single" w:sz="8" w:space="0" w:color="F79646"/>
              <w:left w:val="single" w:sz="8" w:space="0" w:color="F79646"/>
              <w:bottom w:val="single" w:sz="8" w:space="0" w:color="F79646"/>
              <w:right w:val="single" w:sz="8" w:space="0" w:color="F79646"/>
            </w:tcBorders>
            <w:shd w:val="clear" w:color="auto" w:fill="FDE4D0"/>
          </w:tcPr>
          <w:p w14:paraId="5FEEF811" w14:textId="77777777" w:rsidR="00893E99" w:rsidRPr="00795698" w:rsidRDefault="00893E99" w:rsidP="002D5979">
            <w:pPr>
              <w:jc w:val="both"/>
              <w:rPr>
                <w:rFonts w:ascii="Garamond" w:hAnsi="Garamond"/>
                <w:spacing w:val="-2"/>
                <w:sz w:val="20"/>
                <w:lang w:eastAsia="x-none"/>
              </w:rPr>
            </w:pPr>
            <w:r w:rsidRPr="00795698">
              <w:rPr>
                <w:rFonts w:ascii="Garamond" w:hAnsi="Garamond"/>
                <w:spacing w:val="-2"/>
                <w:sz w:val="20"/>
                <w:lang w:eastAsia="x-none"/>
              </w:rPr>
              <w:t>5 individë të shpallur</w:t>
            </w:r>
          </w:p>
        </w:tc>
        <w:tc>
          <w:tcPr>
            <w:tcW w:w="1148" w:type="dxa"/>
            <w:tcBorders>
              <w:top w:val="single" w:sz="8" w:space="0" w:color="F79646"/>
              <w:left w:val="single" w:sz="8" w:space="0" w:color="F79646"/>
              <w:bottom w:val="single" w:sz="8" w:space="0" w:color="F79646"/>
              <w:right w:val="single" w:sz="8" w:space="0" w:color="F79646"/>
            </w:tcBorders>
            <w:shd w:val="clear" w:color="auto" w:fill="FDE4D0"/>
          </w:tcPr>
          <w:p w14:paraId="5FEEF812" w14:textId="77777777" w:rsidR="00893E99" w:rsidRPr="00795698" w:rsidRDefault="00893E99" w:rsidP="002D5979">
            <w:pPr>
              <w:jc w:val="both"/>
              <w:rPr>
                <w:rFonts w:ascii="Garamond" w:hAnsi="Garamond"/>
                <w:spacing w:val="-2"/>
                <w:sz w:val="20"/>
                <w:lang w:eastAsia="x-none"/>
              </w:rPr>
            </w:pPr>
            <w:r w:rsidRPr="00795698">
              <w:rPr>
                <w:rFonts w:ascii="Garamond" w:hAnsi="Garamond"/>
                <w:spacing w:val="-2"/>
                <w:sz w:val="20"/>
                <w:lang w:eastAsia="x-none"/>
              </w:rPr>
              <w:t>-</w:t>
            </w:r>
          </w:p>
        </w:tc>
      </w:tr>
    </w:tbl>
    <w:p w14:paraId="5FEEF814" w14:textId="77777777" w:rsidR="00893E99" w:rsidRPr="00795698" w:rsidRDefault="00893E99" w:rsidP="00893E99">
      <w:pPr>
        <w:ind w:firstLine="284"/>
        <w:jc w:val="both"/>
        <w:rPr>
          <w:rFonts w:ascii="Garamond" w:hAnsi="Garamond"/>
          <w:spacing w:val="-2"/>
          <w:lang w:eastAsia="x-none"/>
        </w:rPr>
      </w:pPr>
    </w:p>
    <w:p w14:paraId="5FEEF815" w14:textId="67BF3567" w:rsidR="00893E99" w:rsidRPr="00795698" w:rsidRDefault="00893E99" w:rsidP="00893E99">
      <w:pPr>
        <w:ind w:firstLine="284"/>
        <w:jc w:val="both"/>
        <w:rPr>
          <w:rFonts w:ascii="Garamond" w:hAnsi="Garamond"/>
          <w:spacing w:val="-2"/>
          <w:lang w:eastAsia="x-none"/>
        </w:rPr>
      </w:pPr>
      <w:r w:rsidRPr="00795698">
        <w:rPr>
          <w:rFonts w:ascii="Garamond" w:hAnsi="Garamond"/>
          <w:spacing w:val="-2"/>
          <w:lang w:eastAsia="x-none"/>
        </w:rPr>
        <w:t xml:space="preserve">Në vitet </w:t>
      </w:r>
      <w:r w:rsidR="00623407" w:rsidRPr="00795698">
        <w:rPr>
          <w:rFonts w:ascii="Garamond" w:hAnsi="Garamond"/>
          <w:spacing w:val="-2"/>
          <w:lang w:eastAsia="x-none"/>
        </w:rPr>
        <w:t>2015–</w:t>
      </w:r>
      <w:r w:rsidRPr="00795698">
        <w:rPr>
          <w:rFonts w:ascii="Garamond" w:hAnsi="Garamond"/>
          <w:spacing w:val="-2"/>
          <w:lang w:eastAsia="x-none"/>
        </w:rPr>
        <w:t xml:space="preserve">2017, nga 20 individë të shpallur, 2 individë janë përfshirë në listën e brendshme në bazë të propozimit të një institucioni të huaj dhe pjesa tjetër në bazë të propozimeve të institucioneve vendase. </w:t>
      </w:r>
    </w:p>
    <w:p w14:paraId="5FEEF816" w14:textId="77777777" w:rsidR="00893E99" w:rsidRPr="00795698" w:rsidRDefault="00893E99" w:rsidP="00893E99">
      <w:pPr>
        <w:ind w:firstLine="284"/>
        <w:jc w:val="both"/>
        <w:rPr>
          <w:rFonts w:ascii="Garamond" w:hAnsi="Garamond"/>
          <w:b/>
        </w:rPr>
      </w:pPr>
      <w:r w:rsidRPr="00795698">
        <w:rPr>
          <w:rFonts w:ascii="Garamond" w:hAnsi="Garamond"/>
          <w:b/>
        </w:rPr>
        <w:t>Raportet e Aktivitetit të Dyshimtë (RAD) për financim të terrorizmit (FT)</w:t>
      </w:r>
    </w:p>
    <w:p w14:paraId="5FEEF817" w14:textId="77777777" w:rsidR="00893E99" w:rsidRPr="00795698" w:rsidRDefault="00893E99" w:rsidP="00893E99">
      <w:pPr>
        <w:ind w:firstLine="284"/>
        <w:jc w:val="both"/>
        <w:rPr>
          <w:rFonts w:ascii="Garamond" w:hAnsi="Garamond"/>
        </w:rPr>
      </w:pPr>
      <w:r w:rsidRPr="00795698">
        <w:rPr>
          <w:rFonts w:ascii="Garamond" w:hAnsi="Garamond"/>
        </w:rPr>
        <w:t>DPPPP si njësi e inteligjencës financiare ka si detyrë thelbësorë mbledhjen e rasteve të dyshimta/sinjalizimet, analizimin e tyre, sigurimin e të dhënave shtesë kur duhen dhe referimin e këtyre rasteve në agjencitë e zbatimit të ligjit dhe në Shërbimin Informativ të Shtetit (SHISH). Më poshtë paraqiten të dhëna në lidhje me raportet e aktivitetit të dyshimte të dërguar në DPPPP nga subjektet raportuese dhe rastet e referuara.</w:t>
      </w:r>
    </w:p>
    <w:p w14:paraId="5FEEF818" w14:textId="77777777" w:rsidR="00893E99" w:rsidRPr="00795698" w:rsidRDefault="00893E99" w:rsidP="00893E99">
      <w:pPr>
        <w:ind w:firstLine="284"/>
        <w:jc w:val="both"/>
        <w:rPr>
          <w:rFonts w:ascii="Garamond" w:hAnsi="Garamond"/>
          <w:b/>
          <w:i/>
        </w:rPr>
      </w:pPr>
    </w:p>
    <w:p w14:paraId="5FEEF81A" w14:textId="1FE1C18F" w:rsidR="00893E99" w:rsidRPr="00795698" w:rsidRDefault="00893E99" w:rsidP="00893E99">
      <w:pPr>
        <w:ind w:firstLine="284"/>
        <w:jc w:val="both"/>
        <w:rPr>
          <w:rFonts w:ascii="Garamond" w:hAnsi="Garamond"/>
        </w:rPr>
      </w:pPr>
      <w:r w:rsidRPr="00795698">
        <w:rPr>
          <w:rFonts w:ascii="Garamond" w:hAnsi="Garamond"/>
          <w:i/>
        </w:rPr>
        <w:t>Tab. 18:</w:t>
      </w:r>
      <w:r w:rsidRPr="00795698">
        <w:rPr>
          <w:rFonts w:ascii="Garamond" w:hAnsi="Garamond"/>
          <w:b/>
          <w:i/>
        </w:rPr>
        <w:t xml:space="preserve"> </w:t>
      </w:r>
      <w:r w:rsidRPr="00795698">
        <w:rPr>
          <w:rFonts w:ascii="Garamond" w:hAnsi="Garamond"/>
          <w:i/>
        </w:rPr>
        <w:t>RAD të dërguar në DPPPP nga subjektet raportuese dhe rastet e referuara nga DPPPP</w:t>
      </w:r>
      <w:r w:rsidR="00DE5583" w:rsidRPr="00795698">
        <w:rPr>
          <w:rFonts w:ascii="Garamond" w:hAnsi="Garamond"/>
          <w:i/>
        </w:rPr>
        <w:t>-ja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1764"/>
        <w:gridCol w:w="2042"/>
      </w:tblGrid>
      <w:tr w:rsidR="00893E99" w:rsidRPr="00795698" w14:paraId="5FEEF81E" w14:textId="77777777" w:rsidTr="00DE5583">
        <w:trPr>
          <w:trHeight w:val="260"/>
          <w:jc w:val="center"/>
        </w:trPr>
        <w:tc>
          <w:tcPr>
            <w:tcW w:w="1179" w:type="dxa"/>
            <w:shd w:val="clear" w:color="auto" w:fill="FFFFFF"/>
          </w:tcPr>
          <w:p w14:paraId="5FEEF81B" w14:textId="77777777" w:rsidR="00893E99" w:rsidRPr="00795698" w:rsidRDefault="00893E99" w:rsidP="002D5979">
            <w:pPr>
              <w:jc w:val="center"/>
              <w:rPr>
                <w:rFonts w:ascii="Garamond" w:hAnsi="Garamond"/>
                <w:b/>
                <w:bCs/>
                <w:color w:val="000000"/>
                <w:sz w:val="20"/>
              </w:rPr>
            </w:pPr>
            <w:r w:rsidRPr="00795698">
              <w:rPr>
                <w:rFonts w:ascii="Garamond" w:hAnsi="Garamond"/>
                <w:b/>
                <w:bCs/>
                <w:color w:val="000000"/>
                <w:sz w:val="20"/>
              </w:rPr>
              <w:lastRenderedPageBreak/>
              <w:t>Viti</w:t>
            </w:r>
          </w:p>
        </w:tc>
        <w:tc>
          <w:tcPr>
            <w:tcW w:w="1764" w:type="dxa"/>
            <w:shd w:val="clear" w:color="auto" w:fill="FDF2EA"/>
          </w:tcPr>
          <w:p w14:paraId="5FEEF81C" w14:textId="77777777" w:rsidR="00893E99" w:rsidRPr="00795698" w:rsidRDefault="00893E99" w:rsidP="002D5979">
            <w:pPr>
              <w:jc w:val="center"/>
              <w:rPr>
                <w:rFonts w:ascii="Garamond" w:hAnsi="Garamond"/>
                <w:b/>
                <w:bCs/>
                <w:color w:val="000000"/>
                <w:sz w:val="20"/>
              </w:rPr>
            </w:pPr>
            <w:r w:rsidRPr="00795698">
              <w:rPr>
                <w:rFonts w:ascii="Garamond" w:hAnsi="Garamond"/>
                <w:b/>
                <w:bCs/>
                <w:color w:val="000000"/>
                <w:sz w:val="20"/>
              </w:rPr>
              <w:t>Nr. i RAD me dyshime për FT</w:t>
            </w:r>
          </w:p>
        </w:tc>
        <w:tc>
          <w:tcPr>
            <w:tcW w:w="2042" w:type="dxa"/>
            <w:shd w:val="clear" w:color="auto" w:fill="FDF2EA"/>
          </w:tcPr>
          <w:p w14:paraId="5FEEF81D" w14:textId="77777777" w:rsidR="00893E99" w:rsidRPr="00795698" w:rsidRDefault="00893E99" w:rsidP="002D5979">
            <w:pPr>
              <w:jc w:val="center"/>
              <w:rPr>
                <w:rFonts w:ascii="Garamond" w:hAnsi="Garamond"/>
                <w:b/>
                <w:color w:val="000000"/>
                <w:sz w:val="20"/>
              </w:rPr>
            </w:pPr>
            <w:r w:rsidRPr="00795698">
              <w:rPr>
                <w:rFonts w:ascii="Garamond" w:hAnsi="Garamond"/>
                <w:b/>
                <w:color w:val="000000"/>
                <w:sz w:val="20"/>
              </w:rPr>
              <w:t>Nr. i referimeve me dyshime për FT</w:t>
            </w:r>
          </w:p>
        </w:tc>
      </w:tr>
      <w:tr w:rsidR="00893E99" w:rsidRPr="00795698" w14:paraId="5FEEF822" w14:textId="77777777" w:rsidTr="00DE5583">
        <w:trPr>
          <w:jc w:val="center"/>
        </w:trPr>
        <w:tc>
          <w:tcPr>
            <w:tcW w:w="1179" w:type="dxa"/>
            <w:shd w:val="clear" w:color="auto" w:fill="FFFFFF"/>
          </w:tcPr>
          <w:p w14:paraId="5FEEF81F" w14:textId="77777777" w:rsidR="00893E99" w:rsidRPr="00795698" w:rsidRDefault="00893E99" w:rsidP="002D5979">
            <w:pPr>
              <w:jc w:val="center"/>
              <w:rPr>
                <w:rFonts w:ascii="Garamond" w:hAnsi="Garamond"/>
                <w:b/>
                <w:bCs/>
                <w:i/>
                <w:color w:val="000000"/>
                <w:sz w:val="20"/>
              </w:rPr>
            </w:pPr>
            <w:r w:rsidRPr="00795698">
              <w:rPr>
                <w:rFonts w:ascii="Garamond" w:hAnsi="Garamond"/>
                <w:b/>
                <w:bCs/>
                <w:i/>
                <w:color w:val="000000"/>
                <w:sz w:val="20"/>
              </w:rPr>
              <w:t>2015</w:t>
            </w:r>
          </w:p>
        </w:tc>
        <w:tc>
          <w:tcPr>
            <w:tcW w:w="1764" w:type="dxa"/>
            <w:shd w:val="clear" w:color="auto" w:fill="F6BE98"/>
          </w:tcPr>
          <w:p w14:paraId="5FEEF820"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6</w:t>
            </w:r>
          </w:p>
        </w:tc>
        <w:tc>
          <w:tcPr>
            <w:tcW w:w="2042" w:type="dxa"/>
            <w:shd w:val="clear" w:color="auto" w:fill="F6BE98"/>
          </w:tcPr>
          <w:p w14:paraId="5FEEF821"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2</w:t>
            </w:r>
          </w:p>
        </w:tc>
      </w:tr>
      <w:tr w:rsidR="00893E99" w:rsidRPr="00795698" w14:paraId="5FEEF826" w14:textId="77777777" w:rsidTr="00DE5583">
        <w:trPr>
          <w:jc w:val="center"/>
        </w:trPr>
        <w:tc>
          <w:tcPr>
            <w:tcW w:w="1179" w:type="dxa"/>
            <w:shd w:val="clear" w:color="auto" w:fill="FFFFFF"/>
          </w:tcPr>
          <w:p w14:paraId="5FEEF823" w14:textId="77777777" w:rsidR="00893E99" w:rsidRPr="00795698" w:rsidRDefault="00893E99" w:rsidP="002D5979">
            <w:pPr>
              <w:jc w:val="center"/>
              <w:rPr>
                <w:rFonts w:ascii="Garamond" w:hAnsi="Garamond"/>
                <w:b/>
                <w:bCs/>
                <w:i/>
                <w:color w:val="000000"/>
                <w:sz w:val="20"/>
              </w:rPr>
            </w:pPr>
            <w:r w:rsidRPr="00795698">
              <w:rPr>
                <w:rFonts w:ascii="Garamond" w:hAnsi="Garamond"/>
                <w:b/>
                <w:bCs/>
                <w:i/>
                <w:color w:val="000000"/>
                <w:sz w:val="20"/>
              </w:rPr>
              <w:t>2016</w:t>
            </w:r>
          </w:p>
        </w:tc>
        <w:tc>
          <w:tcPr>
            <w:tcW w:w="1764" w:type="dxa"/>
            <w:shd w:val="clear" w:color="auto" w:fill="FADECB"/>
          </w:tcPr>
          <w:p w14:paraId="5FEEF824"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29</w:t>
            </w:r>
          </w:p>
        </w:tc>
        <w:tc>
          <w:tcPr>
            <w:tcW w:w="2042" w:type="dxa"/>
            <w:shd w:val="clear" w:color="auto" w:fill="FADECB"/>
          </w:tcPr>
          <w:p w14:paraId="5FEEF825"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8</w:t>
            </w:r>
          </w:p>
        </w:tc>
      </w:tr>
      <w:tr w:rsidR="00893E99" w:rsidRPr="00795698" w14:paraId="5FEEF82A" w14:textId="77777777" w:rsidTr="00DE5583">
        <w:trPr>
          <w:jc w:val="center"/>
        </w:trPr>
        <w:tc>
          <w:tcPr>
            <w:tcW w:w="1179" w:type="dxa"/>
            <w:shd w:val="clear" w:color="auto" w:fill="FFFFFF"/>
          </w:tcPr>
          <w:p w14:paraId="5FEEF827" w14:textId="77777777" w:rsidR="00893E99" w:rsidRPr="00795698" w:rsidRDefault="00893E99" w:rsidP="002D5979">
            <w:pPr>
              <w:jc w:val="center"/>
              <w:rPr>
                <w:rFonts w:ascii="Garamond" w:hAnsi="Garamond"/>
                <w:b/>
                <w:bCs/>
                <w:i/>
                <w:color w:val="000000"/>
                <w:sz w:val="20"/>
              </w:rPr>
            </w:pPr>
            <w:r w:rsidRPr="00795698">
              <w:rPr>
                <w:rFonts w:ascii="Garamond" w:hAnsi="Garamond"/>
                <w:b/>
                <w:bCs/>
                <w:i/>
                <w:color w:val="000000"/>
                <w:sz w:val="20"/>
              </w:rPr>
              <w:t>2017</w:t>
            </w:r>
          </w:p>
        </w:tc>
        <w:tc>
          <w:tcPr>
            <w:tcW w:w="1764" w:type="dxa"/>
            <w:shd w:val="clear" w:color="auto" w:fill="F6BE98"/>
          </w:tcPr>
          <w:p w14:paraId="5FEEF828"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12</w:t>
            </w:r>
          </w:p>
        </w:tc>
        <w:tc>
          <w:tcPr>
            <w:tcW w:w="2042" w:type="dxa"/>
            <w:shd w:val="clear" w:color="auto" w:fill="F6BE98"/>
          </w:tcPr>
          <w:p w14:paraId="5FEEF829"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5</w:t>
            </w:r>
          </w:p>
        </w:tc>
      </w:tr>
      <w:tr w:rsidR="00893E99" w:rsidRPr="00795698" w14:paraId="5FEEF82E" w14:textId="77777777" w:rsidTr="00DE5583">
        <w:trPr>
          <w:trHeight w:val="160"/>
          <w:jc w:val="center"/>
        </w:trPr>
        <w:tc>
          <w:tcPr>
            <w:tcW w:w="1179" w:type="dxa"/>
            <w:shd w:val="clear" w:color="auto" w:fill="FFFFFF"/>
          </w:tcPr>
          <w:p w14:paraId="5FEEF82B" w14:textId="77777777" w:rsidR="00893E99" w:rsidRPr="00795698" w:rsidRDefault="00893E99" w:rsidP="002D5979">
            <w:pPr>
              <w:jc w:val="center"/>
              <w:rPr>
                <w:rFonts w:ascii="Garamond" w:hAnsi="Garamond"/>
                <w:b/>
                <w:bCs/>
                <w:i/>
                <w:color w:val="000000"/>
                <w:sz w:val="20"/>
              </w:rPr>
            </w:pPr>
            <w:r w:rsidRPr="00795698">
              <w:rPr>
                <w:rFonts w:ascii="Garamond" w:hAnsi="Garamond"/>
                <w:b/>
                <w:bCs/>
                <w:i/>
                <w:color w:val="000000"/>
                <w:sz w:val="20"/>
              </w:rPr>
              <w:t>2018</w:t>
            </w:r>
          </w:p>
        </w:tc>
        <w:tc>
          <w:tcPr>
            <w:tcW w:w="1764" w:type="dxa"/>
            <w:shd w:val="clear" w:color="auto" w:fill="FADECB"/>
          </w:tcPr>
          <w:p w14:paraId="5FEEF82C"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2</w:t>
            </w:r>
          </w:p>
        </w:tc>
        <w:tc>
          <w:tcPr>
            <w:tcW w:w="2042" w:type="dxa"/>
            <w:shd w:val="clear" w:color="auto" w:fill="FADECB"/>
          </w:tcPr>
          <w:p w14:paraId="5FEEF82D"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2</w:t>
            </w:r>
          </w:p>
        </w:tc>
      </w:tr>
      <w:tr w:rsidR="00893E99" w:rsidRPr="00795698" w14:paraId="5FEEF832" w14:textId="77777777" w:rsidTr="00DE5583">
        <w:trPr>
          <w:trHeight w:val="160"/>
          <w:jc w:val="center"/>
        </w:trPr>
        <w:tc>
          <w:tcPr>
            <w:tcW w:w="1179" w:type="dxa"/>
            <w:shd w:val="clear" w:color="auto" w:fill="FFFFFF"/>
          </w:tcPr>
          <w:p w14:paraId="5FEEF82F" w14:textId="77777777" w:rsidR="00893E99" w:rsidRPr="00795698" w:rsidRDefault="00893E99" w:rsidP="002D5979">
            <w:pPr>
              <w:jc w:val="center"/>
              <w:rPr>
                <w:rFonts w:ascii="Garamond" w:hAnsi="Garamond"/>
                <w:b/>
                <w:bCs/>
                <w:i/>
                <w:color w:val="000000"/>
                <w:sz w:val="20"/>
              </w:rPr>
            </w:pPr>
            <w:r w:rsidRPr="00795698">
              <w:rPr>
                <w:rFonts w:ascii="Garamond" w:hAnsi="Garamond"/>
                <w:b/>
                <w:bCs/>
                <w:i/>
                <w:color w:val="000000"/>
                <w:sz w:val="20"/>
              </w:rPr>
              <w:t>2019</w:t>
            </w:r>
          </w:p>
        </w:tc>
        <w:tc>
          <w:tcPr>
            <w:tcW w:w="1764" w:type="dxa"/>
            <w:shd w:val="clear" w:color="auto" w:fill="FADECB"/>
          </w:tcPr>
          <w:p w14:paraId="5FEEF830"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5</w:t>
            </w:r>
          </w:p>
        </w:tc>
        <w:tc>
          <w:tcPr>
            <w:tcW w:w="2042" w:type="dxa"/>
            <w:shd w:val="clear" w:color="auto" w:fill="FADECB"/>
          </w:tcPr>
          <w:p w14:paraId="5FEEF831"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4</w:t>
            </w:r>
          </w:p>
        </w:tc>
      </w:tr>
      <w:tr w:rsidR="00893E99" w:rsidRPr="00795698" w14:paraId="5FEEF836" w14:textId="77777777" w:rsidTr="00DE5583">
        <w:trPr>
          <w:trHeight w:val="151"/>
          <w:jc w:val="center"/>
        </w:trPr>
        <w:tc>
          <w:tcPr>
            <w:tcW w:w="1179" w:type="dxa"/>
            <w:shd w:val="clear" w:color="auto" w:fill="FFFFFF"/>
          </w:tcPr>
          <w:p w14:paraId="5FEEF833" w14:textId="77777777" w:rsidR="00893E99" w:rsidRPr="00795698" w:rsidRDefault="00893E99" w:rsidP="002D5979">
            <w:pPr>
              <w:jc w:val="center"/>
              <w:rPr>
                <w:rFonts w:ascii="Garamond" w:hAnsi="Garamond"/>
                <w:b/>
                <w:bCs/>
                <w:color w:val="000000"/>
                <w:sz w:val="20"/>
              </w:rPr>
            </w:pPr>
            <w:r w:rsidRPr="00795698">
              <w:rPr>
                <w:rFonts w:ascii="Garamond" w:hAnsi="Garamond"/>
                <w:b/>
                <w:bCs/>
                <w:color w:val="000000"/>
                <w:sz w:val="20"/>
              </w:rPr>
              <w:t>Totali</w:t>
            </w:r>
          </w:p>
        </w:tc>
        <w:tc>
          <w:tcPr>
            <w:tcW w:w="1764" w:type="dxa"/>
            <w:shd w:val="clear" w:color="auto" w:fill="F6BE98"/>
          </w:tcPr>
          <w:p w14:paraId="5FEEF834"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54</w:t>
            </w:r>
          </w:p>
        </w:tc>
        <w:tc>
          <w:tcPr>
            <w:tcW w:w="2042" w:type="dxa"/>
            <w:shd w:val="clear" w:color="auto" w:fill="F6BE98"/>
          </w:tcPr>
          <w:p w14:paraId="5FEEF835" w14:textId="77777777" w:rsidR="00893E99" w:rsidRPr="00795698" w:rsidRDefault="00893E99" w:rsidP="002D5979">
            <w:pPr>
              <w:jc w:val="center"/>
              <w:rPr>
                <w:rFonts w:ascii="Garamond" w:hAnsi="Garamond"/>
                <w:color w:val="000000"/>
                <w:sz w:val="20"/>
              </w:rPr>
            </w:pPr>
            <w:r w:rsidRPr="00795698">
              <w:rPr>
                <w:rFonts w:ascii="Garamond" w:hAnsi="Garamond"/>
                <w:color w:val="000000"/>
                <w:sz w:val="20"/>
              </w:rPr>
              <w:t>21</w:t>
            </w:r>
          </w:p>
        </w:tc>
      </w:tr>
    </w:tbl>
    <w:p w14:paraId="5FEEF838" w14:textId="77777777" w:rsidR="00893E99" w:rsidRPr="00795698" w:rsidRDefault="00893E99" w:rsidP="00893E99">
      <w:pPr>
        <w:ind w:firstLine="284"/>
        <w:jc w:val="both"/>
        <w:rPr>
          <w:rFonts w:ascii="Garamond" w:hAnsi="Garamond"/>
          <w:color w:val="000000"/>
        </w:rPr>
      </w:pPr>
      <w:r w:rsidRPr="00795698">
        <w:rPr>
          <w:rFonts w:ascii="Garamond" w:hAnsi="Garamond"/>
        </w:rPr>
        <w:t xml:space="preserve">Duke iu referuar tabelës së mësipërme rastet kur subjektet raportuese kanë dyshuar për financim terrorizmi janë të pakta në numër. </w:t>
      </w:r>
    </w:p>
    <w:p w14:paraId="5FEEF839" w14:textId="77777777" w:rsidR="00893E99" w:rsidRPr="00795698" w:rsidRDefault="00893E99" w:rsidP="00893E99">
      <w:pPr>
        <w:ind w:firstLine="284"/>
        <w:jc w:val="both"/>
        <w:rPr>
          <w:rFonts w:ascii="Garamond" w:hAnsi="Garamond"/>
        </w:rPr>
      </w:pPr>
      <w:r w:rsidRPr="00795698">
        <w:rPr>
          <w:rFonts w:ascii="Garamond" w:hAnsi="Garamond"/>
        </w:rPr>
        <w:t>RAD me këto tipologji kryesisht janë dërguar nga subjektet banka (57%) dhe nga subjektet financiare jobankë për shërbimin e transfertës së parave (38%).</w:t>
      </w:r>
    </w:p>
    <w:p w14:paraId="5FEEF83A" w14:textId="52D387DF" w:rsidR="00893E99" w:rsidRPr="00795698" w:rsidRDefault="00893E99" w:rsidP="00893E99">
      <w:pPr>
        <w:ind w:firstLine="284"/>
        <w:jc w:val="both"/>
        <w:rPr>
          <w:rFonts w:ascii="Garamond" w:hAnsi="Garamond"/>
        </w:rPr>
      </w:pPr>
      <w:r w:rsidRPr="00795698">
        <w:rPr>
          <w:rFonts w:ascii="Garamond" w:hAnsi="Garamond"/>
        </w:rPr>
        <w:t xml:space="preserve">Pas analizimit të rasteve të dërguara, DPPPP gjatë </w:t>
      </w:r>
      <w:r w:rsidR="00623407" w:rsidRPr="00795698">
        <w:rPr>
          <w:rFonts w:ascii="Garamond" w:hAnsi="Garamond"/>
        </w:rPr>
        <w:t>2015–</w:t>
      </w:r>
      <w:r w:rsidRPr="00795698">
        <w:rPr>
          <w:rFonts w:ascii="Garamond" w:hAnsi="Garamond"/>
        </w:rPr>
        <w:t>2019 ka referuar në total 21 raste. Megjithëse pas analizimit të mirëfilltë që DPPPP ka bërë ndaj RAD-ve dhe mbledhjes së të dhënave shtesë për to, kryesisht nuk kanë rezultuar dyshime për FT.</w:t>
      </w:r>
    </w:p>
    <w:p w14:paraId="5FEEF83B" w14:textId="77777777" w:rsidR="00893E99" w:rsidRPr="00795698" w:rsidRDefault="00893E99" w:rsidP="00893E99">
      <w:pPr>
        <w:shd w:val="clear" w:color="auto" w:fill="FFFFFF"/>
        <w:tabs>
          <w:tab w:val="center" w:pos="4680"/>
          <w:tab w:val="right" w:pos="9360"/>
        </w:tabs>
        <w:ind w:firstLine="284"/>
        <w:jc w:val="both"/>
        <w:rPr>
          <w:rFonts w:ascii="Garamond" w:hAnsi="Garamond"/>
        </w:rPr>
      </w:pPr>
    </w:p>
    <w:p w14:paraId="5FEEF83D" w14:textId="32CB4F82" w:rsidR="00893E99" w:rsidRPr="00795698" w:rsidRDefault="00893E99" w:rsidP="00893E99">
      <w:pPr>
        <w:shd w:val="clear" w:color="auto" w:fill="FFFFFF"/>
        <w:tabs>
          <w:tab w:val="center" w:pos="4680"/>
          <w:tab w:val="right" w:pos="9360"/>
        </w:tabs>
        <w:ind w:firstLine="284"/>
        <w:jc w:val="both"/>
        <w:rPr>
          <w:rFonts w:ascii="Garamond" w:hAnsi="Garamond"/>
          <w:i/>
        </w:rPr>
      </w:pPr>
      <w:r w:rsidRPr="00795698">
        <w:rPr>
          <w:rFonts w:ascii="Garamond" w:hAnsi="Garamond"/>
          <w:i/>
        </w:rPr>
        <w:t>Tab. 19:</w:t>
      </w:r>
      <w:r w:rsidRPr="00795698">
        <w:rPr>
          <w:rFonts w:ascii="Garamond" w:hAnsi="Garamond"/>
          <w:b/>
          <w:i/>
        </w:rPr>
        <w:t xml:space="preserve"> </w:t>
      </w:r>
      <w:r w:rsidRPr="00795698">
        <w:rPr>
          <w:rFonts w:ascii="Garamond" w:hAnsi="Garamond"/>
          <w:i/>
        </w:rPr>
        <w:t>Nr. i referimeve të dërguara nga DPPSH për kategorinë e veprave penale në fushën e terrorizmit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2610"/>
      </w:tblGrid>
      <w:tr w:rsidR="00893E99" w:rsidRPr="00795698" w14:paraId="5FEEF840" w14:textId="77777777" w:rsidTr="00DE5583">
        <w:trPr>
          <w:jc w:val="center"/>
        </w:trPr>
        <w:tc>
          <w:tcPr>
            <w:tcW w:w="1239" w:type="dxa"/>
            <w:shd w:val="clear" w:color="auto" w:fill="FFFFFF"/>
          </w:tcPr>
          <w:p w14:paraId="5FEEF83E" w14:textId="77777777" w:rsidR="00893E99" w:rsidRPr="00795698" w:rsidRDefault="00893E99" w:rsidP="002D5979">
            <w:pPr>
              <w:jc w:val="center"/>
              <w:rPr>
                <w:rFonts w:ascii="Garamond" w:hAnsi="Garamond"/>
                <w:b/>
                <w:bCs/>
                <w:i/>
                <w:iCs/>
                <w:sz w:val="20"/>
              </w:rPr>
            </w:pPr>
            <w:r w:rsidRPr="00795698">
              <w:rPr>
                <w:rFonts w:ascii="Garamond" w:hAnsi="Garamond"/>
                <w:b/>
                <w:bCs/>
                <w:i/>
                <w:iCs/>
                <w:sz w:val="20"/>
              </w:rPr>
              <w:t>Viti</w:t>
            </w:r>
          </w:p>
        </w:tc>
        <w:tc>
          <w:tcPr>
            <w:tcW w:w="2610" w:type="dxa"/>
            <w:shd w:val="clear" w:color="auto" w:fill="FFFFFF"/>
          </w:tcPr>
          <w:p w14:paraId="5FEEF83F" w14:textId="77777777" w:rsidR="00893E99" w:rsidRPr="00795698" w:rsidRDefault="00893E99" w:rsidP="002D5979">
            <w:pPr>
              <w:jc w:val="center"/>
              <w:rPr>
                <w:rFonts w:ascii="Garamond" w:hAnsi="Garamond"/>
                <w:b/>
                <w:bCs/>
                <w:sz w:val="20"/>
              </w:rPr>
            </w:pPr>
            <w:r w:rsidRPr="00795698">
              <w:rPr>
                <w:rFonts w:ascii="Garamond" w:hAnsi="Garamond"/>
                <w:b/>
                <w:bCs/>
                <w:sz w:val="20"/>
              </w:rPr>
              <w:t xml:space="preserve">Nr. i referimeve </w:t>
            </w:r>
          </w:p>
        </w:tc>
      </w:tr>
      <w:tr w:rsidR="00893E99" w:rsidRPr="00795698" w14:paraId="5FEEF843" w14:textId="77777777" w:rsidTr="00DE5583">
        <w:trPr>
          <w:jc w:val="center"/>
        </w:trPr>
        <w:tc>
          <w:tcPr>
            <w:tcW w:w="1239" w:type="dxa"/>
            <w:shd w:val="clear" w:color="auto" w:fill="FFFFFF"/>
          </w:tcPr>
          <w:p w14:paraId="5FEEF841" w14:textId="77777777" w:rsidR="00893E99" w:rsidRPr="00795698" w:rsidRDefault="00893E99" w:rsidP="002D5979">
            <w:pPr>
              <w:jc w:val="center"/>
              <w:rPr>
                <w:rFonts w:ascii="Garamond" w:hAnsi="Garamond"/>
                <w:b/>
                <w:i/>
                <w:iCs/>
                <w:sz w:val="20"/>
              </w:rPr>
            </w:pPr>
            <w:r w:rsidRPr="00795698">
              <w:rPr>
                <w:rFonts w:ascii="Garamond" w:hAnsi="Garamond"/>
                <w:b/>
                <w:i/>
                <w:iCs/>
                <w:sz w:val="20"/>
              </w:rPr>
              <w:t>2018</w:t>
            </w:r>
          </w:p>
        </w:tc>
        <w:tc>
          <w:tcPr>
            <w:tcW w:w="2610" w:type="dxa"/>
            <w:shd w:val="clear" w:color="auto" w:fill="FDE9D9"/>
          </w:tcPr>
          <w:p w14:paraId="5FEEF842" w14:textId="77777777" w:rsidR="00893E99" w:rsidRPr="00795698" w:rsidRDefault="00893E99" w:rsidP="002D5979">
            <w:pPr>
              <w:jc w:val="center"/>
              <w:rPr>
                <w:rFonts w:ascii="Garamond" w:hAnsi="Garamond"/>
                <w:sz w:val="20"/>
              </w:rPr>
            </w:pPr>
            <w:r w:rsidRPr="00795698">
              <w:rPr>
                <w:rFonts w:ascii="Garamond" w:hAnsi="Garamond"/>
                <w:sz w:val="20"/>
              </w:rPr>
              <w:t>5 raste</w:t>
            </w:r>
          </w:p>
        </w:tc>
      </w:tr>
      <w:tr w:rsidR="00893E99" w:rsidRPr="00795698" w14:paraId="5FEEF846" w14:textId="77777777" w:rsidTr="00DE5583">
        <w:trPr>
          <w:jc w:val="center"/>
        </w:trPr>
        <w:tc>
          <w:tcPr>
            <w:tcW w:w="1239" w:type="dxa"/>
            <w:shd w:val="clear" w:color="auto" w:fill="FFFFFF"/>
          </w:tcPr>
          <w:p w14:paraId="5FEEF844" w14:textId="77777777" w:rsidR="00893E99" w:rsidRPr="00795698" w:rsidRDefault="00893E99" w:rsidP="002D5979">
            <w:pPr>
              <w:jc w:val="center"/>
              <w:rPr>
                <w:rFonts w:ascii="Garamond" w:hAnsi="Garamond"/>
                <w:b/>
                <w:i/>
                <w:iCs/>
                <w:sz w:val="20"/>
              </w:rPr>
            </w:pPr>
            <w:r w:rsidRPr="00795698">
              <w:rPr>
                <w:rFonts w:ascii="Garamond" w:hAnsi="Garamond"/>
                <w:b/>
                <w:i/>
                <w:iCs/>
                <w:sz w:val="20"/>
              </w:rPr>
              <w:t>2019 (3 M)</w:t>
            </w:r>
          </w:p>
        </w:tc>
        <w:tc>
          <w:tcPr>
            <w:tcW w:w="2610" w:type="dxa"/>
            <w:shd w:val="clear" w:color="auto" w:fill="auto"/>
          </w:tcPr>
          <w:p w14:paraId="5FEEF845" w14:textId="77777777" w:rsidR="00893E99" w:rsidRPr="00795698" w:rsidRDefault="00893E99" w:rsidP="002D5979">
            <w:pPr>
              <w:jc w:val="center"/>
              <w:rPr>
                <w:rFonts w:ascii="Garamond" w:hAnsi="Garamond"/>
                <w:sz w:val="20"/>
              </w:rPr>
            </w:pPr>
            <w:r w:rsidRPr="00795698">
              <w:rPr>
                <w:rFonts w:ascii="Garamond" w:hAnsi="Garamond"/>
                <w:sz w:val="20"/>
              </w:rPr>
              <w:t>3 raste</w:t>
            </w:r>
          </w:p>
        </w:tc>
      </w:tr>
    </w:tbl>
    <w:p w14:paraId="5FEEF847" w14:textId="77777777" w:rsidR="00893E99" w:rsidRPr="00795698" w:rsidRDefault="00893E99" w:rsidP="00893E99">
      <w:pPr>
        <w:ind w:firstLine="284"/>
        <w:jc w:val="both"/>
        <w:rPr>
          <w:rFonts w:ascii="Garamond" w:eastAsia="Calibri" w:hAnsi="Garamond"/>
          <w:b/>
        </w:rPr>
      </w:pPr>
    </w:p>
    <w:p w14:paraId="5FEEF848" w14:textId="77777777" w:rsidR="00893E99" w:rsidRPr="00795698" w:rsidRDefault="00893E99" w:rsidP="00893E99">
      <w:pPr>
        <w:pStyle w:val="Heading3"/>
        <w:spacing w:before="0"/>
        <w:ind w:firstLine="284"/>
        <w:rPr>
          <w:rFonts w:ascii="Garamond" w:hAnsi="Garamond"/>
          <w:color w:val="auto"/>
        </w:rPr>
      </w:pPr>
      <w:bookmarkStart w:id="33" w:name="_Toc108644265"/>
      <w:r w:rsidRPr="00795698">
        <w:rPr>
          <w:rFonts w:ascii="Garamond" w:hAnsi="Garamond"/>
          <w:color w:val="auto"/>
        </w:rPr>
        <w:t>2.2.6 Të dhëna nga raporte ndërkombëtare për situatën e Shqipërisë në lidhje me ekstremizmin e dhunshëm dhe terrorizmin</w:t>
      </w:r>
      <w:bookmarkEnd w:id="33"/>
    </w:p>
    <w:p w14:paraId="5FEEF849" w14:textId="77777777" w:rsidR="00893E99" w:rsidRPr="00795698" w:rsidRDefault="00893E99" w:rsidP="00893E99">
      <w:pPr>
        <w:ind w:firstLine="284"/>
        <w:jc w:val="both"/>
        <w:rPr>
          <w:rFonts w:ascii="Garamond" w:eastAsia="Calibri" w:hAnsi="Garamond"/>
          <w:b/>
          <w:color w:val="C45911"/>
        </w:rPr>
      </w:pPr>
      <w:r w:rsidRPr="00795698">
        <w:rPr>
          <w:rFonts w:ascii="Garamond" w:eastAsia="Calibri" w:hAnsi="Garamond"/>
        </w:rPr>
        <w:t>Më poshtë paraqitën disa të dhëna të marra kryesisht në burime të hapura, në lidhje me vlerësimet e institucioneve ndërkombëtare për luftën kundër terrorizmit në vendin tonë.</w:t>
      </w:r>
    </w:p>
    <w:p w14:paraId="5FEEF84A" w14:textId="40FF9213" w:rsidR="00893E99" w:rsidRPr="00795698" w:rsidRDefault="00893E99" w:rsidP="00893E99">
      <w:pPr>
        <w:ind w:firstLine="284"/>
        <w:rPr>
          <w:rFonts w:ascii="Garamond" w:eastAsia="Calibri" w:hAnsi="Garamond"/>
        </w:rPr>
      </w:pPr>
      <w:r w:rsidRPr="00795698">
        <w:rPr>
          <w:rFonts w:ascii="Garamond" w:eastAsia="Calibri" w:hAnsi="Garamond"/>
        </w:rPr>
        <w:t>Sipas raportit të Komisionit Evropian të vitit 2022</w:t>
      </w:r>
      <w:r w:rsidRPr="00795698">
        <w:rPr>
          <w:rFonts w:ascii="Garamond" w:eastAsia="Calibri" w:hAnsi="Garamond"/>
          <w:vertAlign w:val="superscript"/>
        </w:rPr>
        <w:footnoteReference w:id="11"/>
      </w:r>
      <w:r w:rsidRPr="00795698">
        <w:rPr>
          <w:rFonts w:ascii="Garamond" w:eastAsia="Calibri" w:hAnsi="Garamond"/>
        </w:rPr>
        <w:t xml:space="preserve"> rezulton se</w:t>
      </w:r>
      <w:r w:rsidR="00D10A07" w:rsidRPr="00795698">
        <w:rPr>
          <w:rFonts w:ascii="Garamond" w:eastAsia="Calibri" w:hAnsi="Garamond"/>
        </w:rPr>
        <w:t>:</w:t>
      </w:r>
    </w:p>
    <w:p w14:paraId="5FEEF84B" w14:textId="77777777" w:rsidR="00893E99" w:rsidRPr="00795698" w:rsidRDefault="00893E99" w:rsidP="00893E99">
      <w:pPr>
        <w:ind w:firstLine="284"/>
        <w:jc w:val="both"/>
        <w:rPr>
          <w:rFonts w:ascii="Garamond" w:hAnsi="Garamond"/>
          <w:lang w:eastAsia="en-GB"/>
        </w:rPr>
      </w:pPr>
      <w:r w:rsidRPr="00795698">
        <w:rPr>
          <w:rFonts w:ascii="Garamond" w:hAnsi="Garamond"/>
          <w:lang w:bidi="sq-AL"/>
        </w:rPr>
        <w:t>Shqipëria ka një kuadër ligjor gjithëpërfshirës për parandalimin dhe luftimin e financimit të terrorizmit dhe ka bërë mjaft hapa përpara lidhur me përafrimin me blloqet kryesore të acquis-it të BE-së. Ajo është palë në të gjitha konventat e Këshillit të Evropës kundër terrorizmit, përfshirë ato që mbulojnë konfiskimin dhe sekuestrimin e produkteve të krimit dhe financimin e terrorizmit. Autoritetet duhet të sigurojnë zbatimin efektiv të sanksioneve financiare të synuara të mandatuara nga Këshilli i Sigurimit i Kombeve të Bashkuara, ndër të tjera, duke rritur përfshirjen e institucioneve financiare dhe aktorëve të tjerë të rëndësishëm, dhe përmes inspektimeve efektive, në përputhje me planin e veprimit të FATF-së. Duhet të vazhdojë puna për parandalimin e risqeve të financimit të terrorizmit në rast të instrumentalizimit të organizatave jofitimprurëse nga grupe të radikalizuara.</w:t>
      </w:r>
    </w:p>
    <w:p w14:paraId="5FEEF84C" w14:textId="6B419766" w:rsidR="00893E99" w:rsidRPr="00795698" w:rsidRDefault="00893E99" w:rsidP="00893E99">
      <w:pPr>
        <w:ind w:firstLine="284"/>
        <w:jc w:val="both"/>
        <w:rPr>
          <w:rFonts w:ascii="Garamond" w:hAnsi="Garamond"/>
          <w:lang w:eastAsia="en-GB"/>
        </w:rPr>
      </w:pPr>
      <w:r w:rsidRPr="00795698">
        <w:rPr>
          <w:rFonts w:ascii="Garamond" w:hAnsi="Garamond"/>
          <w:lang w:bidi="sq-AL"/>
        </w:rPr>
        <w:t>Që prej dhjetorit të vitit 2020, vazhdon të zbatohet strategjia kombëtare ndërsektoriale kundër terrorizmit dhe plani i veprimit. Strategjia Kombëtare për Luftën kundër Ekstremizmit të Dhunshëm (CVE) është e vjetër dhe plani i saj i veprimit ka përfunduar, dhe Shqipëria duhet t</w:t>
      </w:r>
      <w:r w:rsidR="0041767D" w:rsidRPr="00795698">
        <w:rPr>
          <w:rFonts w:ascii="Garamond" w:hAnsi="Garamond"/>
          <w:lang w:bidi="sq-AL"/>
        </w:rPr>
        <w:t>’</w:t>
      </w:r>
      <w:r w:rsidRPr="00795698">
        <w:rPr>
          <w:rFonts w:ascii="Garamond" w:hAnsi="Garamond"/>
          <w:lang w:bidi="sq-AL"/>
        </w:rPr>
        <w:t xml:space="preserve">i japë përparësi miratimit të strategjisë dhe planit të ri të veprimit. Strategjia e re duhet të jetë plotësisht në përputhje me politikën e BE-së dhe parimet kyç të P/KEDH-së. </w:t>
      </w:r>
    </w:p>
    <w:p w14:paraId="5FEEF84D" w14:textId="77777777" w:rsidR="00893E99" w:rsidRPr="00795698" w:rsidRDefault="00893E99" w:rsidP="00893E99">
      <w:pPr>
        <w:ind w:firstLine="284"/>
        <w:jc w:val="both"/>
        <w:rPr>
          <w:rFonts w:ascii="Garamond" w:hAnsi="Garamond"/>
          <w:lang w:eastAsia="en-GB"/>
        </w:rPr>
      </w:pPr>
      <w:r w:rsidRPr="00795698">
        <w:rPr>
          <w:rFonts w:ascii="Garamond" w:hAnsi="Garamond"/>
          <w:lang w:bidi="sq-AL"/>
        </w:rPr>
        <w:t xml:space="preserve">Shqipëria ka vazhduar të shënojë progres të mirë në zbatimin e marrëveshjes dypalëshe me BE-në lidhur me operacionalizimin e Planit të Përbashkët të Veprimit për Luftën kundër Terrorizmit për Ballkanin Perëndimor. </w:t>
      </w:r>
    </w:p>
    <w:p w14:paraId="5FEEF84E" w14:textId="67C24EA7" w:rsidR="00893E99" w:rsidRPr="00795698" w:rsidRDefault="00893E99" w:rsidP="00893E99">
      <w:pPr>
        <w:ind w:firstLine="284"/>
        <w:jc w:val="both"/>
        <w:rPr>
          <w:rFonts w:ascii="Garamond" w:hAnsi="Garamond"/>
          <w:lang w:bidi="sq-AL"/>
        </w:rPr>
      </w:pPr>
      <w:r w:rsidRPr="00795698">
        <w:rPr>
          <w:rFonts w:ascii="Garamond" w:hAnsi="Garamond"/>
          <w:lang w:bidi="sq-AL"/>
        </w:rPr>
        <w:t xml:space="preserve">Drejtoria Antiterrorizëm e Policisë së Shtetit është organi kryesor i luftës kundër terrorizmit, nën juridiksionin e Prokurorisë së Posaçme dhe Gjykatave të Posaçme. Shërbimi Informativ i Shtetit dhe Agjencia e Inteligjencës dhe Sigurisë së Mbrojtjes janë po ashtu funksionale në këtë fushë. Personeli i </w:t>
      </w:r>
      <w:r w:rsidRPr="00795698">
        <w:rPr>
          <w:rFonts w:ascii="Garamond" w:hAnsi="Garamond"/>
          <w:lang w:bidi="sq-AL"/>
        </w:rPr>
        <w:lastRenderedPageBreak/>
        <w:t xml:space="preserve">policimit në komunitet i PSH-së është përfshirë në përpjekje parandaluese dhe të paralajmërimit të hershëm. Qendra e Koordinimit kundër Ekstremizmit të Dhunshëm është përgjegjëse për ngritjen e kapaciteteve, koordinimin e veprimtarive të P/KEDH-së ndërmjet institucioneve qeveritare dhe mbikëqyrjen e zbatimit të planit të veprimit të Parandalimit dhe Kundërshtimit të Ekstremizmit të Dhunshëm. Në prill të vitit 2022, Qendra e Koordinimit </w:t>
      </w:r>
      <w:r w:rsidR="000E7837" w:rsidRPr="00795698">
        <w:rPr>
          <w:rFonts w:ascii="Garamond" w:hAnsi="Garamond"/>
          <w:lang w:bidi="sq-AL"/>
        </w:rPr>
        <w:t>k</w:t>
      </w:r>
      <w:r w:rsidRPr="00795698">
        <w:rPr>
          <w:rFonts w:ascii="Garamond" w:hAnsi="Garamond"/>
          <w:lang w:bidi="sq-AL"/>
        </w:rPr>
        <w:t>undër Ekstremizmit të Dhunshëm u transferua nga Kryeministria në varësi të Ministrisë së Brendshme. Ky kalim garanton mësë miri se varësia e strukturore ofron vazhdimësinë e punës së qendrës dhe se qendra do të vazhdojë të ketë autoritetin dhe burimet për të realizuar funksionin e vet të rëndësishëm të koordinimit ndërinstitucional në fushën e ekstrimizmit të dhunshëm. Për këtë do të vazhdojë puna e bërë në vitet e fundit për të përmirësuar kapacitetet e institucioneve për parandalimin e ekstremizmit të dhunshëm në nivel vendor; komunitetet vendore dhe këshillat vendorë të sigurisë duhet të forcojnë më tej punën e tyre parandaluese. Gjithashtu nevojitet të përmirësohen masat dhe kapacitetet për të trajtuar përmbajtjet terroriste në internet.</w:t>
      </w:r>
    </w:p>
    <w:p w14:paraId="5FEEF84F" w14:textId="72CEEE10" w:rsidR="00893E99" w:rsidRPr="00795698" w:rsidRDefault="00893E99" w:rsidP="00893E99">
      <w:pPr>
        <w:ind w:firstLine="284"/>
        <w:jc w:val="both"/>
        <w:rPr>
          <w:rFonts w:ascii="Garamond" w:eastAsia="Calibri" w:hAnsi="Garamond"/>
        </w:rPr>
      </w:pPr>
      <w:r w:rsidRPr="00795698">
        <w:rPr>
          <w:rFonts w:ascii="Garamond" w:hAnsi="Garamond"/>
          <w:lang w:bidi="sq-AL"/>
        </w:rPr>
        <w:t>Bashkëpunimi rajonal dhe shkëmbimi i informacioneve të ndjeshme me partnerët ndërkombëtarë mbetet i kënaqshëm. Megjithëse është arritur progres, Shqipëria duhet t</w:t>
      </w:r>
      <w:r w:rsidR="0041767D" w:rsidRPr="00795698">
        <w:rPr>
          <w:rFonts w:ascii="Garamond" w:hAnsi="Garamond"/>
          <w:lang w:bidi="sq-AL"/>
        </w:rPr>
        <w:t>’</w:t>
      </w:r>
      <w:r w:rsidRPr="00795698">
        <w:rPr>
          <w:rFonts w:ascii="Garamond" w:hAnsi="Garamond"/>
          <w:lang w:bidi="sq-AL"/>
        </w:rPr>
        <w:t xml:space="preserve">i përdorë në mënyrë më proaktive produktet, shërbimet dhe kapacitetet e platformave të komunikimit të Qendrës Evropiane kundër Terrorizmit të Europolit. Ajo duhet të vazhdojë të bashkëpunojë me Njësinë e Referimit në Internet të Europolit. Ajo ka marrë pjesë në mënyrë aktive në zbatimin e nismës së Ballkanit Perëndimor kundër terrorizmit, në kuadër të Qeverisjes Integruese të Sigurisë së Brendshme (IISG). </w:t>
      </w:r>
    </w:p>
    <w:p w14:paraId="5FEEF850" w14:textId="77777777" w:rsidR="00893E99" w:rsidRPr="00795698" w:rsidRDefault="00893E99" w:rsidP="00893E99">
      <w:pPr>
        <w:ind w:firstLine="284"/>
        <w:jc w:val="both"/>
        <w:rPr>
          <w:rFonts w:ascii="Garamond" w:hAnsi="Garamond"/>
          <w:lang w:eastAsia="en-GB"/>
        </w:rPr>
      </w:pPr>
      <w:r w:rsidRPr="00795698">
        <w:rPr>
          <w:rFonts w:ascii="Garamond" w:eastAsia="Calibri" w:hAnsi="Garamond"/>
          <w:lang w:bidi="sq-AL"/>
        </w:rPr>
        <w:t>Shqipëria duhet të vazhdojë të përqendrohet te riintegrimi dhe rehabilitimi i personave të kthyer nga Siria, dhe te hetimi dhe ndjekja penale e personave të dyshuar për vepra penale. Ajo duhet të forcojë mekanizmat e menaxhimit të rasteve dhe referimit për të kthyerit dhe individët në risk për radikalizim. Radikalizimi në burgje dhe përmbajtja terroriste online vazhdojnë të jenë çështje që duhen trajtuar. Po ashtu, Shqipëria duhet të vazhdojë të hetojë lidhjet ndërmjet krimit të organizuar dhe terrorizmit, si dhe të sigurojë harmonizim me legjislacionin e BE-së për eksplozivët dhe prekursorët e tyre, dhe të përditësojë treguesit për Pikën Fokale për Armët e Zjarrit në bazë të rekomandimeve të Këshillit, të korrikut 2021.</w:t>
      </w:r>
    </w:p>
    <w:p w14:paraId="5FEEF851" w14:textId="77777777" w:rsidR="00893E99" w:rsidRPr="00795698" w:rsidRDefault="00893E99" w:rsidP="00893E99">
      <w:pPr>
        <w:ind w:firstLine="284"/>
        <w:jc w:val="both"/>
        <w:rPr>
          <w:rFonts w:ascii="Garamond" w:eastAsia="Calibri" w:hAnsi="Garamond"/>
        </w:rPr>
      </w:pPr>
      <w:r w:rsidRPr="00795698">
        <w:rPr>
          <w:rFonts w:ascii="Garamond" w:eastAsia="Calibri" w:hAnsi="Garamond"/>
        </w:rPr>
        <w:t>Më datë 26 mars 2020, Këshilli i BE-së vendosi të hapë negociatat e anëtarësimit me Republikën e Shqipërisë, duke marrë parasysh progresin e arritur mbi reformat dhe përmbushjen e kushteve të përcaktuara mbështetur dhe në raportin e përditësuar të Komisionit, mars 2020 i cili vlerëson dukshëm progresin e bërë nga Shqipëria.</w:t>
      </w:r>
    </w:p>
    <w:p w14:paraId="5FEEF852" w14:textId="54365425" w:rsidR="00893E99" w:rsidRPr="00795698" w:rsidRDefault="00893E99" w:rsidP="00893E99">
      <w:pPr>
        <w:ind w:firstLine="284"/>
        <w:jc w:val="both"/>
        <w:rPr>
          <w:rFonts w:ascii="Garamond" w:eastAsia="Calibri" w:hAnsi="Garamond"/>
        </w:rPr>
      </w:pPr>
      <w:r w:rsidRPr="00795698">
        <w:rPr>
          <w:rFonts w:ascii="Garamond" w:eastAsia="Calibri" w:hAnsi="Garamond"/>
        </w:rPr>
        <w:t>Sipas raportit të vitit 2020</w:t>
      </w:r>
      <w:r w:rsidRPr="00795698">
        <w:rPr>
          <w:rStyle w:val="FootnoteReference"/>
          <w:rFonts w:ascii="Garamond" w:eastAsia="Calibri" w:hAnsi="Garamond"/>
        </w:rPr>
        <w:footnoteReference w:id="12"/>
      </w:r>
      <w:r w:rsidRPr="00795698">
        <w:rPr>
          <w:rFonts w:ascii="Garamond" w:eastAsia="Calibri" w:hAnsi="Garamond"/>
        </w:rPr>
        <w:t>, të DASH</w:t>
      </w:r>
      <w:r w:rsidR="00F93667" w:rsidRPr="00795698">
        <w:rPr>
          <w:rFonts w:ascii="Garamond" w:eastAsia="Calibri" w:hAnsi="Garamond"/>
        </w:rPr>
        <w:t>-it</w:t>
      </w:r>
      <w:r w:rsidRPr="00795698">
        <w:rPr>
          <w:rFonts w:ascii="Garamond" w:eastAsia="Calibri" w:hAnsi="Garamond"/>
        </w:rPr>
        <w:t>:</w:t>
      </w:r>
    </w:p>
    <w:p w14:paraId="5FEEF853" w14:textId="77777777"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Shqipëria vazhdoi të mbështesë përpjekjet ndërkombëtare kundër terrorizmit në 2020 dhe vazhdoi pjesëmarrjen e saj në Aleancën Globale për të mposhtur ISIS-in, </w:t>
      </w:r>
    </w:p>
    <w:p w14:paraId="5FEEF854" w14:textId="77777777"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Shqipëria penalizon veprimet terroriste, financimin e terrorizmit, kryerjen e transaksioneve me personat në listat e sanksioneve të Kombeve të Bashkuara (UN), rekrutimin dhe trajnimin e njerëzve për kryerjen e veprimeve terroriste, nxitjen e akteve terroriste, krijimin dhe pjesëmarrje në organizata terroriste apo në konflikt të armatosur jashtë vendit.</w:t>
      </w:r>
    </w:p>
    <w:p w14:paraId="5FEEF855" w14:textId="77777777"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Drejtoria e Antiterrorit (DAT) në Policinë e Shtetit ka punuar ngushtë me agjencitë amerikane për të harmonizuar kërkesat e qeverisë shqiptare me ekspertizën dhe burimet që ofrojnë Shtetet e Bashkuara të Amerikës. Nëpërmjet pjesëmarrjes në programin e Asistencës kundër Terrorizmit në Departamentin e Shtetit, DAT është trajnuar për hetimet kundër terrorizmit, metoda special të hetimit, identifikimin dhe sekuestrimin e provave digjitale. Qeveria Shqiptare ka zhvilluar me partnerët ndërkombëtar plane kontigjence dhe kapacitete për të parandaluar dhe përgjigjur ndaj sulmeve terroriste të objektivave të butë “soft targets”.</w:t>
      </w:r>
    </w:p>
    <w:p w14:paraId="64A345E8" w14:textId="77777777" w:rsidR="00E820FD" w:rsidRPr="00795698" w:rsidRDefault="00D92CD6" w:rsidP="00E820FD">
      <w:pPr>
        <w:pStyle w:val="TEKSTIIIII"/>
        <w:rPr>
          <w:rFonts w:eastAsia="Calibri"/>
          <w:lang w:val="sq-AL"/>
        </w:rPr>
      </w:pPr>
      <w:r w:rsidRPr="00795698">
        <w:rPr>
          <w:rFonts w:eastAsia="Calibri"/>
          <w:lang w:val="sq-AL"/>
        </w:rPr>
        <w:lastRenderedPageBreak/>
        <w:t xml:space="preserve">- </w:t>
      </w:r>
      <w:r w:rsidR="00893E99" w:rsidRPr="00795698">
        <w:rPr>
          <w:rFonts w:eastAsia="Calibri"/>
          <w:lang w:val="sq-AL"/>
        </w:rPr>
        <w:t>Agjencitë ligjzbatuese bashkëpunojnë gjerësisht me Interpol dhe organe të tjera ligjzbatuese ndërkombëtare. Shqipëria vazhdon punën për zbatimin e Rezolutës 2396 në lidhje me Informacionin e Avancuar të pasagjerëve (API) dhe të dhënat e pasagjerit (PNR), i cili përmirëson kontrollin e pasagjerëve në Aeroporte. Ligji është miratuar në mars 2020 dhe Shtetet e Bashkuara dhe Shqipëria e forcuan angazhim</w:t>
      </w:r>
      <w:r w:rsidR="00E820FD" w:rsidRPr="00795698">
        <w:rPr>
          <w:rFonts w:eastAsia="Calibri"/>
          <w:lang w:val="sq-AL"/>
        </w:rPr>
        <w:t xml:space="preserve">in për zbatimin e këtij ligji. </w:t>
      </w:r>
    </w:p>
    <w:p w14:paraId="5FEEF857" w14:textId="16A641EB" w:rsidR="00893E99" w:rsidRPr="00795698" w:rsidRDefault="00E820FD" w:rsidP="00E820FD">
      <w:pPr>
        <w:pStyle w:val="TEKSTIIIII"/>
        <w:rPr>
          <w:rFonts w:eastAsia="Calibri"/>
          <w:lang w:val="sq-AL"/>
        </w:rPr>
      </w:pPr>
      <w:r w:rsidRPr="00795698">
        <w:rPr>
          <w:rFonts w:eastAsia="Calibri"/>
          <w:lang w:val="sq-AL"/>
        </w:rPr>
        <w:t xml:space="preserve">- </w:t>
      </w:r>
      <w:r w:rsidR="00893E99" w:rsidRPr="00795698">
        <w:rPr>
          <w:rFonts w:eastAsia="Calibri"/>
          <w:lang w:val="sq-AL"/>
        </w:rPr>
        <w:t>Në vitin 2020 Shqipëria filloi zbatimin e një regjimi më të rreptë në burgje për të dënuarit e konsideruar të rrezikshëm, të quajtur neni 41-bis, në të cilin përfshihen dhe të dënuarit për vepra me qëllime terroriste.</w:t>
      </w:r>
    </w:p>
    <w:p w14:paraId="5FEEF858" w14:textId="11AF00A9"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Shqipëria vazhdoi të punojë me FATF dhe MONEYVAL për të adresuar dobësitë e identifikuara në pastrimin e parave/luftën kundër financimit të regjimit të terrorizmit. Nga 40 Rekomandimet e Task</w:t>
      </w:r>
      <w:r w:rsidR="000E7837" w:rsidRPr="00795698">
        <w:rPr>
          <w:rFonts w:eastAsia="Calibri"/>
          <w:lang w:val="sq-AL"/>
        </w:rPr>
        <w:t>-</w:t>
      </w:r>
      <w:r w:rsidR="00893E99" w:rsidRPr="00795698">
        <w:rPr>
          <w:rFonts w:eastAsia="Calibri"/>
          <w:lang w:val="sq-AL"/>
        </w:rPr>
        <w:t>Forcës së Veprimit Financiar, Shqipëria është vlerësuar “e përputhur” në 5 rekomandime dhe “e papërputhur” në 1 rekomandim.</w:t>
      </w:r>
      <w:r w:rsidR="007C064A" w:rsidRPr="00795698">
        <w:rPr>
          <w:rFonts w:eastAsia="Calibri"/>
          <w:lang w:val="sq-AL"/>
        </w:rPr>
        <w:t xml:space="preserve"> </w:t>
      </w:r>
      <w:r w:rsidR="00893E99" w:rsidRPr="00795698">
        <w:rPr>
          <w:rFonts w:eastAsia="Calibri"/>
          <w:lang w:val="sq-AL"/>
        </w:rPr>
        <w:t xml:space="preserve">Drejtoria e Përgjithshme për Parandalimin e Pastrimit të Parave është pjesë e Grupit Egmond. </w:t>
      </w:r>
    </w:p>
    <w:p w14:paraId="5FEEF859" w14:textId="37306967"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Qendra Kombëtare </w:t>
      </w:r>
      <w:r w:rsidR="000E7837" w:rsidRPr="00795698">
        <w:rPr>
          <w:rFonts w:eastAsia="Calibri"/>
          <w:lang w:val="sq-AL"/>
        </w:rPr>
        <w:t>k</w:t>
      </w:r>
      <w:r w:rsidR="00893E99" w:rsidRPr="00795698">
        <w:rPr>
          <w:rFonts w:eastAsia="Calibri"/>
          <w:lang w:val="sq-AL"/>
        </w:rPr>
        <w:t xml:space="preserve">undër Ekstremizmit të Dhunshëm është shumë aktive në koordinimin e planit të veprimit për Parandalimin dhe Kundërshtimin e Ekstremizmit të Dhunshëm dhe donatorëve ndërkombëtarë dhe përpiqet të garantojë bashkëpunimin e të gjitha ministrive duke mënjanuar dublikimin e përpjekjeve. </w:t>
      </w:r>
    </w:p>
    <w:p w14:paraId="5FEEF85A" w14:textId="77777777"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Policia e Shtetit ka përfshirë në programet e saj të policimit në komunitet masa për luftën kundër ekstremizmit të dhunshëm. Shefat e Policimit në Komunitet janë trajnuar nga qeveria Amerikane për të implementuar projekte me qeveritë lokale duke synuar detektimin e radikalizimit. </w:t>
      </w:r>
    </w:p>
    <w:p w14:paraId="5FEEF85B" w14:textId="77777777" w:rsidR="00893E99" w:rsidRPr="00795698" w:rsidRDefault="00D92CD6" w:rsidP="00D92CD6">
      <w:pPr>
        <w:pStyle w:val="TEKSTIIIII"/>
        <w:rPr>
          <w:rFonts w:eastAsia="Calibri"/>
          <w:lang w:val="sq-AL"/>
        </w:rPr>
      </w:pPr>
      <w:r w:rsidRPr="00795698">
        <w:rPr>
          <w:rFonts w:eastAsia="Calibri"/>
          <w:lang w:val="sq-AL"/>
        </w:rPr>
        <w:t xml:space="preserve">- </w:t>
      </w:r>
      <w:r w:rsidR="00893E99" w:rsidRPr="00795698">
        <w:rPr>
          <w:rFonts w:eastAsia="Calibri"/>
          <w:lang w:val="sq-AL"/>
        </w:rPr>
        <w:t>Sipas raportit të vitit 2017 të EUROPOL për situatën e terrorizmit:</w:t>
      </w:r>
    </w:p>
    <w:p w14:paraId="5FEEF85C" w14:textId="77777777" w:rsidR="00893E99" w:rsidRPr="00795698" w:rsidRDefault="00D92CD6" w:rsidP="00D92CD6">
      <w:pPr>
        <w:pStyle w:val="TEKSTIIIII"/>
        <w:rPr>
          <w:rFonts w:eastAsia="Calibri"/>
          <w:color w:val="231F20"/>
          <w:lang w:val="sq-AL"/>
        </w:rPr>
      </w:pPr>
      <w:r w:rsidRPr="00795698">
        <w:rPr>
          <w:rFonts w:eastAsia="Calibri"/>
          <w:color w:val="231F20"/>
          <w:lang w:val="sq-AL"/>
        </w:rPr>
        <w:t xml:space="preserve">- </w:t>
      </w:r>
      <w:r w:rsidR="00893E99" w:rsidRPr="00795698">
        <w:rPr>
          <w:rFonts w:eastAsia="Calibri"/>
          <w:color w:val="231F20"/>
          <w:lang w:val="sq-AL"/>
        </w:rPr>
        <w:t xml:space="preserve">Në disa pjesë të rajonit të Ballkanit Perëndimor, ideologjia radikale islamike e promovuar nga predikuesit radikalë dhe /ose udhëheqësit e disa grupeve selafist, duke sfiduar dominimin tradicional të islamit të moderuar në rajon, ka fituar terren të konsiderueshëm. Bosnja dhe Hercegovina, e ashtuquajtura rajoni i Sanxhakut (me Serbinë dhe Malin e Zi), territoret shqipfolëse në Serbi, në Republikën e Maqedonisë së Veriut, në Kosovë dhe në Shqipëri, kohët e fundit u konsideruan si pikat kryesore të radikalizmit, rekrutimit dhe aktiviteteve lehtësuese të FTF-ve të destinuara për Sirinë. </w:t>
      </w:r>
    </w:p>
    <w:p w14:paraId="5FEEF85D" w14:textId="345FFE21" w:rsidR="00893E99" w:rsidRPr="00795698" w:rsidRDefault="00893E99" w:rsidP="00D92CD6">
      <w:pPr>
        <w:pStyle w:val="TEKSTIIIII"/>
        <w:rPr>
          <w:rFonts w:eastAsia="Calibri"/>
          <w:lang w:val="sq-AL"/>
        </w:rPr>
      </w:pPr>
      <w:r w:rsidRPr="00795698">
        <w:rPr>
          <w:rFonts w:eastAsia="Calibri"/>
          <w:lang w:val="sq-AL"/>
        </w:rPr>
        <w:t xml:space="preserve">Në nëntor të vitit 2016, autoritetet kompetente të Shqipërisë, Kosovës dhe të </w:t>
      </w:r>
      <w:r w:rsidRPr="00795698">
        <w:rPr>
          <w:rFonts w:eastAsia="Calibri"/>
          <w:color w:val="231F20"/>
          <w:lang w:val="sq-AL"/>
        </w:rPr>
        <w:t>Republikës së Maqedonisë së Veriut</w:t>
      </w:r>
      <w:r w:rsidRPr="00795698">
        <w:rPr>
          <w:rFonts w:eastAsia="Calibri"/>
          <w:lang w:val="sq-AL"/>
        </w:rPr>
        <w:t xml:space="preserve"> penguan shfaqjen e dy sulmeve terroriste të planifikuara për t</w:t>
      </w:r>
      <w:r w:rsidR="0041767D" w:rsidRPr="00795698">
        <w:rPr>
          <w:rFonts w:eastAsia="Calibri"/>
          <w:lang w:val="sq-AL"/>
        </w:rPr>
        <w:t>’</w:t>
      </w:r>
      <w:r w:rsidRPr="00795698">
        <w:rPr>
          <w:rFonts w:eastAsia="Calibri"/>
          <w:lang w:val="sq-AL"/>
        </w:rPr>
        <w:t xml:space="preserve">u kryer në territorin e tyre, me 19 arrestime në Kosovë dhe gjashtë në Shqipëri dhe në </w:t>
      </w:r>
      <w:r w:rsidRPr="00795698">
        <w:rPr>
          <w:rFonts w:eastAsia="Calibri"/>
          <w:color w:val="231F20"/>
          <w:lang w:val="sq-AL"/>
        </w:rPr>
        <w:t>Republikën e Maqedonisë së Veriut</w:t>
      </w:r>
      <w:r w:rsidRPr="00795698">
        <w:rPr>
          <w:rFonts w:eastAsia="Calibri"/>
          <w:lang w:val="sq-AL"/>
        </w:rPr>
        <w:t xml:space="preserve">. </w:t>
      </w:r>
    </w:p>
    <w:p w14:paraId="5FEEF85E" w14:textId="77777777" w:rsidR="00893E99" w:rsidRPr="00795698" w:rsidRDefault="00893E99" w:rsidP="00893E99">
      <w:pPr>
        <w:ind w:firstLine="284"/>
        <w:jc w:val="both"/>
        <w:rPr>
          <w:rFonts w:ascii="Garamond" w:eastAsia="Calibri" w:hAnsi="Garamond"/>
        </w:rPr>
      </w:pPr>
      <w:r w:rsidRPr="00795698">
        <w:rPr>
          <w:rFonts w:ascii="Garamond" w:eastAsia="Calibri" w:hAnsi="Garamond"/>
        </w:rPr>
        <w:t>Sipas Raportit të EUROPOL</w:t>
      </w:r>
      <w:r w:rsidRPr="00795698">
        <w:rPr>
          <w:rStyle w:val="FootnoteReference"/>
          <w:rFonts w:ascii="Garamond" w:eastAsia="Calibri" w:hAnsi="Garamond"/>
        </w:rPr>
        <w:footnoteReference w:id="13"/>
      </w:r>
      <w:r w:rsidRPr="00795698">
        <w:rPr>
          <w:rFonts w:ascii="Garamond" w:eastAsia="Calibri" w:hAnsi="Garamond"/>
        </w:rPr>
        <w:t xml:space="preserve"> për terrorizmin në vitin 2021: </w:t>
      </w:r>
    </w:p>
    <w:p w14:paraId="5FEEF85F" w14:textId="77777777" w:rsidR="00893E99" w:rsidRPr="00795698" w:rsidRDefault="00893E99" w:rsidP="00893E99">
      <w:pPr>
        <w:ind w:firstLine="284"/>
        <w:jc w:val="both"/>
        <w:rPr>
          <w:rFonts w:ascii="Garamond" w:eastAsia="Calibri" w:hAnsi="Garamond"/>
          <w:i/>
        </w:rPr>
      </w:pPr>
      <w:r w:rsidRPr="00795698">
        <w:rPr>
          <w:rFonts w:ascii="Garamond" w:eastAsia="Calibri" w:hAnsi="Garamond"/>
        </w:rPr>
        <w:t>“</w:t>
      </w:r>
      <w:r w:rsidRPr="00795698">
        <w:rPr>
          <w:rFonts w:ascii="Garamond" w:eastAsia="Calibri" w:hAnsi="Garamond"/>
          <w:i/>
        </w:rPr>
        <w:t>Shqipëria, raportoi nëntë hetime të zhviklluara për vepra me qëllime terroriste që përfshinin 14 individë. Të dyshuarit nuk përbënin grup dhe përfshinin të kthyerit, të burgosur të radikalizuar dhe mbështetës të xhihadizmit.”</w:t>
      </w:r>
    </w:p>
    <w:p w14:paraId="5FEEF860" w14:textId="77777777" w:rsidR="00893E99" w:rsidRPr="00795698" w:rsidRDefault="00893E99" w:rsidP="00893E99">
      <w:pPr>
        <w:ind w:firstLine="284"/>
        <w:jc w:val="both"/>
        <w:rPr>
          <w:rFonts w:ascii="Garamond" w:eastAsia="Calibri" w:hAnsi="Garamond"/>
        </w:rPr>
      </w:pPr>
      <w:r w:rsidRPr="00795698">
        <w:rPr>
          <w:rFonts w:ascii="Garamond" w:eastAsia="Calibri" w:hAnsi="Garamond"/>
        </w:rPr>
        <w:t>Sipas raportit të Europol</w:t>
      </w:r>
      <w:r w:rsidRPr="00795698">
        <w:rPr>
          <w:rStyle w:val="FootnoteReference"/>
          <w:rFonts w:ascii="Garamond" w:eastAsia="Calibri" w:hAnsi="Garamond"/>
        </w:rPr>
        <w:footnoteReference w:id="14"/>
      </w:r>
      <w:r w:rsidRPr="00795698">
        <w:rPr>
          <w:rFonts w:ascii="Garamond" w:eastAsia="Calibri" w:hAnsi="Garamond"/>
        </w:rPr>
        <w:t xml:space="preserve"> të vitit 2022 për terrorizmin:</w:t>
      </w:r>
    </w:p>
    <w:p w14:paraId="5FEEF861" w14:textId="71C95A14" w:rsidR="00893E99" w:rsidRPr="00795698" w:rsidRDefault="00893E99" w:rsidP="00893E99">
      <w:pPr>
        <w:ind w:firstLine="284"/>
        <w:jc w:val="both"/>
        <w:rPr>
          <w:rFonts w:ascii="Garamond" w:hAnsi="Garamond"/>
          <w:b/>
          <w:bCs/>
        </w:rPr>
      </w:pPr>
      <w:r w:rsidRPr="00795698">
        <w:rPr>
          <w:rFonts w:ascii="Garamond" w:eastAsia="Calibri" w:hAnsi="Garamond"/>
          <w:i/>
        </w:rPr>
        <w:t>“Në vitin 2021, është raportuar vetëm një Incident për vepra me qëllime terroriste në Ballkanin Perëndimor. Në prill 2021 një 34</w:t>
      </w:r>
      <w:r w:rsidR="004478B9" w:rsidRPr="00795698">
        <w:rPr>
          <w:rFonts w:ascii="Garamond" w:eastAsia="Calibri" w:hAnsi="Garamond"/>
          <w:i/>
        </w:rPr>
        <w:t>-</w:t>
      </w:r>
      <w:r w:rsidRPr="00795698">
        <w:rPr>
          <w:rFonts w:ascii="Garamond" w:eastAsia="Calibri" w:hAnsi="Garamond"/>
          <w:i/>
        </w:rPr>
        <w:t xml:space="preserve">vjeçar u arrestua, pasi qëlloi me thike pesë persona në një xhami në Tiranë. Gjatë procesit gjyqësor, autori u vlerësua se nuk kishte probleme të </w:t>
      </w:r>
      <w:r w:rsidR="004478B9" w:rsidRPr="00795698">
        <w:rPr>
          <w:rFonts w:ascii="Garamond" w:eastAsia="Calibri" w:hAnsi="Garamond"/>
          <w:i/>
        </w:rPr>
        <w:t>shëndetit</w:t>
      </w:r>
      <w:r w:rsidRPr="00795698">
        <w:rPr>
          <w:rFonts w:ascii="Garamond" w:eastAsia="Calibri" w:hAnsi="Garamond"/>
          <w:i/>
        </w:rPr>
        <w:t xml:space="preserve"> mendor dhe u vendos dërgimi në një spital psikiatrik.</w:t>
      </w:r>
      <w:r w:rsidRPr="00795698">
        <w:rPr>
          <w:rFonts w:ascii="Garamond" w:hAnsi="Garamond"/>
          <w:bCs/>
        </w:rPr>
        <w:t>”</w:t>
      </w:r>
      <w:r w:rsidRPr="00795698">
        <w:rPr>
          <w:rFonts w:ascii="Garamond" w:hAnsi="Garamond"/>
          <w:b/>
          <w:bCs/>
        </w:rPr>
        <w:t xml:space="preserve"> </w:t>
      </w:r>
    </w:p>
    <w:p w14:paraId="5FEEF862" w14:textId="77777777" w:rsidR="00893E99" w:rsidRPr="00795698" w:rsidRDefault="00893E99" w:rsidP="00893E99">
      <w:pPr>
        <w:pStyle w:val="Heading3"/>
        <w:spacing w:before="0"/>
        <w:ind w:firstLine="284"/>
        <w:rPr>
          <w:rFonts w:ascii="Garamond" w:hAnsi="Garamond"/>
          <w:color w:val="auto"/>
        </w:rPr>
      </w:pPr>
      <w:bookmarkStart w:id="34" w:name="_Toc108644266"/>
      <w:r w:rsidRPr="00795698">
        <w:rPr>
          <w:rFonts w:ascii="Garamond" w:hAnsi="Garamond"/>
          <w:color w:val="auto"/>
        </w:rPr>
        <w:t>2.2.7 Drejtimet kryesore që do të trajtohen në këtë strategji</w:t>
      </w:r>
      <w:bookmarkEnd w:id="34"/>
    </w:p>
    <w:p w14:paraId="5FEEF863" w14:textId="37194D0A" w:rsidR="00893E99" w:rsidRPr="00795698" w:rsidRDefault="00893E99" w:rsidP="00893E99">
      <w:pPr>
        <w:ind w:firstLine="284"/>
        <w:jc w:val="both"/>
        <w:rPr>
          <w:rFonts w:ascii="Garamond" w:hAnsi="Garamond"/>
          <w:i/>
        </w:rPr>
      </w:pPr>
      <w:r w:rsidRPr="00795698">
        <w:rPr>
          <w:rFonts w:ascii="Garamond" w:hAnsi="Garamond"/>
          <w:i/>
        </w:rPr>
        <w:t xml:space="preserve">Detyrimi i organit të prokurorisë që në përputhje me </w:t>
      </w:r>
      <w:r w:rsidR="004478B9" w:rsidRPr="00795698">
        <w:rPr>
          <w:rFonts w:ascii="Garamond" w:hAnsi="Garamond"/>
          <w:i/>
        </w:rPr>
        <w:t>legjislacionin</w:t>
      </w:r>
      <w:r w:rsidRPr="00795698">
        <w:rPr>
          <w:rFonts w:ascii="Garamond" w:hAnsi="Garamond"/>
          <w:i/>
        </w:rPr>
        <w:t xml:space="preserve"> penal vendas, të ushtrojë ndjekjen penale për luftëtarët e huaj, kur merr dijeni për kryerjen e veprave penale. </w:t>
      </w:r>
    </w:p>
    <w:p w14:paraId="5FEEF864" w14:textId="7224736D" w:rsidR="00893E99" w:rsidRPr="00795698" w:rsidRDefault="00893E99" w:rsidP="00893E99">
      <w:pPr>
        <w:ind w:firstLine="284"/>
        <w:jc w:val="both"/>
        <w:rPr>
          <w:rFonts w:ascii="Garamond" w:hAnsi="Garamond"/>
          <w:i/>
        </w:rPr>
      </w:pPr>
      <w:r w:rsidRPr="00795698">
        <w:rPr>
          <w:rFonts w:ascii="Garamond" w:hAnsi="Garamond"/>
          <w:i/>
        </w:rPr>
        <w:t xml:space="preserve">Vëmendja e shtuar në mbikëqyrjen e ekzekutimit të vendimeve penale, duke bashkëpunuar me </w:t>
      </w:r>
      <w:r w:rsidR="004478B9" w:rsidRPr="00795698">
        <w:rPr>
          <w:rFonts w:ascii="Garamond" w:hAnsi="Garamond"/>
          <w:i/>
        </w:rPr>
        <w:t>institucionet</w:t>
      </w:r>
      <w:r w:rsidRPr="00795698">
        <w:rPr>
          <w:rFonts w:ascii="Garamond" w:hAnsi="Garamond"/>
          <w:i/>
        </w:rPr>
        <w:t xml:space="preserve"> e tjera shtetërore në zbatimin e programeve të përshtatshme për të dënuarit që kanë kryer vepra me qëllime terroriste. </w:t>
      </w:r>
    </w:p>
    <w:p w14:paraId="5FEEF865" w14:textId="77777777" w:rsidR="00893E99" w:rsidRPr="00795698" w:rsidRDefault="00893E99" w:rsidP="00893E99">
      <w:pPr>
        <w:ind w:firstLine="284"/>
        <w:jc w:val="both"/>
        <w:rPr>
          <w:rFonts w:ascii="Garamond" w:hAnsi="Garamond"/>
        </w:rPr>
      </w:pPr>
      <w:r w:rsidRPr="00795698">
        <w:rPr>
          <w:rFonts w:ascii="Garamond" w:hAnsi="Garamond"/>
        </w:rPr>
        <w:lastRenderedPageBreak/>
        <w:t>Kujdes i veçantë i duhet kushtuar kohës dhe vendit të caktuar për paraburgimin dhe vuajtjen e dënimit, duke mbajtur në vëmendje të drejtat e njeriut dhe nevojat e sigurisë.</w:t>
      </w:r>
    </w:p>
    <w:p w14:paraId="5FEEF866" w14:textId="77777777" w:rsidR="00893E99" w:rsidRPr="00795698" w:rsidRDefault="00893E99" w:rsidP="00893E99">
      <w:pPr>
        <w:ind w:firstLine="284"/>
        <w:jc w:val="both"/>
        <w:rPr>
          <w:rFonts w:ascii="Garamond" w:hAnsi="Garamond"/>
        </w:rPr>
      </w:pPr>
      <w:r w:rsidRPr="00795698">
        <w:rPr>
          <w:rFonts w:ascii="Garamond" w:hAnsi="Garamond"/>
        </w:rPr>
        <w:t>Duke mbajtur në konsideratë garantimin e një procesi që respekton të drejtat e njeriut dhe mbi të gjitha mosdiskriminimin, kërkesat në caktimin e masave të sigurimit dhe dënimit si dhe caktimi i vendit të vuajtjes së dënimit, duhet të sigurojnë ndëshkimin e duhur që të pengojë veprimtarinë terroriste, të parandalojë radikalizimin brenda sistemit të burgjeve, të ulë recidivizmin dhe të synojë riintegrimin.</w:t>
      </w:r>
    </w:p>
    <w:p w14:paraId="5FEEF868" w14:textId="77777777" w:rsidR="00893E99" w:rsidRPr="00795698" w:rsidRDefault="00893E99" w:rsidP="00893E99">
      <w:pPr>
        <w:ind w:firstLine="284"/>
        <w:jc w:val="both"/>
        <w:rPr>
          <w:rFonts w:ascii="Garamond" w:hAnsi="Garamond"/>
          <w:bCs/>
          <w:i/>
        </w:rPr>
      </w:pPr>
      <w:r w:rsidRPr="00795698">
        <w:rPr>
          <w:rFonts w:ascii="Garamond" w:hAnsi="Garamond"/>
          <w:bCs/>
          <w:i/>
        </w:rPr>
        <w:t>Mbrojtja e dëshmitarëve dhe bashkëpunëtorëve të drejtësisë.</w:t>
      </w:r>
    </w:p>
    <w:p w14:paraId="5FEEF869" w14:textId="4774956F" w:rsidR="00893E99" w:rsidRPr="00795698" w:rsidRDefault="00893E99" w:rsidP="00893E99">
      <w:pPr>
        <w:ind w:firstLine="284"/>
        <w:jc w:val="both"/>
        <w:rPr>
          <w:rFonts w:ascii="Garamond" w:hAnsi="Garamond"/>
          <w:bCs/>
          <w:iCs/>
        </w:rPr>
      </w:pPr>
      <w:r w:rsidRPr="00795698">
        <w:rPr>
          <w:rFonts w:ascii="Garamond" w:hAnsi="Garamond"/>
          <w:bCs/>
          <w:iCs/>
        </w:rPr>
        <w:t>Dëshmitarëve, informatorëve, bashkëpunëtorëve duhet t</w:t>
      </w:r>
      <w:r w:rsidR="0041767D" w:rsidRPr="00795698">
        <w:rPr>
          <w:rFonts w:ascii="Garamond" w:hAnsi="Garamond"/>
          <w:bCs/>
          <w:iCs/>
        </w:rPr>
        <w:t>’</w:t>
      </w:r>
      <w:r w:rsidRPr="00795698">
        <w:rPr>
          <w:rFonts w:ascii="Garamond" w:hAnsi="Garamond"/>
          <w:bCs/>
          <w:iCs/>
        </w:rPr>
        <w:t>u sigurohet mbrojtje në përputhje me ligjin, në mënyrë që të garantohet pjesëmarrja në procesin penal dhe mbrojtja e integritetit fizik të tyre dhe i familjarëve. Në këtë kuptim, përfshirja në programin e mbrojtjes mund të jetë një alternativë, ashtu si konsiderimi si dëshmitar me identitet të fshehur</w:t>
      </w:r>
      <w:r w:rsidR="00496156" w:rsidRPr="00795698">
        <w:rPr>
          <w:rFonts w:ascii="Garamond" w:hAnsi="Garamond"/>
          <w:bCs/>
          <w:iCs/>
        </w:rPr>
        <w:t xml:space="preserve"> etj.</w:t>
      </w:r>
      <w:r w:rsidRPr="00795698">
        <w:rPr>
          <w:rFonts w:ascii="Garamond" w:hAnsi="Garamond"/>
          <w:bCs/>
          <w:iCs/>
        </w:rPr>
        <w:t xml:space="preserve"> Rol të rëndësishëm në proces kanë edhe viktimat e këtyre veprave dhe mbrojtja e asistenca ndaj tyre duhet të jetë e garantuar.</w:t>
      </w:r>
    </w:p>
    <w:p w14:paraId="5FEEF86A" w14:textId="77777777" w:rsidR="00893E99" w:rsidRPr="00795698" w:rsidRDefault="00893E99" w:rsidP="00893E99">
      <w:pPr>
        <w:ind w:firstLine="284"/>
        <w:jc w:val="both"/>
        <w:rPr>
          <w:rFonts w:ascii="Garamond" w:hAnsi="Garamond"/>
          <w:i/>
        </w:rPr>
      </w:pPr>
      <w:r w:rsidRPr="00795698">
        <w:rPr>
          <w:rFonts w:ascii="Garamond" w:hAnsi="Garamond"/>
          <w:i/>
        </w:rPr>
        <w:t xml:space="preserve">Koordinimi dhe analizimi i informacionit të agjencive të ndryshme. </w:t>
      </w:r>
    </w:p>
    <w:p w14:paraId="5FEEF86B" w14:textId="7662C53B" w:rsidR="00893E99" w:rsidRPr="00795698" w:rsidRDefault="00893E99" w:rsidP="00893E99">
      <w:pPr>
        <w:ind w:firstLine="284"/>
        <w:jc w:val="both"/>
        <w:rPr>
          <w:rFonts w:ascii="Garamond" w:hAnsi="Garamond"/>
        </w:rPr>
      </w:pPr>
      <w:r w:rsidRPr="00795698">
        <w:rPr>
          <w:rFonts w:ascii="Garamond" w:hAnsi="Garamond"/>
        </w:rPr>
        <w:t>Sigurimi i bashkëpunimit dhe koordinimi është vendimtar për të parandaluar terrorizmin. Shkëmbimi i informacionit në kohë reale nga burime të ndryshme</w:t>
      </w:r>
      <w:r w:rsidR="004478B9" w:rsidRPr="00795698">
        <w:rPr>
          <w:rFonts w:ascii="Garamond" w:hAnsi="Garamond"/>
        </w:rPr>
        <w:t>,</w:t>
      </w:r>
      <w:r w:rsidRPr="00795698">
        <w:rPr>
          <w:rFonts w:ascii="Garamond" w:hAnsi="Garamond"/>
        </w:rPr>
        <w:t xml:space="preserve"> si</w:t>
      </w:r>
      <w:r w:rsidR="004478B9" w:rsidRPr="00795698">
        <w:rPr>
          <w:rFonts w:ascii="Garamond" w:hAnsi="Garamond"/>
        </w:rPr>
        <w:t>:</w:t>
      </w:r>
      <w:r w:rsidRPr="00795698">
        <w:rPr>
          <w:rFonts w:ascii="Garamond" w:hAnsi="Garamond"/>
        </w:rPr>
        <w:t xml:space="preserve"> agjen</w:t>
      </w:r>
      <w:r w:rsidR="004478B9" w:rsidRPr="00795698">
        <w:rPr>
          <w:rFonts w:ascii="Garamond" w:hAnsi="Garamond"/>
        </w:rPr>
        <w:t>c</w:t>
      </w:r>
      <w:r w:rsidRPr="00795698">
        <w:rPr>
          <w:rFonts w:ascii="Garamond" w:hAnsi="Garamond"/>
        </w:rPr>
        <w:t>i ligjzbatuese, agjen</w:t>
      </w:r>
      <w:r w:rsidR="004478B9" w:rsidRPr="00795698">
        <w:rPr>
          <w:rFonts w:ascii="Garamond" w:hAnsi="Garamond"/>
        </w:rPr>
        <w:t>c</w:t>
      </w:r>
      <w:r w:rsidRPr="00795698">
        <w:rPr>
          <w:rFonts w:ascii="Garamond" w:hAnsi="Garamond"/>
        </w:rPr>
        <w:t>i bankare, shërbime inteligjente, partnerë ndërkombëtarë etj., dhe analiza e</w:t>
      </w:r>
      <w:r w:rsidR="007C064A" w:rsidRPr="00795698">
        <w:rPr>
          <w:rFonts w:ascii="Garamond" w:hAnsi="Garamond"/>
        </w:rPr>
        <w:t xml:space="preserve"> </w:t>
      </w:r>
      <w:r w:rsidRPr="00795698">
        <w:rPr>
          <w:rFonts w:ascii="Garamond" w:hAnsi="Garamond"/>
        </w:rPr>
        <w:t xml:space="preserve">kujdesshme e tij, duke përdorur edhe ekspertizën e këtyre institucioneve, është një mjet i rëndësishëm në këtë drejtim. Informacioni i shkëmbyer ndërmjet </w:t>
      </w:r>
      <w:r w:rsidR="004478B9" w:rsidRPr="00795698">
        <w:rPr>
          <w:rFonts w:ascii="Garamond" w:hAnsi="Garamond"/>
        </w:rPr>
        <w:t>institucioneve</w:t>
      </w:r>
      <w:r w:rsidRPr="00795698">
        <w:rPr>
          <w:rFonts w:ascii="Garamond" w:hAnsi="Garamond"/>
        </w:rPr>
        <w:t xml:space="preserve"> informative në parim është informacion “sekret shtetëror” e për pasojë ka një sërë masash të posaçme mbrojtjeje. Kur është rasti kërkohen masat e përshtatshme mbrojtëse edhe gjatë procesit penal, si gjykimi me dyer të mbyllura, teknika të veçanta të marrjes në pyetje</w:t>
      </w:r>
      <w:r w:rsidR="00496156" w:rsidRPr="00795698">
        <w:rPr>
          <w:rFonts w:ascii="Garamond" w:hAnsi="Garamond"/>
        </w:rPr>
        <w:t xml:space="preserve"> etj.</w:t>
      </w:r>
      <w:r w:rsidRPr="00795698">
        <w:rPr>
          <w:rFonts w:ascii="Garamond" w:hAnsi="Garamond"/>
        </w:rPr>
        <w:t>.</w:t>
      </w:r>
    </w:p>
    <w:p w14:paraId="5FEEF86C" w14:textId="77777777" w:rsidR="00893E99" w:rsidRPr="00795698" w:rsidRDefault="00893E99" w:rsidP="00893E99">
      <w:pPr>
        <w:ind w:firstLine="284"/>
        <w:jc w:val="both"/>
        <w:rPr>
          <w:rFonts w:ascii="Garamond" w:hAnsi="Garamond"/>
          <w:i/>
        </w:rPr>
      </w:pPr>
      <w:r w:rsidRPr="00795698">
        <w:rPr>
          <w:rFonts w:ascii="Garamond" w:hAnsi="Garamond"/>
          <w:i/>
        </w:rPr>
        <w:t xml:space="preserve">Përdorimi i metodave speciale të hetimit </w:t>
      </w:r>
    </w:p>
    <w:p w14:paraId="5FEEF86D" w14:textId="719A249E" w:rsidR="00893E99" w:rsidRPr="00795698" w:rsidRDefault="00893E99" w:rsidP="00893E99">
      <w:pPr>
        <w:ind w:firstLine="284"/>
        <w:jc w:val="both"/>
        <w:rPr>
          <w:rFonts w:ascii="Garamond" w:hAnsi="Garamond"/>
        </w:rPr>
      </w:pPr>
      <w:r w:rsidRPr="00795698">
        <w:rPr>
          <w:rFonts w:ascii="Garamond" w:hAnsi="Garamond"/>
        </w:rPr>
        <w:t>Kuadri ynë ligjor mundëson përdorimin e mjeteve të posaçme për kërkimin e mbledhjen e provave për të hetuar një çështje penale dhe parandaluar pasojat e saj. Këto mjete, janë veçanërisht efi</w:t>
      </w:r>
      <w:r w:rsidR="00E820FD" w:rsidRPr="00795698">
        <w:rPr>
          <w:rFonts w:ascii="Garamond" w:hAnsi="Garamond"/>
        </w:rPr>
        <w:t>c</w:t>
      </w:r>
      <w:r w:rsidRPr="00795698">
        <w:rPr>
          <w:rFonts w:ascii="Garamond" w:hAnsi="Garamond"/>
        </w:rPr>
        <w:t>ente në hetimin e veprave penale me qëllime terroriste.</w:t>
      </w:r>
    </w:p>
    <w:p w14:paraId="5FEEF86E" w14:textId="77777777" w:rsidR="00893E99" w:rsidRPr="00795698" w:rsidRDefault="00893E99" w:rsidP="00893E99">
      <w:pPr>
        <w:ind w:firstLine="284"/>
        <w:jc w:val="both"/>
        <w:rPr>
          <w:rFonts w:ascii="Garamond" w:hAnsi="Garamond"/>
          <w:i/>
        </w:rPr>
      </w:pPr>
      <w:r w:rsidRPr="00795698">
        <w:rPr>
          <w:rFonts w:ascii="Garamond" w:hAnsi="Garamond"/>
          <w:i/>
        </w:rPr>
        <w:t xml:space="preserve">Goditja e mjeteve të tjera që përdoren për të përgatitur e kryer vepra terroriste. </w:t>
      </w:r>
    </w:p>
    <w:p w14:paraId="5FEEF86F" w14:textId="77777777" w:rsidR="00893E99" w:rsidRPr="00795698" w:rsidRDefault="00893E99" w:rsidP="00893E99">
      <w:pPr>
        <w:ind w:firstLine="284"/>
        <w:jc w:val="both"/>
        <w:rPr>
          <w:rFonts w:ascii="Garamond" w:hAnsi="Garamond"/>
        </w:rPr>
      </w:pPr>
      <w:r w:rsidRPr="00795698">
        <w:rPr>
          <w:rFonts w:ascii="Garamond" w:hAnsi="Garamond"/>
        </w:rPr>
        <w:t xml:space="preserve">Lufta ndaj veprave të tjera penale që shërbejnë për të përgatitur terrenin për kryerjen e veprave me qëllime terroriste, është një nga kushtet më të rëndësishme në luftën ndaj terrorizmit. Kështu, informacioni mbi aktivitetet financiare të të dyshuarve terroristë mund të japë të dhëna me vlerë në hetimet kundër terrorizmit, duke ndihmuar në zbulimin e planeve të rrjeteve terroriste, identifikimin e bashkëpunëtorëve etj.; ndjekja e veprave penale që lidhen me kultivimin e trafikimin e drogës ndërpret një burim të ardhurash që shndërrohen në fonde për trajnimin e terroristëve; hetimi e dënimi i mbajtjes e trafikut të armëve, armëve shpërthyese e municionit, mbajtjes e trafikimit të lëndëve plasëse, djegëse, helmuese apo radioaktive, kalimit të paligjshëm të kufirit, krimit kiberenetik. </w:t>
      </w:r>
    </w:p>
    <w:p w14:paraId="5FEEF870" w14:textId="77777777" w:rsidR="00893E99" w:rsidRPr="00795698" w:rsidRDefault="00893E99" w:rsidP="00893E99">
      <w:pPr>
        <w:ind w:firstLine="284"/>
        <w:jc w:val="both"/>
        <w:rPr>
          <w:rFonts w:ascii="Garamond" w:hAnsi="Garamond"/>
          <w:i/>
        </w:rPr>
      </w:pPr>
      <w:r w:rsidRPr="00795698">
        <w:rPr>
          <w:rFonts w:ascii="Garamond" w:hAnsi="Garamond"/>
          <w:i/>
        </w:rPr>
        <w:t>Bashkëpunimi ndërkombëtar</w:t>
      </w:r>
    </w:p>
    <w:p w14:paraId="5FEEF871" w14:textId="5C4AEDB2" w:rsidR="00893E99" w:rsidRPr="00795698" w:rsidRDefault="00893E99" w:rsidP="00893E99">
      <w:pPr>
        <w:ind w:firstLine="284"/>
        <w:jc w:val="both"/>
        <w:rPr>
          <w:rFonts w:ascii="Garamond" w:hAnsi="Garamond"/>
        </w:rPr>
      </w:pPr>
      <w:r w:rsidRPr="00795698">
        <w:rPr>
          <w:rFonts w:ascii="Garamond" w:hAnsi="Garamond"/>
        </w:rPr>
        <w:t>Bashkëpunimi ndërkombëtar duhet të jetë efi</w:t>
      </w:r>
      <w:r w:rsidR="00E820FD" w:rsidRPr="00795698">
        <w:rPr>
          <w:rFonts w:ascii="Garamond" w:hAnsi="Garamond"/>
        </w:rPr>
        <w:t>c</w:t>
      </w:r>
      <w:r w:rsidRPr="00795698">
        <w:rPr>
          <w:rFonts w:ascii="Garamond" w:hAnsi="Garamond"/>
        </w:rPr>
        <w:t xml:space="preserve">ient në kohë dhe në mjete të përdorura, jo vetëm nëpërmjet kërkesave për ekstradim, letërporosi etj. por edhe nëpërmjet ndarjes së informacionit në kohë reale nëpërmjet pikave të kontaktit, ngritjes së skuadrave të përbashkëta hetimore etj., në përputhje me kuadrin ligjor konkret. </w:t>
      </w:r>
    </w:p>
    <w:p w14:paraId="5FEEF872" w14:textId="25970166" w:rsidR="00893E99" w:rsidRPr="00795698" w:rsidRDefault="000F7BA0" w:rsidP="00893E99">
      <w:pPr>
        <w:pStyle w:val="Heading2"/>
        <w:spacing w:before="0"/>
        <w:ind w:firstLine="284"/>
        <w:rPr>
          <w:rFonts w:ascii="Garamond" w:hAnsi="Garamond"/>
          <w:color w:val="000000" w:themeColor="text1"/>
          <w:sz w:val="24"/>
          <w:szCs w:val="24"/>
        </w:rPr>
      </w:pPr>
      <w:bookmarkStart w:id="35" w:name="_bookmark3"/>
      <w:bookmarkStart w:id="36" w:name="_Toc108644267"/>
      <w:bookmarkEnd w:id="35"/>
      <w:r w:rsidRPr="00795698">
        <w:rPr>
          <w:rFonts w:ascii="Garamond" w:hAnsi="Garamond"/>
          <w:color w:val="000000" w:themeColor="text1"/>
          <w:sz w:val="24"/>
          <w:szCs w:val="24"/>
        </w:rPr>
        <w:t>3.1 Vizioni i</w:t>
      </w:r>
      <w:r w:rsidR="00893E99" w:rsidRPr="00795698">
        <w:rPr>
          <w:rFonts w:ascii="Garamond" w:hAnsi="Garamond"/>
          <w:color w:val="000000" w:themeColor="text1"/>
          <w:sz w:val="24"/>
          <w:szCs w:val="24"/>
        </w:rPr>
        <w:t xml:space="preserve"> </w:t>
      </w:r>
      <w:r w:rsidR="00E820FD" w:rsidRPr="00795698">
        <w:rPr>
          <w:rFonts w:ascii="Garamond" w:hAnsi="Garamond"/>
          <w:color w:val="000000" w:themeColor="text1"/>
          <w:sz w:val="24"/>
          <w:szCs w:val="24"/>
        </w:rPr>
        <w:t>s</w:t>
      </w:r>
      <w:r w:rsidR="00893E99" w:rsidRPr="00795698">
        <w:rPr>
          <w:rFonts w:ascii="Garamond" w:hAnsi="Garamond"/>
          <w:color w:val="000000" w:themeColor="text1"/>
          <w:sz w:val="24"/>
          <w:szCs w:val="24"/>
        </w:rPr>
        <w:t>trategjis</w:t>
      </w:r>
      <w:bookmarkStart w:id="37" w:name="_bookmark4"/>
      <w:bookmarkEnd w:id="37"/>
      <w:r w:rsidR="00893E99" w:rsidRPr="00795698">
        <w:rPr>
          <w:rFonts w:ascii="Garamond" w:hAnsi="Garamond"/>
          <w:color w:val="000000" w:themeColor="text1"/>
          <w:sz w:val="24"/>
          <w:szCs w:val="24"/>
        </w:rPr>
        <w:t>ë</w:t>
      </w:r>
      <w:bookmarkEnd w:id="36"/>
    </w:p>
    <w:p w14:paraId="5FEEF873" w14:textId="77777777" w:rsidR="00893E99" w:rsidRPr="00795698" w:rsidRDefault="00893E99" w:rsidP="00893E99">
      <w:pPr>
        <w:pStyle w:val="Heading3"/>
        <w:spacing w:before="0"/>
        <w:ind w:firstLine="284"/>
        <w:rPr>
          <w:rFonts w:ascii="Garamond" w:hAnsi="Garamond"/>
          <w:color w:val="auto"/>
        </w:rPr>
      </w:pPr>
      <w:bookmarkStart w:id="38" w:name="_Toc108644268"/>
      <w:r w:rsidRPr="00795698">
        <w:rPr>
          <w:rFonts w:ascii="Garamond" w:hAnsi="Garamond"/>
          <w:color w:val="auto"/>
        </w:rPr>
        <w:t>3.1.1 Vizioni</w:t>
      </w:r>
      <w:bookmarkEnd w:id="38"/>
    </w:p>
    <w:p w14:paraId="5FEEF874" w14:textId="06F0D907" w:rsidR="00893E99" w:rsidRPr="00795698" w:rsidRDefault="00D92CD6" w:rsidP="00893E99">
      <w:pPr>
        <w:ind w:firstLine="284"/>
        <w:rPr>
          <w:rFonts w:ascii="Garamond" w:hAnsi="Garamond"/>
          <w:i/>
          <w:color w:val="000000"/>
        </w:rPr>
      </w:pPr>
      <w:r w:rsidRPr="00795698">
        <w:rPr>
          <w:rFonts w:ascii="Garamond" w:hAnsi="Garamond"/>
          <w:i/>
          <w:color w:val="000000"/>
        </w:rPr>
        <w:t xml:space="preserve">“Shqipëria, një shoqëri e </w:t>
      </w:r>
      <w:r w:rsidR="006249E3" w:rsidRPr="00795698">
        <w:rPr>
          <w:rFonts w:ascii="Garamond" w:hAnsi="Garamond"/>
          <w:i/>
          <w:color w:val="000000"/>
        </w:rPr>
        <w:t>sigurt</w:t>
      </w:r>
      <w:r w:rsidRPr="00795698">
        <w:rPr>
          <w:rFonts w:ascii="Garamond" w:hAnsi="Garamond"/>
          <w:i/>
          <w:color w:val="000000"/>
        </w:rPr>
        <w:t xml:space="preserve"> pa kërcënime terroriste, me realitetin dhe imazhin e një vendi paqësor dhe me standarde e</w:t>
      </w:r>
      <w:r w:rsidR="00E820FD" w:rsidRPr="00795698">
        <w:rPr>
          <w:rFonts w:ascii="Garamond" w:hAnsi="Garamond"/>
          <w:i/>
          <w:color w:val="000000"/>
        </w:rPr>
        <w:t>v</w:t>
      </w:r>
      <w:r w:rsidRPr="00795698">
        <w:rPr>
          <w:rFonts w:ascii="Garamond" w:hAnsi="Garamond"/>
          <w:i/>
          <w:color w:val="000000"/>
        </w:rPr>
        <w:t>ropiane të sigurisë</w:t>
      </w:r>
      <w:r w:rsidR="00E820FD" w:rsidRPr="00795698">
        <w:rPr>
          <w:rFonts w:ascii="Garamond" w:hAnsi="Garamond"/>
          <w:i/>
          <w:color w:val="000000"/>
        </w:rPr>
        <w:t>.</w:t>
      </w:r>
      <w:r w:rsidRPr="00795698">
        <w:rPr>
          <w:rFonts w:ascii="Garamond" w:hAnsi="Garamond"/>
          <w:i/>
          <w:color w:val="000000"/>
        </w:rPr>
        <w:t>”</w:t>
      </w:r>
    </w:p>
    <w:p w14:paraId="5FEEF875" w14:textId="4427B7A0" w:rsidR="00893E99" w:rsidRPr="00795698" w:rsidRDefault="00893E99" w:rsidP="00893E99">
      <w:pPr>
        <w:ind w:firstLine="284"/>
        <w:jc w:val="both"/>
        <w:rPr>
          <w:rFonts w:ascii="Garamond" w:hAnsi="Garamond"/>
        </w:rPr>
      </w:pPr>
      <w:bookmarkStart w:id="39" w:name="_bookmark5"/>
      <w:bookmarkEnd w:id="39"/>
      <w:r w:rsidRPr="00795698">
        <w:rPr>
          <w:rFonts w:ascii="Garamond" w:hAnsi="Garamond"/>
        </w:rPr>
        <w:t xml:space="preserve">Vizioni i strategjisë bazohet në vizionin e Strategjisë Kombëtare për Zhvillim dhe Integrim </w:t>
      </w:r>
      <w:r w:rsidR="00623407" w:rsidRPr="00795698">
        <w:rPr>
          <w:rFonts w:ascii="Garamond" w:hAnsi="Garamond"/>
        </w:rPr>
        <w:t>2015–</w:t>
      </w:r>
      <w:r w:rsidRPr="00795698">
        <w:rPr>
          <w:rFonts w:ascii="Garamond" w:hAnsi="Garamond"/>
        </w:rPr>
        <w:t xml:space="preserve">2020 </w:t>
      </w:r>
      <w:r w:rsidRPr="00795698">
        <w:rPr>
          <w:rFonts w:ascii="Garamond" w:hAnsi="Garamond"/>
          <w:i/>
          <w:iCs/>
        </w:rPr>
        <w:t>“Shqipëria me një shoqëri pa trafikim, krim të organizuar dhe kërcënime terrorizmi, dhe me një imazh të një vendi paqësor dhe me standarde evropiane të sigurisë”</w:t>
      </w:r>
      <w:r w:rsidRPr="00795698">
        <w:rPr>
          <w:rFonts w:ascii="Garamond" w:hAnsi="Garamond"/>
        </w:rPr>
        <w:t xml:space="preserve">. Në kuadër të shtyllës së </w:t>
      </w:r>
      <w:r w:rsidR="0041767D" w:rsidRPr="00795698">
        <w:rPr>
          <w:rFonts w:ascii="Garamond" w:hAnsi="Garamond"/>
        </w:rPr>
        <w:t>‘</w:t>
      </w:r>
      <w:r w:rsidRPr="00795698">
        <w:rPr>
          <w:rFonts w:ascii="Garamond" w:hAnsi="Garamond"/>
        </w:rPr>
        <w:t xml:space="preserve">Mirëqeverisjes, Demokracisë </w:t>
      </w:r>
      <w:r w:rsidRPr="00795698">
        <w:rPr>
          <w:rFonts w:ascii="Garamond" w:hAnsi="Garamond"/>
        </w:rPr>
        <w:lastRenderedPageBreak/>
        <w:t>dhe shtetit të së Drejtës</w:t>
      </w:r>
      <w:r w:rsidR="0041767D" w:rsidRPr="00795698">
        <w:rPr>
          <w:rFonts w:ascii="Garamond" w:hAnsi="Garamond"/>
        </w:rPr>
        <w:t>’</w:t>
      </w:r>
      <w:r w:rsidRPr="00795698">
        <w:rPr>
          <w:rFonts w:ascii="Garamond" w:hAnsi="Garamond"/>
        </w:rPr>
        <w:t xml:space="preserve">, SKZHI paraqet se si ky vizion do të arrihet përmes politikave dhe përparësive sektoriale që synojnë </w:t>
      </w:r>
      <w:r w:rsidRPr="00795698">
        <w:rPr>
          <w:rFonts w:ascii="Garamond" w:hAnsi="Garamond"/>
          <w:b/>
          <w:bCs/>
        </w:rPr>
        <w:t>parandalimin e esktremizmit të dhunshëm dhe uljen e kërcënimeve terroriste</w:t>
      </w:r>
      <w:r w:rsidRPr="00795698">
        <w:rPr>
          <w:rFonts w:ascii="Garamond" w:hAnsi="Garamond"/>
        </w:rPr>
        <w:t xml:space="preserve"> nëpërmjet:</w:t>
      </w:r>
    </w:p>
    <w:p w14:paraId="5FEEF876" w14:textId="62710FAB" w:rsidR="00893E99" w:rsidRPr="00795698" w:rsidRDefault="000F7BA0" w:rsidP="000F7BA0">
      <w:pPr>
        <w:pStyle w:val="TEKSTIIIII"/>
        <w:rPr>
          <w:lang w:val="sq-AL"/>
        </w:rPr>
      </w:pPr>
      <w:r w:rsidRPr="00795698">
        <w:rPr>
          <w:lang w:val="sq-AL"/>
        </w:rPr>
        <w:t>-</w:t>
      </w:r>
      <w:r w:rsidR="00E820FD" w:rsidRPr="00795698">
        <w:rPr>
          <w:lang w:val="sq-AL"/>
        </w:rPr>
        <w:t xml:space="preserve"> </w:t>
      </w:r>
      <w:r w:rsidR="00893E99" w:rsidRPr="00795698">
        <w:rPr>
          <w:lang w:val="sq-AL"/>
        </w:rPr>
        <w:t xml:space="preserve">rritjes së rezultateve në luftën kundër terrorizmit përmes vendosjes dhe përdorimit të një sistemi efikas të vlerësimit të riskut, shoqëruar me forcimin institucional të njësive të angazhuara në këtë fushë. </w:t>
      </w:r>
    </w:p>
    <w:p w14:paraId="5FEEF877" w14:textId="14502A3D" w:rsidR="00893E99" w:rsidRPr="00795698" w:rsidRDefault="000F7BA0" w:rsidP="000F7BA0">
      <w:pPr>
        <w:pStyle w:val="TEKSTIIIII"/>
        <w:rPr>
          <w:lang w:val="sq-AL"/>
        </w:rPr>
      </w:pPr>
      <w:r w:rsidRPr="00795698">
        <w:rPr>
          <w:lang w:val="sq-AL"/>
        </w:rPr>
        <w:t>-</w:t>
      </w:r>
      <w:r w:rsidR="00E820FD" w:rsidRPr="00795698">
        <w:rPr>
          <w:lang w:val="sq-AL"/>
        </w:rPr>
        <w:t xml:space="preserve"> </w:t>
      </w:r>
      <w:r w:rsidR="00893E99" w:rsidRPr="00795698">
        <w:rPr>
          <w:lang w:val="sq-AL"/>
        </w:rPr>
        <w:t xml:space="preserve">rritje në numrin e operacioneve që përdorin metoda të hetimeve speciale; </w:t>
      </w:r>
    </w:p>
    <w:p w14:paraId="5FEEF878" w14:textId="45A98B42" w:rsidR="00893E99" w:rsidRPr="00795698" w:rsidRDefault="000F7BA0" w:rsidP="000F7BA0">
      <w:pPr>
        <w:pStyle w:val="TEKSTIIIII"/>
        <w:rPr>
          <w:lang w:val="sq-AL"/>
        </w:rPr>
      </w:pPr>
      <w:r w:rsidRPr="00795698">
        <w:rPr>
          <w:lang w:val="sq-AL"/>
        </w:rPr>
        <w:t>-</w:t>
      </w:r>
      <w:r w:rsidR="00E820FD" w:rsidRPr="00795698">
        <w:rPr>
          <w:lang w:val="sq-AL"/>
        </w:rPr>
        <w:t xml:space="preserve"> </w:t>
      </w:r>
      <w:r w:rsidR="00893E99" w:rsidRPr="00795698">
        <w:rPr>
          <w:lang w:val="sq-AL"/>
        </w:rPr>
        <w:t>rritje në numrin e operacioneve ndërkombëtare të përbashkëta; dhe</w:t>
      </w:r>
    </w:p>
    <w:p w14:paraId="5FEEF879" w14:textId="5EF16821" w:rsidR="00893E99" w:rsidRPr="00795698" w:rsidRDefault="000F7BA0" w:rsidP="000F7BA0">
      <w:pPr>
        <w:pStyle w:val="TEKSTIIIII"/>
        <w:rPr>
          <w:lang w:val="sq-AL"/>
        </w:rPr>
      </w:pPr>
      <w:r w:rsidRPr="00795698">
        <w:rPr>
          <w:lang w:val="sq-AL"/>
        </w:rPr>
        <w:t>-</w:t>
      </w:r>
      <w:r w:rsidR="00E820FD" w:rsidRPr="00795698">
        <w:rPr>
          <w:lang w:val="sq-AL"/>
        </w:rPr>
        <w:t xml:space="preserve"> </w:t>
      </w:r>
      <w:r w:rsidR="00893E99" w:rsidRPr="00795698">
        <w:rPr>
          <w:lang w:val="sq-AL"/>
        </w:rPr>
        <w:t>rritje në shkallën e zbulimit dhe parandalimin e veprave me qëllime terroriste;</w:t>
      </w:r>
    </w:p>
    <w:p w14:paraId="5FEEF87A" w14:textId="1A3784E1" w:rsidR="00893E99" w:rsidRPr="00795698" w:rsidRDefault="000F7BA0" w:rsidP="000F7BA0">
      <w:pPr>
        <w:pStyle w:val="TEKSTIIIII"/>
        <w:rPr>
          <w:lang w:val="sq-AL"/>
        </w:rPr>
      </w:pPr>
      <w:r w:rsidRPr="00795698">
        <w:rPr>
          <w:lang w:val="sq-AL"/>
        </w:rPr>
        <w:t>-</w:t>
      </w:r>
      <w:r w:rsidR="00E820FD" w:rsidRPr="00795698">
        <w:rPr>
          <w:lang w:val="sq-AL"/>
        </w:rPr>
        <w:t xml:space="preserve"> </w:t>
      </w:r>
      <w:r w:rsidR="00893E99" w:rsidRPr="00795698">
        <w:rPr>
          <w:lang w:val="sq-AL"/>
        </w:rPr>
        <w:t>ngritjes së një rrjeti të sigurt komunikimi për shkëmbimin e informacionit midis agjencive të angazhuara në luftën kundër terrorizmit.</w:t>
      </w:r>
    </w:p>
    <w:p w14:paraId="5FEEF87B" w14:textId="18C00975" w:rsidR="00893E99" w:rsidRPr="00795698" w:rsidRDefault="000F7BA0" w:rsidP="000F7BA0">
      <w:pPr>
        <w:pStyle w:val="TEKSTIIIII"/>
        <w:rPr>
          <w:color w:val="000000"/>
          <w:lang w:val="sq-AL"/>
        </w:rPr>
      </w:pPr>
      <w:r w:rsidRPr="00795698">
        <w:rPr>
          <w:lang w:val="sq-AL"/>
        </w:rPr>
        <w:t>-</w:t>
      </w:r>
      <w:r w:rsidR="00E820FD" w:rsidRPr="00795698">
        <w:rPr>
          <w:lang w:val="sq-AL"/>
        </w:rPr>
        <w:t xml:space="preserve"> </w:t>
      </w:r>
      <w:r w:rsidR="00893E99" w:rsidRPr="00795698">
        <w:rPr>
          <w:lang w:val="sq-AL"/>
        </w:rPr>
        <w:t>efikasitetit të hetimeve të krimeve kibernetike; me përmbajtje radikaliste, ekstremiste dhe terroriste;</w:t>
      </w:r>
    </w:p>
    <w:p w14:paraId="5FEEF87C" w14:textId="59F4A08C" w:rsidR="00893E99" w:rsidRPr="00795698" w:rsidRDefault="000F7BA0" w:rsidP="000F7BA0">
      <w:pPr>
        <w:pStyle w:val="TEKSTIIIII"/>
        <w:rPr>
          <w:color w:val="000000"/>
          <w:lang w:val="sq-AL"/>
        </w:rPr>
      </w:pPr>
      <w:r w:rsidRPr="00795698">
        <w:rPr>
          <w:color w:val="000000"/>
          <w:lang w:val="sq-AL"/>
        </w:rPr>
        <w:t>-</w:t>
      </w:r>
      <w:r w:rsidR="00E820FD" w:rsidRPr="00795698">
        <w:rPr>
          <w:color w:val="000000"/>
          <w:lang w:val="sq-AL"/>
        </w:rPr>
        <w:t xml:space="preserve"> </w:t>
      </w:r>
      <w:r w:rsidR="00893E99" w:rsidRPr="00795698">
        <w:rPr>
          <w:color w:val="000000"/>
          <w:lang w:val="sq-AL"/>
        </w:rPr>
        <w:t>parandalimi dhe ulja e kërcënimeve terroriste;</w:t>
      </w:r>
    </w:p>
    <w:p w14:paraId="5FEEF87D" w14:textId="23ADB48F" w:rsidR="00893E99" w:rsidRPr="00795698" w:rsidRDefault="000F7BA0" w:rsidP="000F7BA0">
      <w:pPr>
        <w:pStyle w:val="TEKSTIIIII"/>
        <w:rPr>
          <w:color w:val="000000"/>
          <w:lang w:val="sq-AL"/>
        </w:rPr>
      </w:pPr>
      <w:r w:rsidRPr="00795698">
        <w:rPr>
          <w:color w:val="000000"/>
          <w:lang w:val="sq-AL"/>
        </w:rPr>
        <w:t>-</w:t>
      </w:r>
      <w:r w:rsidR="00E820FD" w:rsidRPr="00795698">
        <w:rPr>
          <w:color w:val="000000"/>
          <w:lang w:val="sq-AL"/>
        </w:rPr>
        <w:t xml:space="preserve"> </w:t>
      </w:r>
      <w:r w:rsidR="00893E99" w:rsidRPr="00795698">
        <w:rPr>
          <w:color w:val="000000"/>
          <w:lang w:val="sq-AL"/>
        </w:rPr>
        <w:t xml:space="preserve">konsolidimi shërbimit të </w:t>
      </w:r>
      <w:r w:rsidR="00893E99" w:rsidRPr="00795698">
        <w:rPr>
          <w:lang w:val="sq-AL"/>
        </w:rPr>
        <w:t>inteligjencës</w:t>
      </w:r>
      <w:r w:rsidR="00893E99" w:rsidRPr="00795698">
        <w:rPr>
          <w:color w:val="000000"/>
          <w:lang w:val="sq-AL"/>
        </w:rPr>
        <w:t xml:space="preserve"> dhe atij hetimor drejt një shërbimi më bashkëkohor në procedura, mjete dhe teknologji;</w:t>
      </w:r>
    </w:p>
    <w:p w14:paraId="5FEEF87E" w14:textId="60C293D1" w:rsidR="00893E99" w:rsidRPr="00795698" w:rsidRDefault="000F7BA0" w:rsidP="000F7BA0">
      <w:pPr>
        <w:pStyle w:val="TEKSTIIIII"/>
        <w:rPr>
          <w:lang w:val="sq-AL"/>
        </w:rPr>
      </w:pPr>
      <w:r w:rsidRPr="00795698">
        <w:rPr>
          <w:color w:val="000000"/>
          <w:lang w:val="sq-AL"/>
        </w:rPr>
        <w:t>-</w:t>
      </w:r>
      <w:r w:rsidR="00E820FD" w:rsidRPr="00795698">
        <w:rPr>
          <w:color w:val="000000"/>
          <w:lang w:val="sq-AL"/>
        </w:rPr>
        <w:t xml:space="preserve"> </w:t>
      </w:r>
      <w:r w:rsidR="00893E99" w:rsidRPr="00795698">
        <w:rPr>
          <w:color w:val="000000"/>
          <w:lang w:val="sq-AL"/>
        </w:rPr>
        <w:t>forcimi i bashkëpunimit rajonal dhe ndërkombëtar.</w:t>
      </w:r>
    </w:p>
    <w:p w14:paraId="5FEEF87F" w14:textId="1932CE29" w:rsidR="00893E99" w:rsidRPr="00795698" w:rsidRDefault="00893E99" w:rsidP="00893E99">
      <w:pPr>
        <w:ind w:firstLine="284"/>
        <w:contextualSpacing/>
        <w:jc w:val="both"/>
        <w:rPr>
          <w:rFonts w:ascii="Garamond" w:hAnsi="Garamond"/>
        </w:rPr>
      </w:pPr>
      <w:r w:rsidRPr="00795698">
        <w:rPr>
          <w:rFonts w:ascii="Garamond" w:hAnsi="Garamond"/>
        </w:rPr>
        <w:t xml:space="preserve">Qendra </w:t>
      </w:r>
      <w:r w:rsidR="000E7837" w:rsidRPr="00795698">
        <w:rPr>
          <w:rFonts w:ascii="Garamond" w:hAnsi="Garamond"/>
        </w:rPr>
        <w:t>k</w:t>
      </w:r>
      <w:r w:rsidRPr="00795698">
        <w:rPr>
          <w:rFonts w:ascii="Garamond" w:hAnsi="Garamond"/>
        </w:rPr>
        <w:t xml:space="preserve">undër Ekstremizmit të Dhunshëm synon të reformohet dhe të ngrejë kapacitetet e saj duke marrë përgjegjësitë e duhura në fushën e parandalimit të ekstremizmit të dhunshëm, të konsolidojë dhe institucionalizojë aktivitetet e saj trajnuese me të gjithë aktorët shtetërore e joshtetërore, të zhvillojë më tej komunikimin strategjik në interes të ndërgjegjësimit, të zgjerojë produktet e saj analitike dhe vlerësimet e specializuara. Në interes të parandalimit të ekstremizmit të dhunshëm do të ngrejë mekanizma institucionalë që do rrisin dhe formalizojnë bashkëpunimin me institucionet ligjzbatuese dhe do të synohet normimi i këtij bashkëpunimi me synim mbështetjen sa më mirë të përmbushjes së përgjegjegjësive të saj. Qendra </w:t>
      </w:r>
      <w:r w:rsidR="000E7837" w:rsidRPr="00795698">
        <w:rPr>
          <w:rFonts w:ascii="Garamond" w:hAnsi="Garamond"/>
        </w:rPr>
        <w:t>k</w:t>
      </w:r>
      <w:r w:rsidRPr="00795698">
        <w:rPr>
          <w:rFonts w:ascii="Garamond" w:hAnsi="Garamond"/>
        </w:rPr>
        <w:t xml:space="preserve">undër Ekstremizmit të Dhunshëm synon të rrisë efektshmërinë duke punuar në drejtim të kompjuterizimit/digjitalizimit për mbledhjen e të dhënave, me qëllim vlerësimin e situatës dhe realizimin e ndërhyrjeve për parandalimin e akteve të ndryshme terroriste nga institucionet përkatëse, por edhe duke mbështetur </w:t>
      </w:r>
      <w:r w:rsidR="00F53E58" w:rsidRPr="00795698">
        <w:rPr>
          <w:rFonts w:ascii="Garamond" w:hAnsi="Garamond"/>
        </w:rPr>
        <w:t>ri</w:t>
      </w:r>
      <w:r w:rsidRPr="00795698">
        <w:rPr>
          <w:rFonts w:ascii="Garamond" w:hAnsi="Garamond"/>
        </w:rPr>
        <w:t>integrimin e personave të radikalizuar në një mënyrë efikase me një qasje institucionale të integruar.</w:t>
      </w:r>
    </w:p>
    <w:p w14:paraId="5FEEF880" w14:textId="77777777" w:rsidR="00893E99" w:rsidRPr="00795698" w:rsidRDefault="00893E99" w:rsidP="00893E99">
      <w:pPr>
        <w:ind w:firstLine="284"/>
        <w:contextualSpacing/>
        <w:jc w:val="both"/>
        <w:rPr>
          <w:rFonts w:ascii="Garamond" w:hAnsi="Garamond"/>
          <w:bCs/>
          <w:iCs/>
          <w:color w:val="000000"/>
          <w:spacing w:val="-1"/>
        </w:rPr>
      </w:pPr>
      <w:r w:rsidRPr="00795698">
        <w:rPr>
          <w:rFonts w:ascii="Garamond" w:hAnsi="Garamond"/>
        </w:rPr>
        <w:t>Theksi për arritjen e vizionit të kësaj strategjie do të vihet në parandalimin e akteve terroriste, duke përdorur një përgjigje të koordinuar nga institucionet shtetërore në bashkëpunim të ngushtë me komunitetin. Çdo reagim duhet patjetër të marrë në konsideratë faktin se një sulm terrorist nuk do të jetë i suksesshëm nëse ekzistojnë planet e parandalimit të sulmeve terroriste dhe strukturat e nevojshme me qasje gjithëpërfshirëse për mbledhjen e trajtimin efikas të informacionit, ndërveprimit, dhe reagimit të shpejtë.</w:t>
      </w:r>
    </w:p>
    <w:p w14:paraId="5FEEF881" w14:textId="77777777" w:rsidR="00893E99" w:rsidRPr="00795698" w:rsidRDefault="00893E99" w:rsidP="00893E99">
      <w:pPr>
        <w:ind w:firstLine="284"/>
        <w:jc w:val="both"/>
        <w:rPr>
          <w:rFonts w:ascii="Garamond" w:hAnsi="Garamond"/>
          <w:bCs/>
          <w:iCs/>
          <w:color w:val="000000"/>
          <w:spacing w:val="-1"/>
        </w:rPr>
      </w:pPr>
      <w:r w:rsidRPr="00795698">
        <w:rPr>
          <w:rFonts w:ascii="Garamond" w:hAnsi="Garamond"/>
          <w:bCs/>
          <w:iCs/>
          <w:color w:val="000000"/>
          <w:spacing w:val="-1"/>
        </w:rPr>
        <w:t>Për të arritur këtë objektiv, do të jetë e nevojshme që të evitohen dëmet nga aktet e mundshme terroriste dhe ekstremiste duke:</w:t>
      </w:r>
    </w:p>
    <w:p w14:paraId="5FEEF882" w14:textId="77777777" w:rsidR="00893E99" w:rsidRPr="00795698" w:rsidRDefault="000F7BA0" w:rsidP="000F7BA0">
      <w:pPr>
        <w:pStyle w:val="TEKSTIIIII"/>
        <w:rPr>
          <w:lang w:val="sq-AL"/>
        </w:rPr>
      </w:pPr>
      <w:r w:rsidRPr="00795698">
        <w:rPr>
          <w:lang w:val="sq-AL"/>
        </w:rPr>
        <w:t>-</w:t>
      </w:r>
      <w:r w:rsidR="00893E99" w:rsidRPr="00795698">
        <w:rPr>
          <w:lang w:val="sq-AL"/>
        </w:rPr>
        <w:t xml:space="preserve">Ndjekur sipas kuadrit ligjor në fuqi dhe mbi bazën e dyshimeve të arsyeshme persona të përfshirë në terrorizëm. </w:t>
      </w:r>
    </w:p>
    <w:p w14:paraId="5FEEF883" w14:textId="431D5BCE" w:rsidR="00893E99" w:rsidRPr="00795698" w:rsidRDefault="000F7BA0" w:rsidP="000F7BA0">
      <w:pPr>
        <w:pStyle w:val="TEKSTIIIII"/>
        <w:rPr>
          <w:lang w:val="sq-AL"/>
        </w:rPr>
      </w:pPr>
      <w:r w:rsidRPr="00795698">
        <w:rPr>
          <w:lang w:val="sq-AL"/>
        </w:rPr>
        <w:t>-</w:t>
      </w:r>
      <w:r w:rsidR="00893E99" w:rsidRPr="00795698">
        <w:rPr>
          <w:lang w:val="sq-AL"/>
        </w:rPr>
        <w:t>Mbrojtur zonat që janë shumë të rëndësishme për funksionimin e</w:t>
      </w:r>
      <w:r w:rsidR="007C064A" w:rsidRPr="00795698">
        <w:rPr>
          <w:lang w:val="sq-AL"/>
        </w:rPr>
        <w:t xml:space="preserve"> </w:t>
      </w:r>
      <w:r w:rsidR="00893E99" w:rsidRPr="00795698">
        <w:rPr>
          <w:lang w:val="sq-AL"/>
        </w:rPr>
        <w:t>vendit dhe duke reaguar në mënyrë efektive në rastin e një incidenti.</w:t>
      </w:r>
    </w:p>
    <w:p w14:paraId="5FEEF884" w14:textId="77777777" w:rsidR="00893E99" w:rsidRPr="00795698" w:rsidRDefault="00893E99" w:rsidP="00893E99">
      <w:pPr>
        <w:ind w:firstLine="284"/>
        <w:contextualSpacing/>
        <w:jc w:val="both"/>
        <w:rPr>
          <w:rFonts w:ascii="Garamond" w:hAnsi="Garamond"/>
          <w:bCs/>
          <w:iCs/>
          <w:color w:val="000000"/>
          <w:spacing w:val="-1"/>
        </w:rPr>
      </w:pPr>
      <w:r w:rsidRPr="00795698">
        <w:rPr>
          <w:rFonts w:ascii="Garamond" w:hAnsi="Garamond"/>
          <w:bCs/>
          <w:iCs/>
          <w:color w:val="000000"/>
          <w:spacing w:val="-1"/>
        </w:rPr>
        <w:t>Të parashikohen e përfundojnë aktet e nevojshme ligjore dhe normative për objektet e infrastrukturën kritike të vendit që mund të jenë objekt i sulmeve terroriste dhe që mund të sjellin pasoja të rënda për vendin. Për këtë fakt të parashikohen edhe rrugët për zgjidhjet e situatave që mund të lindin nga përgatitjet apo tentativat e mundshme terroriste.</w:t>
      </w:r>
    </w:p>
    <w:p w14:paraId="5FEEF885" w14:textId="407AB548" w:rsidR="00893E99" w:rsidRPr="00795698" w:rsidRDefault="00893E99" w:rsidP="00893E99">
      <w:pPr>
        <w:ind w:firstLine="284"/>
        <w:contextualSpacing/>
        <w:jc w:val="both"/>
        <w:rPr>
          <w:rFonts w:ascii="Garamond" w:hAnsi="Garamond"/>
        </w:rPr>
      </w:pPr>
      <w:r w:rsidRPr="00795698">
        <w:rPr>
          <w:rFonts w:ascii="Garamond" w:hAnsi="Garamond"/>
        </w:rPr>
        <w:t xml:space="preserve">Në përgjithësi, theksi i objektivave specifikë në lidhje me parandalimin dhe kundërshtimin e ekstremizmit të dhunshëm, fokusohet në ndërgjegjësimin e institucioneve të ndryshme shtetërore me përgjegjësi në këtë fushë në fuqizimin e strukturave të posaçme dhe mandatimin e roleve shtesë </w:t>
      </w:r>
      <w:r w:rsidRPr="00795698">
        <w:rPr>
          <w:rFonts w:ascii="Garamond" w:hAnsi="Garamond"/>
        </w:rPr>
        <w:lastRenderedPageBreak/>
        <w:t>të tyre që do të ndihmojnë në ngritjen e një entiteti shtetëror potencial për koordinimin e përpjekjeve mbarë shtetërore në kryerjen vlerësimeve periodike të nevojave, kryerjen e analizave dhe vlerësimeve funksionale ndaj fenomenit, shkëmbimin e informacionit të nevojshëm me struktura inteligjente dhe ligjzbatuese. Zgjerimi i përgjegjësive do të mbështetëse dhe të garantojë rolin bashkërendues dhe koordinues në nivel kombëtar, si bërthamë qendrore, duke shfrytëzuar përvojën praktike dhe aspektet pozitive të fituara gjatë viteve të fundit në punën e kryer pranë komuniteteve në rrezik dhe familjeve të luftëtarëve të huaj të kthyer në Shqipëri, dhe parandalimit të fenomenit. Për arritjen e këtij qëllimi do të zhvillohet një analizë ligjore dhe funksionale në lidhje me kapacitetet dhe strukturat kombëtare në fushën e ekstremizmit duke identifikuar mangësitë dhe boshllëqet në kapacitetet parandaluese dhe ato të lajmërimit të hershëm, inteligjente dhe hetimore si dhe ato goditëse e reaguese. Në varësi të gjetjeve do të hartohet kuadri i nevojshëm ligjor dhe institucional për plotësimin e kapaciteteve dhe nevojave kombëtare në këtë drejtim.</w:t>
      </w:r>
    </w:p>
    <w:p w14:paraId="5FEEF886" w14:textId="3595D799" w:rsidR="00893E99" w:rsidRPr="00795698" w:rsidRDefault="00893E99" w:rsidP="00893E99">
      <w:pPr>
        <w:ind w:firstLine="284"/>
        <w:contextualSpacing/>
        <w:jc w:val="both"/>
        <w:rPr>
          <w:rFonts w:ascii="Garamond" w:hAnsi="Garamond"/>
        </w:rPr>
      </w:pPr>
      <w:r w:rsidRPr="00795698">
        <w:rPr>
          <w:rFonts w:ascii="Garamond" w:hAnsi="Garamond"/>
        </w:rPr>
        <w:t xml:space="preserve">Hartimi i </w:t>
      </w:r>
      <w:r w:rsidR="00E820FD" w:rsidRPr="00795698">
        <w:rPr>
          <w:rFonts w:ascii="Garamond" w:hAnsi="Garamond"/>
        </w:rPr>
        <w:t>u</w:t>
      </w:r>
      <w:r w:rsidRPr="00795698">
        <w:rPr>
          <w:rFonts w:ascii="Garamond" w:hAnsi="Garamond"/>
        </w:rPr>
        <w:t>dhëzuesit të indikatorëve/treguesve, shenjave të hershme që shfaqin personat e radikalizuar</w:t>
      </w:r>
      <w:r w:rsidR="007C064A" w:rsidRPr="00795698">
        <w:rPr>
          <w:rFonts w:ascii="Garamond" w:hAnsi="Garamond"/>
        </w:rPr>
        <w:t xml:space="preserve"> </w:t>
      </w:r>
      <w:r w:rsidRPr="00795698">
        <w:rPr>
          <w:rFonts w:ascii="Garamond" w:hAnsi="Garamond"/>
        </w:rPr>
        <w:t>do të jetë një dokument që do të sjellë një qasje të re për</w:t>
      </w:r>
      <w:r w:rsidR="007C064A" w:rsidRPr="00795698">
        <w:rPr>
          <w:rFonts w:ascii="Garamond" w:hAnsi="Garamond"/>
        </w:rPr>
        <w:t xml:space="preserve"> </w:t>
      </w:r>
      <w:r w:rsidRPr="00795698">
        <w:rPr>
          <w:rFonts w:ascii="Garamond" w:hAnsi="Garamond"/>
        </w:rPr>
        <w:t>hartimin e raporteve të të indikatorëve, duke synuar në lehtësimin e punës</w:t>
      </w:r>
      <w:r w:rsidR="007C064A" w:rsidRPr="00795698">
        <w:rPr>
          <w:rFonts w:ascii="Garamond" w:hAnsi="Garamond"/>
        </w:rPr>
        <w:t xml:space="preserve"> </w:t>
      </w:r>
      <w:r w:rsidRPr="00795698">
        <w:rPr>
          <w:rFonts w:ascii="Garamond" w:hAnsi="Garamond"/>
        </w:rPr>
        <w:t xml:space="preserve">së QKEDH-së dhe të </w:t>
      </w:r>
      <w:r w:rsidR="00E820FD" w:rsidRPr="00795698">
        <w:rPr>
          <w:rFonts w:ascii="Garamond" w:hAnsi="Garamond"/>
        </w:rPr>
        <w:t>ministrive të linjës</w:t>
      </w:r>
      <w:r w:rsidRPr="00795698">
        <w:rPr>
          <w:rFonts w:ascii="Garamond" w:hAnsi="Garamond"/>
        </w:rPr>
        <w:t>, të cilat janë përgjegjëse</w:t>
      </w:r>
      <w:r w:rsidR="007C064A" w:rsidRPr="00795698">
        <w:rPr>
          <w:rFonts w:ascii="Garamond" w:hAnsi="Garamond"/>
        </w:rPr>
        <w:t xml:space="preserve"> </w:t>
      </w:r>
      <w:r w:rsidRPr="00795698">
        <w:rPr>
          <w:rFonts w:ascii="Garamond" w:hAnsi="Garamond"/>
        </w:rPr>
        <w:t xml:space="preserve">për grumbullimin e informacionit dhe konkretizimin e tij në raporte periodike vjetore mbi progresin e arritur në drejtim të masave prioritare të parashikuara për periudhën </w:t>
      </w:r>
      <w:r w:rsidR="006249E3" w:rsidRPr="00795698">
        <w:rPr>
          <w:rFonts w:ascii="Garamond" w:hAnsi="Garamond"/>
        </w:rPr>
        <w:t>2023–2025</w:t>
      </w:r>
      <w:r w:rsidRPr="00795698">
        <w:rPr>
          <w:rFonts w:ascii="Garamond" w:hAnsi="Garamond"/>
        </w:rPr>
        <w:t>.</w:t>
      </w:r>
    </w:p>
    <w:p w14:paraId="5FEEF887" w14:textId="0AD161AC" w:rsidR="00893E99" w:rsidRPr="00795698" w:rsidRDefault="00893E99" w:rsidP="00893E99">
      <w:pPr>
        <w:ind w:firstLine="284"/>
        <w:contextualSpacing/>
        <w:jc w:val="both"/>
        <w:rPr>
          <w:rFonts w:ascii="Garamond" w:hAnsi="Garamond"/>
        </w:rPr>
      </w:pPr>
      <w:r w:rsidRPr="00795698">
        <w:rPr>
          <w:rFonts w:ascii="Garamond" w:hAnsi="Garamond"/>
        </w:rPr>
        <w:t>Gjithashtu, një aspekt ku QKEDH</w:t>
      </w:r>
      <w:r w:rsidR="00E820FD" w:rsidRPr="00795698">
        <w:rPr>
          <w:rFonts w:ascii="Garamond" w:hAnsi="Garamond"/>
        </w:rPr>
        <w:t>-ja</w:t>
      </w:r>
      <w:r w:rsidRPr="00795698">
        <w:rPr>
          <w:rFonts w:ascii="Garamond" w:hAnsi="Garamond"/>
        </w:rPr>
        <w:t xml:space="preserve"> synon të fokusohet është komunikimi strategjik i cili është një proces ku kërkohet ekuilibër ndërmjet dhënies së qartë të mesazhit, pa stigmatizuar grupe të veçanta dhe synon të ndërgjegjësojë aktorët e vijës së parë. </w:t>
      </w:r>
    </w:p>
    <w:p w14:paraId="5FEEF888" w14:textId="65DFF3B4" w:rsidR="00893E99" w:rsidRPr="00795698" w:rsidRDefault="00893E99" w:rsidP="00893E99">
      <w:pPr>
        <w:ind w:firstLine="284"/>
        <w:contextualSpacing/>
        <w:jc w:val="both"/>
        <w:rPr>
          <w:rFonts w:ascii="Garamond" w:hAnsi="Garamond"/>
        </w:rPr>
      </w:pPr>
      <w:r w:rsidRPr="00795698">
        <w:rPr>
          <w:rFonts w:ascii="Garamond" w:hAnsi="Garamond"/>
        </w:rPr>
        <w:t xml:space="preserve">Një ndër </w:t>
      </w:r>
      <w:r w:rsidR="000E7837" w:rsidRPr="00795698">
        <w:rPr>
          <w:rFonts w:ascii="Garamond" w:hAnsi="Garamond"/>
        </w:rPr>
        <w:t>bashkëpunëtorët</w:t>
      </w:r>
      <w:r w:rsidRPr="00795698">
        <w:rPr>
          <w:rFonts w:ascii="Garamond" w:hAnsi="Garamond"/>
        </w:rPr>
        <w:t xml:space="preserve"> kyç për parandalimin e ekstremizmit të dhunshëm është shoqëria civile.</w:t>
      </w:r>
    </w:p>
    <w:p w14:paraId="5FEEF889" w14:textId="77777777" w:rsidR="00893E99" w:rsidRPr="00795698" w:rsidRDefault="00893E99" w:rsidP="00893E99">
      <w:pPr>
        <w:pStyle w:val="Heading3"/>
        <w:spacing w:before="0"/>
        <w:ind w:firstLine="284"/>
        <w:rPr>
          <w:rFonts w:ascii="Garamond" w:hAnsi="Garamond"/>
          <w:color w:val="auto"/>
        </w:rPr>
      </w:pPr>
      <w:bookmarkStart w:id="40" w:name="_Toc108644269"/>
      <w:r w:rsidRPr="00795698">
        <w:rPr>
          <w:rFonts w:ascii="Garamond" w:hAnsi="Garamond"/>
          <w:color w:val="auto"/>
        </w:rPr>
        <w:t>3.1.2 Misioni</w:t>
      </w:r>
      <w:bookmarkEnd w:id="40"/>
      <w:r w:rsidRPr="00795698">
        <w:rPr>
          <w:rFonts w:ascii="Garamond" w:hAnsi="Garamond"/>
          <w:color w:val="auto"/>
        </w:rPr>
        <w:t xml:space="preserve"> </w:t>
      </w:r>
    </w:p>
    <w:p w14:paraId="5FEEF88A" w14:textId="60657F67" w:rsidR="000F7BA0" w:rsidRPr="00795698" w:rsidRDefault="000F7BA0" w:rsidP="000F7BA0">
      <w:pPr>
        <w:pStyle w:val="ListParagraph"/>
        <w:ind w:left="0" w:firstLine="284"/>
        <w:jc w:val="both"/>
        <w:rPr>
          <w:rFonts w:ascii="Garamond" w:hAnsi="Garamond"/>
          <w:i/>
          <w:color w:val="000000" w:themeColor="text1"/>
          <w:spacing w:val="-1"/>
        </w:rPr>
      </w:pPr>
      <w:r w:rsidRPr="00795698">
        <w:rPr>
          <w:rFonts w:ascii="Garamond" w:hAnsi="Garamond"/>
          <w:i/>
          <w:color w:val="000000" w:themeColor="text1"/>
          <w:spacing w:val="-1"/>
        </w:rPr>
        <w:t>“Krijimi i kapaciteteve, sistemeve efektive kombëtare, koordinimit e bashkëpunimit kombëtar, rajonal dhe ndërkombëtar për parandalimin e radikalizimit, ekstremizmit të dhunshëm, luftën kundër terrorizmit, hetimin dhe mbrojtjen nga aktet terroriste, si edhe për rehabilitimin dhe riintegrimin e individëve të radikalizuar ose të kthyerve nga zonat e konfliktit</w:t>
      </w:r>
      <w:r w:rsidR="00E820FD" w:rsidRPr="00795698">
        <w:rPr>
          <w:rFonts w:ascii="Garamond" w:hAnsi="Garamond"/>
          <w:i/>
          <w:color w:val="000000" w:themeColor="text1"/>
          <w:spacing w:val="-1"/>
        </w:rPr>
        <w:t>.</w:t>
      </w:r>
      <w:r w:rsidRPr="00795698">
        <w:rPr>
          <w:rFonts w:ascii="Garamond" w:hAnsi="Garamond"/>
          <w:i/>
          <w:color w:val="000000" w:themeColor="text1"/>
          <w:spacing w:val="-1"/>
        </w:rPr>
        <w:t>”</w:t>
      </w:r>
    </w:p>
    <w:p w14:paraId="5FEEF88B" w14:textId="77777777" w:rsidR="00893E99" w:rsidRPr="00795698" w:rsidRDefault="00893E99" w:rsidP="00893E99">
      <w:pPr>
        <w:pStyle w:val="Heading3"/>
        <w:spacing w:before="0"/>
        <w:ind w:firstLine="284"/>
        <w:rPr>
          <w:rFonts w:ascii="Garamond" w:hAnsi="Garamond"/>
          <w:color w:val="auto"/>
        </w:rPr>
      </w:pPr>
      <w:bookmarkStart w:id="41" w:name="_Toc108644270"/>
      <w:r w:rsidRPr="00795698">
        <w:rPr>
          <w:rFonts w:ascii="Garamond" w:hAnsi="Garamond"/>
          <w:color w:val="auto"/>
        </w:rPr>
        <w:t>3.1.3 Indikatorët e impaktit dhe indikatorët e rezultatit</w:t>
      </w:r>
      <w:bookmarkEnd w:id="41"/>
      <w:r w:rsidRPr="00795698">
        <w:rPr>
          <w:rFonts w:ascii="Garamond" w:hAnsi="Garamond"/>
          <w:color w:val="auto"/>
        </w:rPr>
        <w:t xml:space="preserve"> </w:t>
      </w:r>
    </w:p>
    <w:p w14:paraId="5FEEF88C" w14:textId="77777777" w:rsidR="00893E99" w:rsidRPr="00795698" w:rsidRDefault="000F7BA0" w:rsidP="000F7BA0">
      <w:pPr>
        <w:pStyle w:val="TEKSTIIIII"/>
        <w:rPr>
          <w:b/>
          <w:lang w:val="sq-AL"/>
        </w:rPr>
      </w:pPr>
      <w:r w:rsidRPr="00795698">
        <w:rPr>
          <w:b/>
          <w:lang w:val="sq-AL"/>
        </w:rPr>
        <w:t xml:space="preserve">- </w:t>
      </w:r>
      <w:r w:rsidR="00893E99" w:rsidRPr="00795698">
        <w:rPr>
          <w:b/>
          <w:lang w:val="sq-AL"/>
        </w:rPr>
        <w:t>Impakti ekonomik</w:t>
      </w:r>
    </w:p>
    <w:p w14:paraId="5FEEF88D" w14:textId="1EAC20C8" w:rsidR="00893E99" w:rsidRPr="00795698" w:rsidRDefault="00893E99" w:rsidP="00893E99">
      <w:pPr>
        <w:pStyle w:val="ListParagraph"/>
        <w:ind w:left="0" w:firstLine="284"/>
        <w:jc w:val="both"/>
        <w:rPr>
          <w:rFonts w:ascii="Garamond" w:hAnsi="Garamond"/>
          <w:bCs/>
          <w:spacing w:val="-1"/>
        </w:rPr>
      </w:pPr>
      <w:r w:rsidRPr="00795698">
        <w:rPr>
          <w:rFonts w:ascii="Garamond" w:hAnsi="Garamond"/>
          <w:bCs/>
          <w:spacing w:val="-1"/>
        </w:rPr>
        <w:t xml:space="preserve">Kjo strategji do të ketë një impakt të drejtpërdrejtë në ekonominë e vendit, pasi do të krijojë një mjedis më të sigurt për sektorin privat ku nëpërmjet sigurisë së komuniteteve dhe partnershipit publik-privat të lidhur me rritjen e punësimit dhe </w:t>
      </w:r>
      <w:r w:rsidR="000E7837" w:rsidRPr="00795698">
        <w:rPr>
          <w:rFonts w:ascii="Garamond" w:hAnsi="Garamond"/>
          <w:bCs/>
          <w:spacing w:val="-1"/>
        </w:rPr>
        <w:t>mirëqenies</w:t>
      </w:r>
      <w:r w:rsidRPr="00795698">
        <w:rPr>
          <w:rFonts w:ascii="Garamond" w:hAnsi="Garamond"/>
          <w:bCs/>
          <w:spacing w:val="-1"/>
        </w:rPr>
        <w:t xml:space="preserve"> sociale. Hetimi i financimit të ekstremizmit t</w:t>
      </w:r>
      <w:r w:rsidR="007265E9" w:rsidRPr="00795698">
        <w:rPr>
          <w:rFonts w:ascii="Garamond" w:hAnsi="Garamond"/>
          <w:bCs/>
          <w:spacing w:val="-1"/>
        </w:rPr>
        <w:t>ë</w:t>
      </w:r>
      <w:r w:rsidRPr="00795698">
        <w:rPr>
          <w:rFonts w:ascii="Garamond" w:hAnsi="Garamond"/>
          <w:bCs/>
          <w:spacing w:val="-1"/>
        </w:rPr>
        <w:t xml:space="preserve"> dhunshëm dhe terrorizmit dhe rritja e kapaciteteve zbuluese ka impakt në përmirësimin e nivelit ekonomik, uljen e papunësisë dhe varfërisë, dhe krijon kushte për uljen e gjasave të rekrutimit të personave të caktuar të cilët bëhen rrezik potencial për të kryer akte terroriste. Programet që lidhen me ndërgjegjësimin, ngritjen dhe rritjen e kapaciteteve të aktorëve të vijës së parë, edukimin, krijimin e mundësive për punësimin dhe angazhimin e të rinjve në aktivitete afër komunitetit, rehabilitimit, riintegrimit, risocializimint dhe deradikalizimin e të kthyerve nga zonat e konfliktit. Këta faktorë sjellin uljen e rasteve të radikalizimit dhe anëtarësimit në organizata terroriste, duke ndikuar edhe në krijimin e një mjedisi të sigurt për investime të brendshme dhe të huaja.</w:t>
      </w:r>
      <w:r w:rsidR="007C064A" w:rsidRPr="00795698">
        <w:rPr>
          <w:rFonts w:ascii="Garamond" w:hAnsi="Garamond"/>
          <w:bCs/>
          <w:spacing w:val="-1"/>
        </w:rPr>
        <w:t xml:space="preserve"> </w:t>
      </w:r>
    </w:p>
    <w:p w14:paraId="5FEEF88E" w14:textId="77777777" w:rsidR="00893E99" w:rsidRPr="00795698" w:rsidRDefault="000F7BA0" w:rsidP="000F7BA0">
      <w:pPr>
        <w:pStyle w:val="TEKSTIIIII"/>
        <w:rPr>
          <w:b/>
          <w:lang w:val="sq-AL"/>
        </w:rPr>
      </w:pPr>
      <w:r w:rsidRPr="00795698">
        <w:rPr>
          <w:b/>
          <w:lang w:val="sq-AL"/>
        </w:rPr>
        <w:t>-</w:t>
      </w:r>
      <w:r w:rsidR="00893E99" w:rsidRPr="00795698">
        <w:rPr>
          <w:b/>
          <w:lang w:val="sq-AL"/>
        </w:rPr>
        <w:t xml:space="preserve">Impakti social </w:t>
      </w:r>
    </w:p>
    <w:p w14:paraId="5FEEF88F" w14:textId="50813DB7" w:rsidR="00893E99" w:rsidRPr="00795698" w:rsidRDefault="00893E99" w:rsidP="00893E99">
      <w:pPr>
        <w:pStyle w:val="ListParagraph"/>
        <w:ind w:left="0" w:firstLine="284"/>
        <w:jc w:val="both"/>
        <w:rPr>
          <w:rFonts w:ascii="Garamond" w:hAnsi="Garamond"/>
          <w:bCs/>
          <w:spacing w:val="-1"/>
        </w:rPr>
      </w:pPr>
      <w:r w:rsidRPr="00795698">
        <w:rPr>
          <w:rFonts w:ascii="Garamond" w:hAnsi="Garamond"/>
          <w:bCs/>
          <w:spacing w:val="-1"/>
        </w:rPr>
        <w:t>Pasojat e ekstremizmit të dhunshëm dhe terrorizmit shtrihen edhe në rrafshin social të një vendi. Ato ndikojnë negativisht në elementët socialë dhe etikë të një shoqërie, vlerat morale dhe normat shoqërore, integritetin e individit, sferën private, perceptimin e sigurisë publike</w:t>
      </w:r>
      <w:r w:rsidR="00496156" w:rsidRPr="00795698">
        <w:rPr>
          <w:rFonts w:ascii="Garamond" w:hAnsi="Garamond"/>
          <w:bCs/>
          <w:spacing w:val="-1"/>
        </w:rPr>
        <w:t xml:space="preserve"> etj.</w:t>
      </w:r>
      <w:r w:rsidRPr="00795698">
        <w:rPr>
          <w:rFonts w:ascii="Garamond" w:hAnsi="Garamond"/>
          <w:bCs/>
          <w:spacing w:val="-1"/>
        </w:rPr>
        <w:t xml:space="preserve"> Ekstremizmi i dhunshëm, ashtu si krimi i organizuar, është një kërcënim për sigurinë në vend. Niveli i ulët arsimor, ndikimi i komuniteteve fetare jo zyrtare me tendencë radikale që nxit dhunën ekstreme dhe përdorimi i mjeteve online të propagandës fetare shpesh herë janë bërë faktorë për radikalizimin e individëve që </w:t>
      </w:r>
      <w:r w:rsidRPr="00795698">
        <w:rPr>
          <w:rFonts w:ascii="Garamond" w:hAnsi="Garamond"/>
          <w:bCs/>
          <w:spacing w:val="-1"/>
        </w:rPr>
        <w:lastRenderedPageBreak/>
        <w:t>zhvillojnë prirje për të kryer akte terroriste. Individët që vijnë kryesisht nga zonat e thella rurale, zonat pa investime në infrastrukturë, pa arsim, zona të cilat kanë probleme socio-ekonomike, kthehen në potencial të mundshëm për t</w:t>
      </w:r>
      <w:r w:rsidR="0041767D" w:rsidRPr="00795698">
        <w:rPr>
          <w:rFonts w:ascii="Garamond" w:hAnsi="Garamond"/>
          <w:bCs/>
          <w:spacing w:val="-1"/>
        </w:rPr>
        <w:t>’</w:t>
      </w:r>
      <w:r w:rsidRPr="00795698">
        <w:rPr>
          <w:rFonts w:ascii="Garamond" w:hAnsi="Garamond"/>
          <w:bCs/>
          <w:spacing w:val="-1"/>
        </w:rPr>
        <w:t>u radikalizuar dhe për të kryer akte terroriste. Megjithatë, edhe zonat urbane, sidomos kryeqyteti, janë shndërruar në zona të nxehta “hotspot” për përhapjen e ideologjive radikale që çojnë në terrorizëm, si rasti i shtetasve që kanë udhëtuar drejt zonave të konfliktit në Siri dhe Irak. Nga kjo pikëpamje, strategjia do të luajë një rol të rëndësishëm në forcimin e aspektit social dhe etik të shoqërisë shqiptare, duke promovuar vlerat morale dhe normat shoqërore, integritetin dhe etikën, sferën private, perceptimin e sigurisë publike</w:t>
      </w:r>
      <w:r w:rsidR="00496156" w:rsidRPr="00795698">
        <w:rPr>
          <w:rFonts w:ascii="Garamond" w:hAnsi="Garamond"/>
          <w:bCs/>
          <w:spacing w:val="-1"/>
        </w:rPr>
        <w:t xml:space="preserve"> etj.</w:t>
      </w:r>
    </w:p>
    <w:p w14:paraId="5FEEF890" w14:textId="77777777" w:rsidR="00893E99" w:rsidRPr="00795698" w:rsidRDefault="000F7BA0" w:rsidP="000F7BA0">
      <w:pPr>
        <w:pStyle w:val="ListParagraph"/>
        <w:ind w:left="284"/>
        <w:jc w:val="both"/>
        <w:rPr>
          <w:rFonts w:ascii="Garamond" w:hAnsi="Garamond"/>
          <w:b/>
          <w:spacing w:val="-1"/>
        </w:rPr>
      </w:pPr>
      <w:r w:rsidRPr="00795698">
        <w:rPr>
          <w:rFonts w:ascii="Garamond" w:hAnsi="Garamond"/>
          <w:b/>
          <w:spacing w:val="-1"/>
        </w:rPr>
        <w:t xml:space="preserve">- </w:t>
      </w:r>
      <w:r w:rsidR="00893E99" w:rsidRPr="00795698">
        <w:rPr>
          <w:rFonts w:ascii="Garamond" w:hAnsi="Garamond"/>
          <w:b/>
          <w:spacing w:val="-1"/>
        </w:rPr>
        <w:t>Impakti mjedisor</w:t>
      </w:r>
    </w:p>
    <w:p w14:paraId="5FEEF891" w14:textId="7E232728" w:rsidR="00893E99" w:rsidRPr="00795698" w:rsidRDefault="00893E99" w:rsidP="00893E99">
      <w:pPr>
        <w:pStyle w:val="ListParagraph"/>
        <w:ind w:left="0" w:firstLine="284"/>
        <w:jc w:val="both"/>
        <w:rPr>
          <w:rFonts w:ascii="Garamond" w:hAnsi="Garamond"/>
          <w:bCs/>
          <w:spacing w:val="-1"/>
        </w:rPr>
      </w:pPr>
      <w:r w:rsidRPr="00795698">
        <w:rPr>
          <w:rFonts w:ascii="Garamond" w:hAnsi="Garamond"/>
          <w:bCs/>
          <w:spacing w:val="-1"/>
        </w:rPr>
        <w:t xml:space="preserve">Aktet terroriste zhvillohen në forma të ndryshme dhe disa prej tyre kanë impakt të drejtpërdrejtë në mjedis. Kjo ndodh në rastet kur për të realizuar këto akte përdoren substanca të dëmshme, kimike, radioaktive dhe biologjike. Përdorimi i substancave kimike në një sulm terrorist, i ashtuquajturi terrorizëm kimik, është një formë e një terrorizmi </w:t>
      </w:r>
      <w:r w:rsidR="00B4110E" w:rsidRPr="00795698">
        <w:rPr>
          <w:rFonts w:ascii="Garamond" w:hAnsi="Garamond"/>
          <w:bCs/>
          <w:spacing w:val="-1"/>
        </w:rPr>
        <w:t>jo</w:t>
      </w:r>
      <w:r w:rsidRPr="00795698">
        <w:rPr>
          <w:rFonts w:ascii="Garamond" w:hAnsi="Garamond"/>
          <w:bCs/>
          <w:spacing w:val="-1"/>
        </w:rPr>
        <w:t xml:space="preserve">konvencional. Nga kjo pikëpamje, strategjia do të luajë një rol të rëndësishëm në forcimin e kontrollit të substancave me natyrë toksike, radioaktive, kimike dhe biologjike të rrezikshme dhe në rritjen e sigurisë për parandalimin e përdorimit të tyre në mjedis, por edhe në përdorimin e armëve të shkatërrimit në masë duke kontrolluar trafikimin e tyre dhe transportimin e tyre. Gjithashtu, duke shtuar vëmendjen dhe prezencën në zonat e mbrojtura mjedisore, do të garantohet mbrojtja e burimeve të tyre natyrore. </w:t>
      </w:r>
    </w:p>
    <w:p w14:paraId="5FEEF892" w14:textId="77777777" w:rsidR="00893E99" w:rsidRPr="00795698" w:rsidRDefault="000F7BA0" w:rsidP="000F7BA0">
      <w:pPr>
        <w:pStyle w:val="ListParagraph"/>
        <w:ind w:left="284"/>
        <w:jc w:val="both"/>
        <w:rPr>
          <w:rFonts w:ascii="Garamond" w:hAnsi="Garamond"/>
          <w:b/>
          <w:spacing w:val="-1"/>
        </w:rPr>
      </w:pPr>
      <w:r w:rsidRPr="00795698">
        <w:rPr>
          <w:rFonts w:ascii="Garamond" w:hAnsi="Garamond"/>
          <w:b/>
          <w:spacing w:val="-1"/>
        </w:rPr>
        <w:t xml:space="preserve">- </w:t>
      </w:r>
      <w:r w:rsidR="00893E99" w:rsidRPr="00795698">
        <w:rPr>
          <w:rFonts w:ascii="Garamond" w:hAnsi="Garamond"/>
          <w:b/>
          <w:spacing w:val="-1"/>
        </w:rPr>
        <w:t>Impakti ndërsektorial</w:t>
      </w:r>
    </w:p>
    <w:p w14:paraId="5FEEF893" w14:textId="77777777" w:rsidR="00893E99" w:rsidRPr="00795698" w:rsidRDefault="00893E99" w:rsidP="00893E99">
      <w:pPr>
        <w:pStyle w:val="ListParagraph"/>
        <w:ind w:left="0" w:firstLine="284"/>
        <w:jc w:val="both"/>
        <w:rPr>
          <w:rFonts w:ascii="Garamond" w:hAnsi="Garamond"/>
          <w:bCs/>
          <w:spacing w:val="-1"/>
        </w:rPr>
      </w:pPr>
      <w:r w:rsidRPr="00795698">
        <w:rPr>
          <w:rFonts w:ascii="Garamond" w:hAnsi="Garamond"/>
          <w:bCs/>
          <w:spacing w:val="-1"/>
        </w:rPr>
        <w:t>Angazhimi i një sërë institucionesh shtetërore dhe kapacitetesh njerëzore, rritja e shkëmbimit të informacionit dhe aksesueshmërisë së tij si dhe rritja e bashkëpunimit ndërinstitucional.</w:t>
      </w:r>
      <w:r w:rsidRPr="00795698">
        <w:rPr>
          <w:rFonts w:ascii="Garamond" w:hAnsi="Garamond"/>
        </w:rPr>
        <w:t xml:space="preserve"> </w:t>
      </w:r>
      <w:r w:rsidRPr="00795698">
        <w:rPr>
          <w:rFonts w:ascii="Garamond" w:hAnsi="Garamond"/>
          <w:bCs/>
          <w:spacing w:val="-1"/>
        </w:rPr>
        <w:t>Implementimi dhe monitorimi i strategjisë së re, për shkak të gamës së gjerë të fushave që do të mbulojë, do të angazhojë një sërë institucionesh shtetërore dhe një numër të madh kapacitetesh njerëzore. Nëpërmjet bashkëpunimit ndërsektorial, strukturat do të koordinojnë përpjekjet për realizimin e masave në zbatim të planeve të veprimit në fushën e ekstremizmit të dhunshëm, krimit të organizuar, trafiqeve të paligjshme, terrorizmit dhe krimit kibernetik me fokus përmbajtjen terroriste online.</w:t>
      </w:r>
    </w:p>
    <w:p w14:paraId="5FEEF894" w14:textId="77777777" w:rsidR="00893E99" w:rsidRPr="00795698" w:rsidRDefault="00893E99" w:rsidP="00893E99">
      <w:pPr>
        <w:pStyle w:val="ListParagraph"/>
        <w:ind w:left="0" w:firstLine="284"/>
        <w:jc w:val="both"/>
        <w:rPr>
          <w:rFonts w:ascii="Garamond" w:hAnsi="Garamond"/>
          <w:bCs/>
          <w:spacing w:val="-1"/>
        </w:rPr>
      </w:pPr>
      <w:r w:rsidRPr="00795698">
        <w:rPr>
          <w:rFonts w:ascii="Garamond" w:hAnsi="Garamond"/>
          <w:bCs/>
          <w:spacing w:val="-1"/>
        </w:rPr>
        <w:t xml:space="preserve">Indikatorët e impaktit për realizimin e vizionit dhe qasjeve të strategjisë do të jenë: </w:t>
      </w:r>
    </w:p>
    <w:p w14:paraId="5FEEF895" w14:textId="77777777" w:rsidR="00893E99" w:rsidRPr="00795698" w:rsidRDefault="000F7BA0" w:rsidP="000F7BA0">
      <w:pPr>
        <w:pStyle w:val="TEKSTIIIII"/>
        <w:rPr>
          <w:lang w:val="sq-AL"/>
        </w:rPr>
      </w:pPr>
      <w:r w:rsidRPr="00795698">
        <w:rPr>
          <w:lang w:val="sq-AL"/>
        </w:rPr>
        <w:t xml:space="preserve">- </w:t>
      </w:r>
      <w:r w:rsidR="00893E99" w:rsidRPr="00795698">
        <w:rPr>
          <w:lang w:val="sq-AL"/>
        </w:rPr>
        <w:t>Indeksi i kërcënimit terrorist në vend (qasja parandaluese – kërcënimi terrorist në vend në nivelin “i ulët”);</w:t>
      </w:r>
    </w:p>
    <w:p w14:paraId="5FEEF896" w14:textId="2BD0F19D" w:rsidR="00893E99" w:rsidRDefault="000F7BA0" w:rsidP="000F7BA0">
      <w:pPr>
        <w:pStyle w:val="TEKSTIIIII"/>
        <w:rPr>
          <w:lang w:val="sq-AL"/>
        </w:rPr>
      </w:pPr>
      <w:r w:rsidRPr="00795698">
        <w:rPr>
          <w:lang w:val="sq-AL"/>
        </w:rPr>
        <w:t xml:space="preserve">- </w:t>
      </w:r>
      <w:r w:rsidR="00893E99" w:rsidRPr="00795698">
        <w:rPr>
          <w:lang w:val="sq-AL"/>
        </w:rPr>
        <w:t>Indeksi i eficiencës së hetimeve në fushën e terrorizmit (qasja hetuese).</w:t>
      </w:r>
    </w:p>
    <w:p w14:paraId="09D1D321" w14:textId="519D4A37" w:rsidR="00613E81" w:rsidRDefault="00613E81" w:rsidP="000F7BA0">
      <w:pPr>
        <w:pStyle w:val="TEKSTIIIII"/>
        <w:rPr>
          <w:lang w:val="sq-AL"/>
        </w:rPr>
      </w:pPr>
    </w:p>
    <w:p w14:paraId="1A3506C9" w14:textId="00733ECB" w:rsidR="00613E81" w:rsidRPr="00795698" w:rsidRDefault="00613E81" w:rsidP="000F7BA0">
      <w:pPr>
        <w:pStyle w:val="TEKSTIIIII"/>
        <w:rPr>
          <w:lang w:val="sq-AL"/>
        </w:rPr>
      </w:pPr>
      <w:r>
        <w:rPr>
          <w:lang w:val="sq-AL"/>
        </w:rPr>
        <w:t>PJESA II QËLLIMI I STATEGJISË DHE OBJEKTIVAT SPECIFIK</w:t>
      </w:r>
    </w:p>
    <w:p w14:paraId="5FEEF897" w14:textId="40B168C4" w:rsidR="00893E99" w:rsidRPr="00795698" w:rsidRDefault="00893E99" w:rsidP="00893E99">
      <w:pPr>
        <w:pStyle w:val="BodyText"/>
        <w:ind w:firstLine="284"/>
        <w:rPr>
          <w:rFonts w:ascii="Garamond" w:hAnsi="Garamond"/>
          <w:color w:val="000000"/>
        </w:rPr>
      </w:pPr>
      <w:r w:rsidRPr="00795698">
        <w:rPr>
          <w:rFonts w:ascii="Garamond" w:hAnsi="Garamond"/>
          <w:color w:val="000000"/>
        </w:rPr>
        <w:t>Institucionet e Republikës së Shqipërisë me kohë kanë identifikuar kërcënimet dhe kanë ngritur shqetësime mbi pasojat e mundshme nga përhapja e ideologjive ekstremiste dhe radikaliste që çojnë në terrorizëm</w:t>
      </w:r>
      <w:r w:rsidR="007C064A" w:rsidRPr="00795698">
        <w:rPr>
          <w:rFonts w:ascii="Garamond" w:hAnsi="Garamond"/>
          <w:color w:val="000000"/>
        </w:rPr>
        <w:t xml:space="preserve"> </w:t>
      </w:r>
      <w:r w:rsidRPr="00795698">
        <w:rPr>
          <w:rFonts w:ascii="Garamond" w:hAnsi="Garamond"/>
          <w:color w:val="000000"/>
        </w:rPr>
        <w:t xml:space="preserve">në Republikën e Shqipërisë. </w:t>
      </w:r>
    </w:p>
    <w:p w14:paraId="5FEEF898" w14:textId="06F782E7" w:rsidR="00893E99" w:rsidRPr="00795698" w:rsidRDefault="00893E99" w:rsidP="00893E99">
      <w:pPr>
        <w:pStyle w:val="BodyText"/>
        <w:ind w:firstLine="284"/>
        <w:rPr>
          <w:rFonts w:ascii="Garamond" w:hAnsi="Garamond"/>
          <w:color w:val="000000"/>
        </w:rPr>
      </w:pPr>
      <w:r w:rsidRPr="00795698">
        <w:rPr>
          <w:rFonts w:ascii="Garamond" w:hAnsi="Garamond"/>
          <w:color w:val="000000"/>
        </w:rPr>
        <w:t xml:space="preserve">Bazuar në këto shqetësime dhe kërcënimet e identifikuara, institucionet e Republikës së Shqipërisë, ndër të parat në rajon, kanë ndërmarrë veprime dhe aktivitetet konkrete, në përballjen me ekstremizmin e dhunshëm që </w:t>
      </w:r>
      <w:r w:rsidR="00E820FD" w:rsidRPr="00795698">
        <w:rPr>
          <w:rFonts w:ascii="Garamond" w:hAnsi="Garamond"/>
          <w:color w:val="000000"/>
        </w:rPr>
        <w:t>çojnë</w:t>
      </w:r>
      <w:r w:rsidRPr="00795698">
        <w:rPr>
          <w:rFonts w:ascii="Garamond" w:hAnsi="Garamond"/>
          <w:color w:val="000000"/>
        </w:rPr>
        <w:t xml:space="preserve"> në terrorizëm, kryesisht të fokusuara në një qasje strategjike me katër komponentë:</w:t>
      </w:r>
    </w:p>
    <w:p w14:paraId="5FEEF899" w14:textId="77777777" w:rsidR="00893E99" w:rsidRPr="00795698" w:rsidRDefault="000F7BA0" w:rsidP="000F7BA0">
      <w:pPr>
        <w:pStyle w:val="TEKSTIIIII"/>
        <w:rPr>
          <w:rFonts w:eastAsia="Calibri"/>
          <w:lang w:val="sq-AL"/>
        </w:rPr>
      </w:pPr>
      <w:r w:rsidRPr="00795698">
        <w:rPr>
          <w:rFonts w:eastAsia="Calibri"/>
          <w:lang w:val="sq-AL"/>
        </w:rPr>
        <w:t xml:space="preserve">- </w:t>
      </w:r>
      <w:r w:rsidR="00893E99" w:rsidRPr="00795698">
        <w:rPr>
          <w:rFonts w:eastAsia="Calibri"/>
          <w:lang w:val="sq-AL"/>
        </w:rPr>
        <w:t>parandalimi;</w:t>
      </w:r>
    </w:p>
    <w:p w14:paraId="5FEEF89A" w14:textId="77777777" w:rsidR="00893E99" w:rsidRPr="00795698" w:rsidRDefault="000F7BA0" w:rsidP="000F7BA0">
      <w:pPr>
        <w:pStyle w:val="TEKSTIIIII"/>
        <w:rPr>
          <w:rFonts w:eastAsia="Calibri"/>
          <w:lang w:val="sq-AL"/>
        </w:rPr>
      </w:pPr>
      <w:r w:rsidRPr="00795698">
        <w:rPr>
          <w:rFonts w:eastAsia="Calibri"/>
          <w:lang w:val="sq-AL"/>
        </w:rPr>
        <w:t xml:space="preserve">- </w:t>
      </w:r>
      <w:r w:rsidR="00893E99" w:rsidRPr="00795698">
        <w:rPr>
          <w:rFonts w:eastAsia="Calibri"/>
          <w:lang w:val="sq-AL"/>
        </w:rPr>
        <w:t>hetimi;</w:t>
      </w:r>
    </w:p>
    <w:p w14:paraId="5FEEF89B" w14:textId="77777777" w:rsidR="00893E99" w:rsidRPr="00795698" w:rsidRDefault="000F7BA0" w:rsidP="000F7BA0">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reagimi, rehabilitimi dhe riintegrimi </w:t>
      </w:r>
    </w:p>
    <w:p w14:paraId="5FEEF89C" w14:textId="77777777" w:rsidR="00893E99" w:rsidRPr="00795698" w:rsidRDefault="000F7BA0" w:rsidP="000F7BA0">
      <w:pPr>
        <w:pStyle w:val="TEKSTIIIII"/>
        <w:rPr>
          <w:rFonts w:eastAsia="Calibri"/>
          <w:lang w:val="sq-AL"/>
        </w:rPr>
      </w:pPr>
      <w:r w:rsidRPr="00795698">
        <w:rPr>
          <w:rFonts w:eastAsia="Calibri"/>
          <w:lang w:val="sq-AL"/>
        </w:rPr>
        <w:t xml:space="preserve">- </w:t>
      </w:r>
      <w:r w:rsidR="00893E99" w:rsidRPr="00795698">
        <w:rPr>
          <w:rFonts w:eastAsia="Calibri"/>
          <w:lang w:val="sq-AL"/>
        </w:rPr>
        <w:t>mbrojtja.</w:t>
      </w:r>
    </w:p>
    <w:p w14:paraId="5FEEF89D" w14:textId="77777777" w:rsidR="00893E99" w:rsidRPr="00795698" w:rsidRDefault="00893E99" w:rsidP="00893E99">
      <w:pPr>
        <w:pStyle w:val="BodyText"/>
        <w:ind w:firstLine="284"/>
        <w:rPr>
          <w:rFonts w:ascii="Garamond" w:hAnsi="Garamond"/>
          <w:bCs/>
          <w:color w:val="000000" w:themeColor="text1"/>
        </w:rPr>
      </w:pPr>
      <w:bookmarkStart w:id="42" w:name="_Toc108644272"/>
      <w:r w:rsidRPr="00795698">
        <w:rPr>
          <w:rFonts w:ascii="Garamond" w:hAnsi="Garamond"/>
          <w:bCs/>
          <w:color w:val="000000" w:themeColor="text1"/>
        </w:rPr>
        <w:t>QASJA 1: PARANDALIMI I EKSTREMIZMIT TË DHUNSHËM DHE TERRORIZMIT</w:t>
      </w:r>
      <w:bookmarkEnd w:id="42"/>
    </w:p>
    <w:p w14:paraId="5FEEF89E" w14:textId="5CF15F1B" w:rsidR="00893E99" w:rsidRPr="00795698" w:rsidRDefault="00893E99" w:rsidP="00893E99">
      <w:pPr>
        <w:ind w:firstLine="284"/>
        <w:jc w:val="both"/>
        <w:rPr>
          <w:rFonts w:ascii="Garamond" w:hAnsi="Garamond"/>
        </w:rPr>
      </w:pPr>
      <w:r w:rsidRPr="00795698">
        <w:rPr>
          <w:rFonts w:ascii="Garamond" w:hAnsi="Garamond"/>
        </w:rPr>
        <w:t xml:space="preserve">Parandalimi i terrorizmit lidhet me ndalimin e përhapjes së ideologjive ekstremiste dhe radikalizimit që çon në terrorizëm. Institucionet e vendit në bashkëpunim e koordinim shumë të ngushtë me shoqërinë civile dhe komunitetin fetar kanë hartuar strategjinë ndërsektoriale dhe planet </w:t>
      </w:r>
      <w:r w:rsidRPr="00795698">
        <w:rPr>
          <w:rFonts w:ascii="Garamond" w:hAnsi="Garamond"/>
        </w:rPr>
        <w:lastRenderedPageBreak/>
        <w:t xml:space="preserve">e veprimit për parandalimin e ekstremizmit të dhunshëm dhe luftën kundër terrorizmit, të cilat janë fokusuar në parandalimin, minimizimin e faktorëve shtytës që mund të ndikojnë në radikalizëm, </w:t>
      </w:r>
      <w:r w:rsidR="00F53E58" w:rsidRPr="00795698">
        <w:rPr>
          <w:rFonts w:ascii="Garamond" w:hAnsi="Garamond"/>
        </w:rPr>
        <w:t>de</w:t>
      </w:r>
      <w:r w:rsidRPr="00795698">
        <w:rPr>
          <w:rFonts w:ascii="Garamond" w:hAnsi="Garamond"/>
        </w:rPr>
        <w:t xml:space="preserve">radikalizimin e personave të radikalizuar, </w:t>
      </w:r>
      <w:r w:rsidR="00F53E58" w:rsidRPr="00795698">
        <w:rPr>
          <w:rFonts w:ascii="Garamond" w:hAnsi="Garamond"/>
        </w:rPr>
        <w:t>ri</w:t>
      </w:r>
      <w:r w:rsidRPr="00795698">
        <w:rPr>
          <w:rFonts w:ascii="Garamond" w:hAnsi="Garamond"/>
        </w:rPr>
        <w:t xml:space="preserve">integrimi i tyre në shoqëri, hetimin dhe ndjekjen penale të autorëve që kryjnë vepra me qëllime terroriste. Për këtë qëllim, është bërë i mundur fuqizimi i aktorëve të vijës së parë në bashkëpunim me </w:t>
      </w:r>
      <w:r w:rsidR="000E7837" w:rsidRPr="00795698">
        <w:rPr>
          <w:rFonts w:ascii="Garamond" w:hAnsi="Garamond"/>
        </w:rPr>
        <w:t>ministritë e linjës</w:t>
      </w:r>
      <w:r w:rsidRPr="00795698">
        <w:rPr>
          <w:rFonts w:ascii="Garamond" w:hAnsi="Garamond"/>
        </w:rPr>
        <w:t>, agjencitë ligjzbatuese, autoritetet vendore, komunitetet fetare, shoqëria civile, sektorin privat</w:t>
      </w:r>
      <w:r w:rsidR="00496156" w:rsidRPr="00795698">
        <w:rPr>
          <w:rFonts w:ascii="Garamond" w:hAnsi="Garamond"/>
        </w:rPr>
        <w:t xml:space="preserve"> etj.</w:t>
      </w:r>
      <w:r w:rsidRPr="00795698">
        <w:rPr>
          <w:rFonts w:ascii="Garamond" w:hAnsi="Garamond"/>
        </w:rPr>
        <w:t>, në përputhje me objektivat dhe synimet e Strategjisë Ndërsektoriale për parandalimin</w:t>
      </w:r>
      <w:r w:rsidR="007C064A" w:rsidRPr="00795698">
        <w:rPr>
          <w:rFonts w:ascii="Garamond" w:hAnsi="Garamond"/>
        </w:rPr>
        <w:t xml:space="preserve"> </w:t>
      </w:r>
      <w:r w:rsidRPr="00795698">
        <w:rPr>
          <w:rFonts w:ascii="Garamond" w:hAnsi="Garamond"/>
        </w:rPr>
        <w:t xml:space="preserve">e ekstremizmit të dhunshëm dhe luftën kundër terrorizmit </w:t>
      </w:r>
      <w:r w:rsidR="006249E3" w:rsidRPr="00795698">
        <w:rPr>
          <w:rFonts w:ascii="Garamond" w:hAnsi="Garamond"/>
        </w:rPr>
        <w:t>2023–2025</w:t>
      </w:r>
      <w:r w:rsidRPr="00795698">
        <w:rPr>
          <w:rFonts w:ascii="Garamond" w:hAnsi="Garamond"/>
        </w:rPr>
        <w:t>.</w:t>
      </w:r>
    </w:p>
    <w:p w14:paraId="5FEEF8A0" w14:textId="77777777" w:rsidR="00893E99" w:rsidRPr="00795698" w:rsidRDefault="00893E99" w:rsidP="00893E99">
      <w:pPr>
        <w:ind w:firstLine="284"/>
        <w:jc w:val="both"/>
        <w:rPr>
          <w:rFonts w:ascii="Garamond" w:hAnsi="Garamond"/>
        </w:rPr>
      </w:pPr>
      <w:r w:rsidRPr="00795698">
        <w:rPr>
          <w:rFonts w:ascii="Garamond" w:hAnsi="Garamond"/>
        </w:rPr>
        <w:t xml:space="preserve">Parandalimi radikalizimit që çon në terrorizëm, ekstremizmit të dhunshëm dhe terrorizmit përmes sinjalizimit të hershëm do të arrihet përmes objektivave të mëposhtëm: </w:t>
      </w:r>
    </w:p>
    <w:p w14:paraId="5FEEF8A1" w14:textId="4794925B" w:rsidR="00893E99" w:rsidRPr="00795698" w:rsidRDefault="000F7BA0" w:rsidP="000F7BA0">
      <w:pPr>
        <w:pStyle w:val="TEKSTIIIII"/>
        <w:rPr>
          <w:lang w:val="sq-AL"/>
        </w:rPr>
      </w:pPr>
      <w:r w:rsidRPr="00795698">
        <w:rPr>
          <w:lang w:val="sq-AL"/>
        </w:rPr>
        <w:t>-</w:t>
      </w:r>
      <w:r w:rsidR="000E7837" w:rsidRPr="00795698">
        <w:rPr>
          <w:lang w:val="sq-AL"/>
        </w:rPr>
        <w:t xml:space="preserve"> </w:t>
      </w:r>
      <w:r w:rsidR="00893E99" w:rsidRPr="00795698">
        <w:rPr>
          <w:lang w:val="sq-AL"/>
        </w:rPr>
        <w:t>mbajtjes së nivelit të kërcënimit terrorist në nivel “të ulët” duke parandaluar kërcënimet terroriste, financimin e terrorizmit, intensifikuar masat për ndjekjen dhe monitorimin e situatës lidhur me shtetasit shqiptarë LHT që mund të kthehen nga zonat e konfliktit Siri/Irak, si dhe çdo individi të dyshuar për vepra me qëllime terroriste, forcimin e bashkëpunimit dhe koordinimit brenda strukturave të antiterrorit, agjencive inteligjente dhe ligjzbatuese në vend që kanë detyrime në luftën kundër terrorizmit;</w:t>
      </w:r>
    </w:p>
    <w:p w14:paraId="5FEEF8A2" w14:textId="77777777" w:rsidR="00893E99" w:rsidRPr="00795698" w:rsidRDefault="000F7BA0" w:rsidP="000F7BA0">
      <w:pPr>
        <w:pStyle w:val="TEKSTIIIII"/>
        <w:rPr>
          <w:lang w:val="sq-AL"/>
        </w:rPr>
      </w:pPr>
      <w:r w:rsidRPr="00795698">
        <w:rPr>
          <w:lang w:val="sq-AL"/>
        </w:rPr>
        <w:t xml:space="preserve">- </w:t>
      </w:r>
      <w:r w:rsidR="00893E99" w:rsidRPr="00795698">
        <w:rPr>
          <w:lang w:val="sq-AL"/>
        </w:rPr>
        <w:t>parandalimit të radikalizimit dhe rekrutimeve terroriste duke rritur bashkëpunimin ndërkombëtar, bilateral, rajonal, kombëtar, duke parandaluar radikalizimin nëpërmjet internetit, rritjen e prezencës së strukturave të antiterrorit në mjedisin virtual përmes kontrollit dhe monitorimit të hapësirave virtuale përfshirë darknet-in, parandalimin e radikalizimit dhe rekrutimeve terroriste duke rritur bashkëpunimin bilateral, rajonal dhe ndërkombëtar dhe me prodhuesit e aplikacioneve në internet, komunikimin strategjik;</w:t>
      </w:r>
    </w:p>
    <w:p w14:paraId="5FEEF8A3" w14:textId="77777777" w:rsidR="00893E99" w:rsidRPr="00795698" w:rsidRDefault="000F7BA0" w:rsidP="000F7BA0">
      <w:pPr>
        <w:pStyle w:val="TEKSTIIIII"/>
        <w:rPr>
          <w:lang w:val="sq-AL"/>
        </w:rPr>
      </w:pPr>
      <w:r w:rsidRPr="00795698">
        <w:rPr>
          <w:lang w:val="sq-AL"/>
        </w:rPr>
        <w:t xml:space="preserve">- </w:t>
      </w:r>
      <w:r w:rsidR="00893E99" w:rsidRPr="00795698">
        <w:rPr>
          <w:lang w:val="sq-AL"/>
        </w:rPr>
        <w:t xml:space="preserve">konsolidimit të njohurive dhe vlerësimit të natyrës së kërcënimeve të terrorizmit në vendin tonë përmes identifikimit të hershëm të grupeve të synuara dhe metodave radikale duke vlerësuar dhe analizuar faktorët që çojnë në radikalizm dhe ekstremizëm të dhunshëm; </w:t>
      </w:r>
    </w:p>
    <w:p w14:paraId="5FEEF8A4" w14:textId="77777777" w:rsidR="00893E99" w:rsidRPr="00795698" w:rsidRDefault="000F7BA0" w:rsidP="000F7BA0">
      <w:pPr>
        <w:pStyle w:val="TEKSTIIIII"/>
        <w:rPr>
          <w:lang w:val="sq-AL"/>
        </w:rPr>
      </w:pPr>
      <w:r w:rsidRPr="00795698">
        <w:rPr>
          <w:lang w:val="sq-AL"/>
        </w:rPr>
        <w:t xml:space="preserve">- </w:t>
      </w:r>
      <w:r w:rsidR="00893E99" w:rsidRPr="00795698">
        <w:rPr>
          <w:lang w:val="sq-AL"/>
        </w:rPr>
        <w:t>rritjes së kapaciteteve të strukturave të antiterrorit, qendrës së koordinimit kundër ekstremizmit të dhunshëm dhe strukturave/agjencive të inteligjencës për zhvillimin e vlerësimeve të riskut, analizave dhe verifikimeve paraprake për ekstremizmin dhe terrorizmin;</w:t>
      </w:r>
    </w:p>
    <w:p w14:paraId="5FEEF8A5" w14:textId="4099A47F" w:rsidR="00893E99" w:rsidRPr="00795698" w:rsidRDefault="000F7BA0" w:rsidP="000F7BA0">
      <w:pPr>
        <w:pStyle w:val="TEKSTIIIII"/>
        <w:rPr>
          <w:lang w:val="sq-AL"/>
        </w:rPr>
      </w:pPr>
      <w:r w:rsidRPr="00795698">
        <w:rPr>
          <w:lang w:val="sq-AL"/>
        </w:rPr>
        <w:t xml:space="preserve">- </w:t>
      </w:r>
      <w:r w:rsidR="00893E99" w:rsidRPr="00795698">
        <w:rPr>
          <w:lang w:val="sq-AL"/>
        </w:rPr>
        <w:t xml:space="preserve">ndërgjegjësimit, informimit, zhvillimit të komunikimit strategjik dhe shpërndarjen e </w:t>
      </w:r>
      <w:r w:rsidR="00C62D65" w:rsidRPr="00795698">
        <w:rPr>
          <w:lang w:val="sq-AL"/>
        </w:rPr>
        <w:t>kundër</w:t>
      </w:r>
      <w:r w:rsidR="00893E99" w:rsidRPr="00795698">
        <w:rPr>
          <w:lang w:val="sq-AL"/>
        </w:rPr>
        <w:t>narrativave të ekstremizmit dhe terrorizmit, përmes shkëmbimit të përvojës dhe ekspertizës me vendet e rajonit, krijimin e një rrjeti komunikimi të vazhdueshëm e shkëmbimi të informacioneve mes institucioneve dhe strukturave të përfshira me qëllim krijimin e programeve dhe manualeve për informimin dhe ndërgjegjësimin ndaj çështjeve që lidhen me rrezikun e radikalizmit, ekstremizmit të dhunshëm dhe pasojave të akteve terrorizmit;</w:t>
      </w:r>
    </w:p>
    <w:p w14:paraId="5FEEF8A6" w14:textId="5F5DB5D3" w:rsidR="00893E99" w:rsidRPr="00795698" w:rsidRDefault="000F7BA0" w:rsidP="000F7BA0">
      <w:pPr>
        <w:pStyle w:val="TEKSTIIIII"/>
        <w:rPr>
          <w:lang w:val="sq-AL"/>
        </w:rPr>
      </w:pPr>
      <w:r w:rsidRPr="00795698">
        <w:rPr>
          <w:lang w:val="sq-AL"/>
        </w:rPr>
        <w:t xml:space="preserve">- </w:t>
      </w:r>
      <w:r w:rsidR="00893E99" w:rsidRPr="00795698">
        <w:rPr>
          <w:lang w:val="sq-AL"/>
        </w:rPr>
        <w:t xml:space="preserve">uljes së rrezikut për radikalizim dhe ekstremizëm të dhunshëm, si dhe rrezikut të rekrutimit në sistemin e burgjeve dhe në shërbimin e provës dhe të hartimit të programeve pilot të deradikalizimit dhe </w:t>
      </w:r>
      <w:r w:rsidR="00F53E58" w:rsidRPr="00795698">
        <w:rPr>
          <w:lang w:val="sq-AL"/>
        </w:rPr>
        <w:t>ri</w:t>
      </w:r>
      <w:r w:rsidR="00893E99" w:rsidRPr="00795698">
        <w:rPr>
          <w:lang w:val="sq-AL"/>
        </w:rPr>
        <w:t>integrimit në shoqëri të të miturve të radikalizuar pas largimit të tyre nga institucionet penitenciare dhe shërbimit të provës;</w:t>
      </w:r>
    </w:p>
    <w:p w14:paraId="5FEEF8A7" w14:textId="77777777" w:rsidR="00893E99" w:rsidRPr="00795698" w:rsidRDefault="000F7BA0" w:rsidP="000F7BA0">
      <w:pPr>
        <w:pStyle w:val="TEKSTIIIII"/>
        <w:rPr>
          <w:lang w:val="sq-AL"/>
        </w:rPr>
      </w:pPr>
      <w:r w:rsidRPr="00795698">
        <w:rPr>
          <w:lang w:val="sq-AL"/>
        </w:rPr>
        <w:t xml:space="preserve">- </w:t>
      </w:r>
      <w:r w:rsidR="00893E99" w:rsidRPr="00795698">
        <w:rPr>
          <w:lang w:val="sq-AL"/>
        </w:rPr>
        <w:t>rritjes së kapaciteteve profesionale të aktorëve të vijës së parë për parandalimin e ekstremizmit, radikalizmit të dhunshëm dhe përfshirjes në akte terroriste kryesisht të të rinjve.</w:t>
      </w:r>
    </w:p>
    <w:p w14:paraId="5FEEF8A8" w14:textId="551A3530"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43" w:name="_Toc108644273"/>
      <w:r w:rsidRPr="00795698">
        <w:rPr>
          <w:rFonts w:ascii="Garamond" w:hAnsi="Garamond"/>
          <w:b w:val="0"/>
          <w:color w:val="000000" w:themeColor="text1"/>
          <w:sz w:val="24"/>
          <w:szCs w:val="24"/>
        </w:rPr>
        <w:t>QËLLIMI I POLITIKËS 1: MBAJTJA E KËRCËNIMIT TERRORIST NË NIVEL “TË ULËT”</w:t>
      </w:r>
      <w:bookmarkEnd w:id="43"/>
    </w:p>
    <w:p w14:paraId="5FEEF8A9" w14:textId="60B6FE11" w:rsidR="00893E99" w:rsidRPr="00795698" w:rsidRDefault="00893E99" w:rsidP="00893E99">
      <w:pPr>
        <w:tabs>
          <w:tab w:val="left" w:pos="418"/>
        </w:tabs>
        <w:ind w:firstLine="284"/>
        <w:jc w:val="both"/>
        <w:rPr>
          <w:rFonts w:ascii="Garamond" w:hAnsi="Garamond"/>
        </w:rPr>
      </w:pPr>
      <w:r w:rsidRPr="00795698">
        <w:rPr>
          <w:rFonts w:ascii="Garamond" w:hAnsi="Garamond"/>
        </w:rPr>
        <w:t>Kjo do të arrihet me forcimin dhe rritjen e masave për ndjekjen dhe monitorimin e situatës lidhur me shtetasit</w:t>
      </w:r>
      <w:r w:rsidR="007C064A" w:rsidRPr="00795698">
        <w:rPr>
          <w:rFonts w:ascii="Garamond" w:hAnsi="Garamond"/>
        </w:rPr>
        <w:t xml:space="preserve"> </w:t>
      </w:r>
      <w:r w:rsidRPr="00795698">
        <w:rPr>
          <w:rFonts w:ascii="Garamond" w:hAnsi="Garamond"/>
        </w:rPr>
        <w:t>shqiptarë LHT që mund të kthehen nga zonat e konfliktit Siri/Irak, si dhe çdo individi të dyshuar për vepra me</w:t>
      </w:r>
      <w:r w:rsidR="007C064A" w:rsidRPr="00795698">
        <w:rPr>
          <w:rFonts w:ascii="Garamond" w:hAnsi="Garamond"/>
        </w:rPr>
        <w:t xml:space="preserve"> </w:t>
      </w:r>
      <w:r w:rsidRPr="00795698">
        <w:rPr>
          <w:rFonts w:ascii="Garamond" w:hAnsi="Garamond"/>
        </w:rPr>
        <w:t>qëllime terroriste dhe forcimin e bashkëpunimit dhe koordinimit brenda strukturave të policisë së shtetit, agjencive inteligjente dhe ligjzbatuese në vend që kanë detyrime në luftën kundër terrorizmit.</w:t>
      </w:r>
    </w:p>
    <w:p w14:paraId="5FEEF8AA" w14:textId="77777777" w:rsidR="00893E99" w:rsidRPr="00795698" w:rsidRDefault="00893E99" w:rsidP="00893E99">
      <w:pPr>
        <w:pStyle w:val="Heading3"/>
        <w:spacing w:before="0"/>
        <w:ind w:firstLine="284"/>
        <w:jc w:val="both"/>
        <w:rPr>
          <w:rFonts w:ascii="Garamond" w:hAnsi="Garamond"/>
          <w:b w:val="0"/>
          <w:i/>
          <w:color w:val="auto"/>
        </w:rPr>
      </w:pPr>
      <w:bookmarkStart w:id="44" w:name="_Toc108644274"/>
      <w:r w:rsidRPr="00795698">
        <w:rPr>
          <w:rFonts w:ascii="Garamond" w:hAnsi="Garamond"/>
          <w:b w:val="0"/>
          <w:i/>
          <w:color w:val="auto"/>
        </w:rPr>
        <w:lastRenderedPageBreak/>
        <w:t>Objektivi specifik 1.1: Parandalimi i terrorizmit</w:t>
      </w:r>
      <w:bookmarkEnd w:id="44"/>
    </w:p>
    <w:p w14:paraId="5FEEF8AB" w14:textId="77777777" w:rsidR="00893E99" w:rsidRPr="00795698" w:rsidRDefault="00893E99" w:rsidP="00893E99">
      <w:pPr>
        <w:pStyle w:val="BodyText"/>
        <w:tabs>
          <w:tab w:val="left" w:pos="426"/>
        </w:tabs>
        <w:ind w:firstLine="284"/>
        <w:rPr>
          <w:rFonts w:ascii="Garamond" w:hAnsi="Garamond"/>
          <w:b/>
          <w:bCs/>
        </w:rPr>
      </w:pPr>
      <w:bookmarkStart w:id="45" w:name="_Hlk59669125"/>
      <w:r w:rsidRPr="00795698">
        <w:rPr>
          <w:rFonts w:ascii="Garamond" w:hAnsi="Garamond"/>
          <w:b/>
          <w:bCs/>
        </w:rPr>
        <w:t xml:space="preserve">Masa 1.1.1: </w:t>
      </w:r>
      <w:bookmarkEnd w:id="45"/>
      <w:r w:rsidRPr="00795698">
        <w:rPr>
          <w:rFonts w:ascii="Garamond" w:hAnsi="Garamond"/>
        </w:rPr>
        <w:t>Kryerja e hetimeve proaktive për parandalimin e akteve të mundshme terroriste, ndaj grupeve dhe individëve ekstremistë që nxisin dhe mbështesin dhunën</w:t>
      </w:r>
    </w:p>
    <w:p w14:paraId="5FEEF8AC" w14:textId="77777777" w:rsidR="00893E99" w:rsidRPr="00795698" w:rsidRDefault="00893E99" w:rsidP="00893E99">
      <w:pPr>
        <w:pStyle w:val="BodyText"/>
        <w:tabs>
          <w:tab w:val="left" w:pos="426"/>
        </w:tabs>
        <w:ind w:firstLine="284"/>
        <w:rPr>
          <w:rFonts w:ascii="Garamond" w:hAnsi="Garamond"/>
          <w:b/>
          <w:bCs/>
        </w:rPr>
      </w:pPr>
      <w:bookmarkStart w:id="46" w:name="_Hlk59669170"/>
      <w:r w:rsidRPr="00795698">
        <w:rPr>
          <w:rFonts w:ascii="Garamond" w:hAnsi="Garamond"/>
          <w:b/>
          <w:bCs/>
        </w:rPr>
        <w:t xml:space="preserve">Masa 1.1.2: </w:t>
      </w:r>
      <w:bookmarkEnd w:id="46"/>
      <w:r w:rsidRPr="00795698">
        <w:rPr>
          <w:rFonts w:ascii="Garamond" w:hAnsi="Garamond"/>
        </w:rPr>
        <w:t>Kryerja e trajnimeve bashkëkohore të strukturave antiterror në bashkëpunim me partnerët ndërkombëtarë, mbi teknologjitë dhe sistemet e reja për përdorimin e metodave speciale të hetimit</w:t>
      </w:r>
    </w:p>
    <w:p w14:paraId="5FEEF8AD"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1.1.3: </w:t>
      </w:r>
      <w:r w:rsidRPr="00795698">
        <w:rPr>
          <w:rFonts w:ascii="Garamond" w:hAnsi="Garamond"/>
        </w:rPr>
        <w:t>Kryerja e analizave të përbashkëta të institucioneve të gjurmimit, hetimit, lidhur me grupe kriminale dhe terroriste në hetim dhe të hetuara/gjykuara për terrorizëm</w:t>
      </w:r>
    </w:p>
    <w:p w14:paraId="5FEEF8AE"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1.1.4: </w:t>
      </w:r>
      <w:r w:rsidRPr="00795698">
        <w:rPr>
          <w:rFonts w:ascii="Garamond" w:hAnsi="Garamond"/>
        </w:rPr>
        <w:t>Vlerësimi i Kërcënimeve Lokale në vend-dislokimet e përhershme të FARSH, si instrumenti informues për Autoritetet e Drejtimit dhe Komandimit të FARSH</w:t>
      </w:r>
    </w:p>
    <w:p w14:paraId="5FEEF8AF" w14:textId="77777777" w:rsidR="00893E99" w:rsidRPr="00795698" w:rsidRDefault="00893E99" w:rsidP="00893E99">
      <w:pPr>
        <w:pStyle w:val="BodyText"/>
        <w:tabs>
          <w:tab w:val="left" w:pos="426"/>
        </w:tabs>
        <w:ind w:firstLine="284"/>
        <w:rPr>
          <w:rFonts w:ascii="Garamond" w:hAnsi="Garamond"/>
        </w:rPr>
      </w:pPr>
      <w:r w:rsidRPr="00795698">
        <w:rPr>
          <w:rFonts w:ascii="Garamond" w:hAnsi="Garamond"/>
          <w:b/>
          <w:bCs/>
        </w:rPr>
        <w:t xml:space="preserve">Masa 1.1.5: </w:t>
      </w:r>
      <w:r w:rsidRPr="00795698">
        <w:rPr>
          <w:rFonts w:ascii="Garamond" w:hAnsi="Garamond"/>
        </w:rPr>
        <w:t>Bashkëpunimi me MM/FARSH në rritjen e nivelit të ndërgjegjësimit (awareness) të personelit ndaj kërcënimit terrorist në vendin tonë dhe vendeve ku angazhohen në kuadër të misioneve ndërkombëtare</w:t>
      </w:r>
    </w:p>
    <w:p w14:paraId="5FEEF8B0"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1.1.6: </w:t>
      </w:r>
      <w:r w:rsidRPr="00795698">
        <w:rPr>
          <w:rFonts w:ascii="Garamond" w:hAnsi="Garamond"/>
        </w:rPr>
        <w:t xml:space="preserve">Analiza e profileve të riskut dhe reagimi i shpejtë i strukturave ndërkufitare për parandalimin e personave të dyshuar për terrorizëm ose akteve terroriste </w:t>
      </w:r>
    </w:p>
    <w:p w14:paraId="5FEEF8B1"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Indikatorë të matshëm: </w:t>
      </w:r>
    </w:p>
    <w:p w14:paraId="5FEEF8B2" w14:textId="77777777" w:rsidR="00893E99" w:rsidRPr="00795698" w:rsidRDefault="000F7BA0" w:rsidP="000F7BA0">
      <w:pPr>
        <w:pStyle w:val="TEKSTIIIII"/>
        <w:rPr>
          <w:lang w:val="sq-AL"/>
        </w:rPr>
      </w:pPr>
      <w:r w:rsidRPr="00795698">
        <w:rPr>
          <w:lang w:val="sq-AL"/>
        </w:rPr>
        <w:t xml:space="preserve">- </w:t>
      </w:r>
      <w:r w:rsidR="00893E99" w:rsidRPr="00795698">
        <w:rPr>
          <w:lang w:val="sq-AL"/>
        </w:rPr>
        <w:t>Indeksi i rritjes së rasteve terroriste të parandaluara, përmes hetimeve proaktive</w:t>
      </w:r>
    </w:p>
    <w:p w14:paraId="5FEEF8B3" w14:textId="77777777" w:rsidR="00893E99" w:rsidRPr="00795698" w:rsidRDefault="000F7BA0" w:rsidP="000F7BA0">
      <w:pPr>
        <w:pStyle w:val="TEKSTIIIII"/>
        <w:rPr>
          <w:lang w:val="sq-AL"/>
        </w:rPr>
      </w:pPr>
      <w:bookmarkStart w:id="47" w:name="_Hlk59670368"/>
      <w:r w:rsidRPr="00795698">
        <w:rPr>
          <w:lang w:val="sq-AL"/>
        </w:rPr>
        <w:t xml:space="preserve">- </w:t>
      </w:r>
      <w:r w:rsidR="00893E99" w:rsidRPr="00795698">
        <w:rPr>
          <w:lang w:val="sq-AL"/>
        </w:rPr>
        <w:t>Indeksi i rritjes së kapaciteteve profesionale për përdorimin e metodave speciale të hetimit</w:t>
      </w:r>
    </w:p>
    <w:p w14:paraId="5FEEF8B4"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Rezultate të pritshme: </w:t>
      </w:r>
    </w:p>
    <w:p w14:paraId="5FEEF8B5" w14:textId="77777777" w:rsidR="00893E99" w:rsidRPr="00795698" w:rsidRDefault="000F7BA0" w:rsidP="000F7BA0">
      <w:pPr>
        <w:pStyle w:val="TEKSTIIIII"/>
        <w:rPr>
          <w:lang w:val="sq-AL"/>
        </w:rPr>
      </w:pPr>
      <w:bookmarkStart w:id="48" w:name="_Hlk57234922"/>
      <w:bookmarkEnd w:id="47"/>
      <w:r w:rsidRPr="00795698">
        <w:rPr>
          <w:lang w:val="sq-AL"/>
        </w:rPr>
        <w:t xml:space="preserve">- </w:t>
      </w:r>
      <w:r w:rsidR="00893E99" w:rsidRPr="00795698">
        <w:rPr>
          <w:lang w:val="sq-AL"/>
        </w:rPr>
        <w:t xml:space="preserve">Rritja e numrit të rasteve të parandaluara, ndër rastet e mundshme terroriste në vendin apo nëpërmjet vendit tonë, </w:t>
      </w:r>
      <w:bookmarkEnd w:id="48"/>
      <w:r w:rsidR="00893E99" w:rsidRPr="00795698">
        <w:rPr>
          <w:lang w:val="sq-AL"/>
        </w:rPr>
        <w:t>përmes hetimeve proaktive ndaj grupeve dhe individëve ekstremistë që nxisin dhe mbështesin dhunën</w:t>
      </w:r>
    </w:p>
    <w:p w14:paraId="5FEEF8B6" w14:textId="77777777" w:rsidR="00893E99" w:rsidRPr="00795698" w:rsidRDefault="000F7BA0" w:rsidP="000F7BA0">
      <w:pPr>
        <w:pStyle w:val="TEKSTIIIII"/>
        <w:rPr>
          <w:lang w:val="sq-AL"/>
        </w:rPr>
      </w:pPr>
      <w:r w:rsidRPr="00795698">
        <w:rPr>
          <w:lang w:val="sq-AL"/>
        </w:rPr>
        <w:t xml:space="preserve">- </w:t>
      </w:r>
      <w:r w:rsidR="00893E99" w:rsidRPr="00795698">
        <w:rPr>
          <w:lang w:val="sq-AL"/>
        </w:rPr>
        <w:t>Rritja e numrit të trajnimeve bashkëkohore të strukturave antiterror në bashkëpunim me partnerët ndërkombëtarë, mbi tekonologjitë dhe sistemet e reja për përdorimin e metodave speciale të hetimit</w:t>
      </w:r>
    </w:p>
    <w:p w14:paraId="5FEEF8B7" w14:textId="0E26E54E" w:rsidR="00893E99" w:rsidRPr="00795698" w:rsidRDefault="000F7BA0" w:rsidP="000F7BA0">
      <w:pPr>
        <w:pStyle w:val="TEKSTIIIII"/>
        <w:rPr>
          <w:lang w:val="sq-AL"/>
        </w:rPr>
      </w:pPr>
      <w:r w:rsidRPr="00795698">
        <w:rPr>
          <w:lang w:val="sq-AL"/>
        </w:rPr>
        <w:t xml:space="preserve">- </w:t>
      </w:r>
      <w:r w:rsidR="00893E99" w:rsidRPr="00795698">
        <w:rPr>
          <w:lang w:val="sq-AL"/>
        </w:rPr>
        <w:t>Rritja e numrit të rasteve të parandaluara për akte/vepra të mundshme terroriste në vendin apo nëpërmjet vendit tonë, përmes analizave të përbashkëta midis institucioneve të gjurmimit, hetimit, lidhur me grupe kriminale të hetuara dhe gjykuara për terrorizëm</w:t>
      </w:r>
      <w:r w:rsidR="00835973" w:rsidRPr="00795698">
        <w:rPr>
          <w:lang w:val="sq-AL"/>
        </w:rPr>
        <w:t>.</w:t>
      </w:r>
    </w:p>
    <w:p w14:paraId="5FEEF8B8" w14:textId="77777777" w:rsidR="00893E99" w:rsidRPr="00795698" w:rsidRDefault="00893E99" w:rsidP="00893E99">
      <w:pPr>
        <w:pStyle w:val="Heading3"/>
        <w:spacing w:before="0"/>
        <w:ind w:firstLine="284"/>
        <w:jc w:val="both"/>
        <w:rPr>
          <w:rFonts w:ascii="Garamond" w:hAnsi="Garamond"/>
          <w:b w:val="0"/>
          <w:i/>
          <w:color w:val="auto"/>
        </w:rPr>
      </w:pPr>
      <w:bookmarkStart w:id="49" w:name="_Toc108644275"/>
      <w:r w:rsidRPr="00795698">
        <w:rPr>
          <w:rFonts w:ascii="Garamond" w:hAnsi="Garamond"/>
          <w:b w:val="0"/>
          <w:i/>
          <w:color w:val="auto"/>
        </w:rPr>
        <w:t>Objektivi specifik 1.2: Parandalimi i financimit të terrorizmit</w:t>
      </w:r>
      <w:bookmarkEnd w:id="49"/>
    </w:p>
    <w:p w14:paraId="5FEEF8B9" w14:textId="053791BE"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1.2.1: </w:t>
      </w:r>
      <w:r w:rsidRPr="00795698">
        <w:rPr>
          <w:rFonts w:ascii="Garamond" w:hAnsi="Garamond"/>
        </w:rPr>
        <w:t>Kryerja e hetimeve për parandalimin e financimit të terrorizmit</w:t>
      </w:r>
      <w:r w:rsidR="00835973" w:rsidRPr="00795698">
        <w:rPr>
          <w:rFonts w:ascii="Garamond" w:hAnsi="Garamond"/>
        </w:rPr>
        <w:t>.</w:t>
      </w:r>
    </w:p>
    <w:p w14:paraId="5FEEF8BA" w14:textId="3FDEE689"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1.2.2: </w:t>
      </w:r>
      <w:r w:rsidRPr="00795698">
        <w:rPr>
          <w:rFonts w:ascii="Garamond" w:hAnsi="Garamond"/>
        </w:rPr>
        <w:t>Rritja e numrit të trajnimeve të specializuara në fushën e hetimit të financimit të terrorizmit</w:t>
      </w:r>
      <w:r w:rsidR="00835973" w:rsidRPr="00795698">
        <w:rPr>
          <w:rFonts w:ascii="Garamond" w:hAnsi="Garamond"/>
        </w:rPr>
        <w:t>.</w:t>
      </w:r>
    </w:p>
    <w:p w14:paraId="5FEEF8BB" w14:textId="653EFEAB"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1.2.3: </w:t>
      </w:r>
      <w:r w:rsidRPr="00795698">
        <w:rPr>
          <w:rFonts w:ascii="Garamond" w:hAnsi="Garamond"/>
        </w:rPr>
        <w:t>Kryerja e analizës mbi individë/grupe që dyshohet se kryejnë vepra penale lidhur me terrorizmin dhe financimin e terrorizmit</w:t>
      </w:r>
      <w:r w:rsidR="00835973" w:rsidRPr="00795698">
        <w:rPr>
          <w:rFonts w:ascii="Garamond" w:hAnsi="Garamond"/>
        </w:rPr>
        <w:t>.</w:t>
      </w:r>
    </w:p>
    <w:p w14:paraId="5FEEF8BC" w14:textId="3CBCCB5A"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1.2.4: </w:t>
      </w:r>
      <w:r w:rsidRPr="00795698">
        <w:rPr>
          <w:rFonts w:ascii="Garamond" w:hAnsi="Garamond"/>
        </w:rPr>
        <w:t>Rritja e numrit të informacioneve të shkëmbyera midis DPPPP, DPT, DPD, dhe institucioneve të tjera të sigurisë me institucionet e tjera ligjzbatuese në vend për veprat penale të lidhura me financimin e terrorizmit</w:t>
      </w:r>
      <w:r w:rsidR="00835973" w:rsidRPr="00795698">
        <w:rPr>
          <w:rFonts w:ascii="Garamond" w:hAnsi="Garamond"/>
        </w:rPr>
        <w:t>.</w:t>
      </w:r>
    </w:p>
    <w:p w14:paraId="5FEEF8BD" w14:textId="31D1FE62"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Masa 1.2.5: </w:t>
      </w:r>
      <w:r w:rsidRPr="00795698">
        <w:rPr>
          <w:rFonts w:ascii="Garamond" w:hAnsi="Garamond"/>
        </w:rPr>
        <w:t>Analizimi</w:t>
      </w:r>
      <w:r w:rsidR="007C064A" w:rsidRPr="00795698">
        <w:rPr>
          <w:rFonts w:ascii="Garamond" w:hAnsi="Garamond"/>
        </w:rPr>
        <w:t xml:space="preserve"> </w:t>
      </w:r>
      <w:r w:rsidRPr="00795698">
        <w:rPr>
          <w:rFonts w:ascii="Garamond" w:hAnsi="Garamond"/>
        </w:rPr>
        <w:t>i Raporteve të Aktivitetit të Dyshuar për Financim të Terrorizmit dhe dërgimi i informacioneve në organet ligj zbatuese nëse pas verifikimeve përmbajnë dyshime për Financim të Terrorizmit</w:t>
      </w:r>
      <w:r w:rsidR="00835973" w:rsidRPr="00795698">
        <w:rPr>
          <w:rFonts w:ascii="Garamond" w:hAnsi="Garamond"/>
        </w:rPr>
        <w:t>.</w:t>
      </w:r>
    </w:p>
    <w:p w14:paraId="5FEEF8BE"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Indikatorë të matshëm: </w:t>
      </w:r>
    </w:p>
    <w:p w14:paraId="5FEEF8BF" w14:textId="777C53F2" w:rsidR="00893E99" w:rsidRPr="00795698" w:rsidRDefault="000F7BA0" w:rsidP="000F7BA0">
      <w:pPr>
        <w:pStyle w:val="TEKSTIIIII"/>
        <w:rPr>
          <w:b/>
          <w:lang w:val="sq-AL"/>
        </w:rPr>
      </w:pPr>
      <w:r w:rsidRPr="00795698">
        <w:rPr>
          <w:lang w:val="sq-AL"/>
        </w:rPr>
        <w:t xml:space="preserve">- </w:t>
      </w:r>
      <w:r w:rsidR="00893E99" w:rsidRPr="00795698">
        <w:rPr>
          <w:lang w:val="sq-AL"/>
        </w:rPr>
        <w:t>Indeksi i rritjes së referimeve</w:t>
      </w:r>
      <w:r w:rsidR="007C064A" w:rsidRPr="00795698">
        <w:rPr>
          <w:lang w:val="sq-AL"/>
        </w:rPr>
        <w:t xml:space="preserve"> </w:t>
      </w:r>
      <w:r w:rsidR="00893E99" w:rsidRPr="00795698">
        <w:rPr>
          <w:lang w:val="sq-AL"/>
        </w:rPr>
        <w:t>për financim të terrorizmit</w:t>
      </w:r>
      <w:r w:rsidR="00835973" w:rsidRPr="00795698">
        <w:rPr>
          <w:lang w:val="sq-AL"/>
        </w:rPr>
        <w:t>.</w:t>
      </w:r>
    </w:p>
    <w:p w14:paraId="5FEEF8C0" w14:textId="77777777" w:rsidR="00893E99" w:rsidRPr="00795698" w:rsidRDefault="000F7BA0" w:rsidP="000F7BA0">
      <w:pPr>
        <w:pStyle w:val="TEKSTIIIII"/>
        <w:rPr>
          <w:lang w:val="sq-AL"/>
        </w:rPr>
      </w:pPr>
      <w:r w:rsidRPr="00795698">
        <w:rPr>
          <w:lang w:val="sq-AL"/>
        </w:rPr>
        <w:t xml:space="preserve">- </w:t>
      </w:r>
      <w:r w:rsidR="00893E99" w:rsidRPr="00795698">
        <w:rPr>
          <w:lang w:val="sq-AL"/>
        </w:rPr>
        <w:t>Indeksi i rritjes së kapaciteteve profesionale për të detektuar dhe hetuar financimin e terrorizmit</w:t>
      </w:r>
    </w:p>
    <w:p w14:paraId="5FEEF8C1" w14:textId="77AD553C" w:rsidR="00893E99" w:rsidRPr="00795698" w:rsidRDefault="000F7BA0" w:rsidP="000F7BA0">
      <w:pPr>
        <w:pStyle w:val="TEKSTIIIII"/>
        <w:rPr>
          <w:lang w:val="sq-AL"/>
        </w:rPr>
      </w:pPr>
      <w:r w:rsidRPr="00795698">
        <w:rPr>
          <w:lang w:val="sq-AL"/>
        </w:rPr>
        <w:t xml:space="preserve">- </w:t>
      </w:r>
      <w:r w:rsidR="00893E99" w:rsidRPr="00795698">
        <w:rPr>
          <w:lang w:val="sq-AL"/>
        </w:rPr>
        <w:t>Indeksi i rritjes së hetimeve të përbashkëta të strukturave të antiterrorit me homologet dhe partnerët</w:t>
      </w:r>
      <w:r w:rsidR="00835973" w:rsidRPr="00795698">
        <w:rPr>
          <w:lang w:val="sq-AL"/>
        </w:rPr>
        <w:t>.</w:t>
      </w:r>
    </w:p>
    <w:p w14:paraId="5FEEF8C2" w14:textId="4FABD568" w:rsidR="00893E99" w:rsidRPr="00795698" w:rsidRDefault="000F7BA0" w:rsidP="000F7BA0">
      <w:pPr>
        <w:pStyle w:val="TEKSTIIIII"/>
        <w:rPr>
          <w:lang w:val="sq-AL"/>
        </w:rPr>
      </w:pPr>
      <w:r w:rsidRPr="00795698">
        <w:rPr>
          <w:lang w:val="sq-AL"/>
        </w:rPr>
        <w:t xml:space="preserve">- </w:t>
      </w:r>
      <w:r w:rsidR="00893E99" w:rsidRPr="00795698">
        <w:rPr>
          <w:lang w:val="sq-AL"/>
        </w:rPr>
        <w:t>Indeksi i rritjes së ndërveprimit midis PSH/DAT, DPT, DPD, DPPPP dhe institucioneve të tjera të sigurisë me institucionet e tjera ligjzbatuese në vend për</w:t>
      </w:r>
      <w:r w:rsidR="007C064A" w:rsidRPr="00795698">
        <w:rPr>
          <w:lang w:val="sq-AL"/>
        </w:rPr>
        <w:t xml:space="preserve"> </w:t>
      </w:r>
      <w:r w:rsidR="00893E99" w:rsidRPr="00795698">
        <w:rPr>
          <w:lang w:val="sq-AL"/>
        </w:rPr>
        <w:t>financimin e terrorizmit</w:t>
      </w:r>
      <w:r w:rsidR="00835973" w:rsidRPr="00795698">
        <w:rPr>
          <w:lang w:val="sq-AL"/>
        </w:rPr>
        <w:t>.</w:t>
      </w:r>
    </w:p>
    <w:p w14:paraId="5FEEF8C3" w14:textId="77777777" w:rsidR="00893E99" w:rsidRPr="00795698" w:rsidRDefault="00893E99" w:rsidP="00893E99">
      <w:pPr>
        <w:pStyle w:val="BodyText"/>
        <w:tabs>
          <w:tab w:val="left" w:pos="426"/>
        </w:tabs>
        <w:ind w:firstLine="284"/>
        <w:rPr>
          <w:rFonts w:ascii="Garamond" w:hAnsi="Garamond"/>
          <w:b/>
          <w:bCs/>
        </w:rPr>
      </w:pPr>
      <w:r w:rsidRPr="00795698">
        <w:rPr>
          <w:rFonts w:ascii="Garamond" w:hAnsi="Garamond"/>
          <w:b/>
          <w:bCs/>
        </w:rPr>
        <w:t xml:space="preserve">Rezultate të pritshme: </w:t>
      </w:r>
    </w:p>
    <w:p w14:paraId="5FEEF8C4" w14:textId="77777777" w:rsidR="00893E99" w:rsidRPr="00795698" w:rsidRDefault="000F7BA0" w:rsidP="000F7BA0">
      <w:pPr>
        <w:pStyle w:val="TEKSTIIIII"/>
        <w:rPr>
          <w:lang w:val="sq-AL"/>
        </w:rPr>
      </w:pPr>
      <w:r w:rsidRPr="00795698">
        <w:rPr>
          <w:lang w:val="sq-AL"/>
        </w:rPr>
        <w:lastRenderedPageBreak/>
        <w:t xml:space="preserve">- </w:t>
      </w:r>
      <w:r w:rsidR="00893E99" w:rsidRPr="00795698">
        <w:rPr>
          <w:lang w:val="sq-AL"/>
        </w:rPr>
        <w:t>Dhënia e aksesit të strukturave të antiterrorit në databazat e çdo institucioni pjesë e kësaj strategjie dhe strategjive të tjera përbërëse për shkëmbimin e të dhënave që ndihmojnë në hetimin dhe parandalimin e terrorizmit dhe financimit të tij</w:t>
      </w:r>
    </w:p>
    <w:p w14:paraId="5FEEF8C5" w14:textId="76BACDF6" w:rsidR="00893E99" w:rsidRPr="00795698" w:rsidRDefault="000F7BA0" w:rsidP="000F7BA0">
      <w:pPr>
        <w:pStyle w:val="TEKSTIIIII"/>
        <w:rPr>
          <w:lang w:val="sq-AL"/>
        </w:rPr>
      </w:pPr>
      <w:r w:rsidRPr="00795698">
        <w:rPr>
          <w:lang w:val="sq-AL"/>
        </w:rPr>
        <w:t xml:space="preserve">- </w:t>
      </w:r>
      <w:r w:rsidR="00893E99" w:rsidRPr="00795698">
        <w:rPr>
          <w:lang w:val="sq-AL"/>
        </w:rPr>
        <w:t>Zbatimi i standardeve dhe mekanizmave të përshtatshme për hetimin e financimit të terrorizmit, duke u fokusuar në mënyrë të veçantë në standardet e BE</w:t>
      </w:r>
      <w:r w:rsidR="00835973" w:rsidRPr="00795698">
        <w:rPr>
          <w:lang w:val="sq-AL"/>
        </w:rPr>
        <w:t>-së</w:t>
      </w:r>
      <w:r w:rsidR="00893E99" w:rsidRPr="00795698">
        <w:rPr>
          <w:lang w:val="sq-AL"/>
        </w:rPr>
        <w:t>, kërkesave që rrjedhin nga rezolutat e KS të OKB dhe instrumentet e tjerë ndërkombëtarë në këtë fushë</w:t>
      </w:r>
      <w:r w:rsidR="00835973" w:rsidRPr="00795698">
        <w:rPr>
          <w:lang w:val="sq-AL"/>
        </w:rPr>
        <w:t>.</w:t>
      </w:r>
    </w:p>
    <w:p w14:paraId="5FEEF8C6" w14:textId="4E5C0FC8" w:rsidR="00893E99" w:rsidRPr="00795698" w:rsidRDefault="000F7BA0" w:rsidP="000F7BA0">
      <w:pPr>
        <w:pStyle w:val="TEKSTIIIII"/>
        <w:rPr>
          <w:lang w:val="sq-AL"/>
        </w:rPr>
      </w:pPr>
      <w:r w:rsidRPr="00795698">
        <w:rPr>
          <w:lang w:val="sq-AL"/>
        </w:rPr>
        <w:t xml:space="preserve">- </w:t>
      </w:r>
      <w:r w:rsidR="00893E99" w:rsidRPr="00795698">
        <w:rPr>
          <w:lang w:val="sq-AL"/>
        </w:rPr>
        <w:t>Rritja e numrit të trajnimeve të specializuara në fushën e hetimit të financimit të terrorizmit</w:t>
      </w:r>
      <w:r w:rsidR="00835973" w:rsidRPr="00795698">
        <w:rPr>
          <w:lang w:val="sq-AL"/>
        </w:rPr>
        <w:t>.</w:t>
      </w:r>
    </w:p>
    <w:p w14:paraId="5FEEF8C7" w14:textId="4CFAD8CD" w:rsidR="00893E99" w:rsidRPr="00795698" w:rsidRDefault="000F7BA0" w:rsidP="000F7BA0">
      <w:pPr>
        <w:pStyle w:val="TEKSTIIIII"/>
        <w:rPr>
          <w:lang w:val="sq-AL"/>
        </w:rPr>
      </w:pPr>
      <w:r w:rsidRPr="00795698">
        <w:rPr>
          <w:lang w:val="sq-AL"/>
        </w:rPr>
        <w:t xml:space="preserve">- </w:t>
      </w:r>
      <w:r w:rsidR="00893E99" w:rsidRPr="00795698">
        <w:rPr>
          <w:lang w:val="sq-AL"/>
        </w:rPr>
        <w:t>Rritja e numrit të rasteve të parandaluara përmes identifikimit dhe analizës së situatës së grupeve kriminale që kryejnë apo dyshohet se kryejnë vepra penale lidhur me terrorizmin dhe financimin e terrorizmit</w:t>
      </w:r>
      <w:r w:rsidR="00835973" w:rsidRPr="00795698">
        <w:rPr>
          <w:lang w:val="sq-AL"/>
        </w:rPr>
        <w:t>.</w:t>
      </w:r>
    </w:p>
    <w:p w14:paraId="5FEEF8C8" w14:textId="77777777" w:rsidR="00893E99" w:rsidRPr="00795698" w:rsidRDefault="000F7BA0" w:rsidP="000F7BA0">
      <w:pPr>
        <w:pStyle w:val="TEKSTIIIII"/>
        <w:rPr>
          <w:lang w:val="sq-AL"/>
        </w:rPr>
      </w:pPr>
      <w:r w:rsidRPr="00795698">
        <w:rPr>
          <w:lang w:val="sq-AL"/>
        </w:rPr>
        <w:t xml:space="preserve">- </w:t>
      </w:r>
      <w:r w:rsidR="00893E99" w:rsidRPr="00795698">
        <w:rPr>
          <w:lang w:val="sq-AL"/>
        </w:rPr>
        <w:t>Rritja e numrit të informacioneve të shkëmbyera midis DPT, PD, DPPPP dhe institucioneve të tjera të sigurisë me institucionet e tjera ligjzbatuese në vend për veprat penale që lidhen me financimin e terrorizmit.</w:t>
      </w:r>
    </w:p>
    <w:p w14:paraId="5FEEF8C9" w14:textId="15E6A955" w:rsidR="00893E99" w:rsidRPr="00795698" w:rsidRDefault="000F7BA0" w:rsidP="000F7BA0">
      <w:pPr>
        <w:pStyle w:val="TEKSTIIIII"/>
        <w:rPr>
          <w:lang w:val="sq-AL"/>
        </w:rPr>
      </w:pPr>
      <w:r w:rsidRPr="00795698">
        <w:rPr>
          <w:lang w:val="sq-AL"/>
        </w:rPr>
        <w:t xml:space="preserve">- </w:t>
      </w:r>
      <w:r w:rsidR="00893E99" w:rsidRPr="00795698">
        <w:rPr>
          <w:lang w:val="sq-AL"/>
        </w:rPr>
        <w:t xml:space="preserve">Rritja e numrit të hetimeve të përbashkëta të strukturave të </w:t>
      </w:r>
      <w:r w:rsidR="00835973" w:rsidRPr="00795698">
        <w:rPr>
          <w:lang w:val="sq-AL"/>
        </w:rPr>
        <w:t>antiterrorist.</w:t>
      </w:r>
      <w:r w:rsidR="00893E99" w:rsidRPr="00795698">
        <w:rPr>
          <w:lang w:val="sq-AL"/>
        </w:rPr>
        <w:t xml:space="preserve"> </w:t>
      </w:r>
    </w:p>
    <w:p w14:paraId="5FEEF8CA" w14:textId="4F6354E3" w:rsidR="00893E99" w:rsidRPr="00795698" w:rsidRDefault="00893E99" w:rsidP="00893E99">
      <w:pPr>
        <w:pStyle w:val="Heading3"/>
        <w:spacing w:before="0"/>
        <w:ind w:firstLine="284"/>
        <w:jc w:val="both"/>
        <w:rPr>
          <w:rFonts w:ascii="Garamond" w:hAnsi="Garamond"/>
          <w:b w:val="0"/>
          <w:i/>
          <w:color w:val="auto"/>
        </w:rPr>
      </w:pPr>
      <w:bookmarkStart w:id="50" w:name="_Toc108644276"/>
      <w:r w:rsidRPr="00795698">
        <w:rPr>
          <w:rFonts w:ascii="Garamond" w:hAnsi="Garamond"/>
          <w:b w:val="0"/>
          <w:i/>
          <w:color w:val="auto"/>
        </w:rPr>
        <w:t>Objektivi specifik 1.3: Intensifikimi i masave për ndjekjen dhe monitorimin e situatës lidhur me shtetasit</w:t>
      </w:r>
      <w:r w:rsidR="007C064A" w:rsidRPr="00795698">
        <w:rPr>
          <w:rFonts w:ascii="Garamond" w:hAnsi="Garamond"/>
          <w:b w:val="0"/>
          <w:i/>
          <w:color w:val="auto"/>
        </w:rPr>
        <w:t xml:space="preserve"> </w:t>
      </w:r>
      <w:r w:rsidRPr="00795698">
        <w:rPr>
          <w:rFonts w:ascii="Garamond" w:hAnsi="Garamond"/>
          <w:b w:val="0"/>
          <w:i/>
          <w:color w:val="auto"/>
        </w:rPr>
        <w:t>shqiptarë LHT që mund të kthehen nga zonat e konfliktit Siri/Irak, si dhe çdo individi të dyshuar për vepra me</w:t>
      </w:r>
      <w:r w:rsidR="007C064A" w:rsidRPr="00795698">
        <w:rPr>
          <w:rFonts w:ascii="Garamond" w:hAnsi="Garamond"/>
          <w:b w:val="0"/>
          <w:i/>
          <w:color w:val="auto"/>
        </w:rPr>
        <w:t xml:space="preserve"> </w:t>
      </w:r>
      <w:r w:rsidRPr="00795698">
        <w:rPr>
          <w:rFonts w:ascii="Garamond" w:hAnsi="Garamond"/>
          <w:b w:val="0"/>
          <w:i/>
          <w:color w:val="auto"/>
        </w:rPr>
        <w:t>qëllime terroriste</w:t>
      </w:r>
      <w:bookmarkEnd w:id="50"/>
    </w:p>
    <w:p w14:paraId="5FEEF8CB" w14:textId="55BA5629" w:rsidR="00893E99" w:rsidRPr="00795698" w:rsidRDefault="00893E99" w:rsidP="00893E99">
      <w:pPr>
        <w:pStyle w:val="BodyText"/>
        <w:ind w:firstLine="284"/>
        <w:rPr>
          <w:rFonts w:ascii="Garamond" w:hAnsi="Garamond"/>
          <w:b/>
        </w:rPr>
      </w:pPr>
      <w:bookmarkStart w:id="51" w:name="_Hlk59670807"/>
      <w:r w:rsidRPr="00795698">
        <w:rPr>
          <w:rFonts w:ascii="Garamond" w:hAnsi="Garamond"/>
          <w:b/>
        </w:rPr>
        <w:t>Masa 1.3.1:</w:t>
      </w:r>
      <w:bookmarkEnd w:id="51"/>
      <w:r w:rsidRPr="00795698">
        <w:rPr>
          <w:rFonts w:ascii="Garamond" w:hAnsi="Garamond"/>
          <w:b/>
        </w:rPr>
        <w:t xml:space="preserve"> </w:t>
      </w:r>
      <w:r w:rsidRPr="00795698">
        <w:rPr>
          <w:rFonts w:ascii="Garamond" w:hAnsi="Garamond"/>
          <w:bCs/>
        </w:rPr>
        <w:t>Mbajtja nën monitorim të vazhdueshëm të personave të kthyer LHT dhe ata që mund të kthehen nga zonat e konfliktit</w:t>
      </w:r>
      <w:r w:rsidR="00835973" w:rsidRPr="00795698">
        <w:rPr>
          <w:rFonts w:ascii="Garamond" w:hAnsi="Garamond"/>
          <w:bCs/>
        </w:rPr>
        <w:t>.</w:t>
      </w:r>
    </w:p>
    <w:p w14:paraId="5FEEF8CC" w14:textId="22FCC265" w:rsidR="00893E99" w:rsidRPr="00795698" w:rsidRDefault="00893E99" w:rsidP="00893E99">
      <w:pPr>
        <w:pStyle w:val="BodyText"/>
        <w:ind w:firstLine="284"/>
        <w:rPr>
          <w:rFonts w:ascii="Garamond" w:hAnsi="Garamond"/>
          <w:b/>
        </w:rPr>
      </w:pPr>
      <w:r w:rsidRPr="00795698">
        <w:rPr>
          <w:rFonts w:ascii="Garamond" w:hAnsi="Garamond"/>
          <w:b/>
        </w:rPr>
        <w:t xml:space="preserve">Masa 1.3.2: </w:t>
      </w:r>
      <w:r w:rsidRPr="00795698">
        <w:rPr>
          <w:rFonts w:ascii="Garamond" w:hAnsi="Garamond"/>
          <w:bCs/>
        </w:rPr>
        <w:t xml:space="preserve">Lidhja e marrëveshjeve të bashkëpunimit/operacioneve të përbashkëta me </w:t>
      </w:r>
      <w:r w:rsidR="007265E9" w:rsidRPr="00795698">
        <w:rPr>
          <w:rFonts w:ascii="Garamond" w:hAnsi="Garamond"/>
          <w:bCs/>
        </w:rPr>
        <w:t>agjenc</w:t>
      </w:r>
      <w:r w:rsidRPr="00795698">
        <w:rPr>
          <w:rFonts w:ascii="Garamond" w:hAnsi="Garamond"/>
          <w:bCs/>
        </w:rPr>
        <w:t>itë inteligjente në vend dhe ato ndërkombëtare lidhur me LHT</w:t>
      </w:r>
      <w:r w:rsidR="00835973" w:rsidRPr="00795698">
        <w:rPr>
          <w:rFonts w:ascii="Garamond" w:hAnsi="Garamond"/>
          <w:bCs/>
        </w:rPr>
        <w:t>.</w:t>
      </w:r>
    </w:p>
    <w:p w14:paraId="5FEEF8CD" w14:textId="7EEB4681" w:rsidR="00893E99" w:rsidRPr="00795698" w:rsidRDefault="00893E99" w:rsidP="00893E99">
      <w:pPr>
        <w:pStyle w:val="BodyText"/>
        <w:ind w:firstLine="284"/>
        <w:rPr>
          <w:rFonts w:ascii="Garamond" w:hAnsi="Garamond"/>
          <w:b/>
        </w:rPr>
      </w:pPr>
      <w:r w:rsidRPr="00795698">
        <w:rPr>
          <w:rFonts w:ascii="Garamond" w:hAnsi="Garamond"/>
          <w:b/>
        </w:rPr>
        <w:t xml:space="preserve">Masa 1.3.3: </w:t>
      </w:r>
      <w:r w:rsidRPr="00795698">
        <w:rPr>
          <w:rFonts w:ascii="Garamond" w:hAnsi="Garamond"/>
          <w:bCs/>
        </w:rPr>
        <w:t>Monitorimi i rrjeteve sociale dhe mediave elektronike në lidhje me LHT dhe individët e dyshuar për terrorizëm</w:t>
      </w:r>
      <w:r w:rsidR="00835973" w:rsidRPr="00795698">
        <w:rPr>
          <w:rFonts w:ascii="Garamond" w:hAnsi="Garamond"/>
          <w:bCs/>
        </w:rPr>
        <w:t>.</w:t>
      </w:r>
    </w:p>
    <w:p w14:paraId="5FEEF8CE" w14:textId="77777777" w:rsidR="00893E99" w:rsidRPr="00795698" w:rsidRDefault="00893E99" w:rsidP="00893E99">
      <w:pPr>
        <w:pStyle w:val="BodyText"/>
        <w:ind w:firstLine="284"/>
        <w:rPr>
          <w:rFonts w:ascii="Garamond" w:hAnsi="Garamond"/>
          <w:b/>
        </w:rPr>
      </w:pPr>
      <w:r w:rsidRPr="00795698">
        <w:rPr>
          <w:rFonts w:ascii="Garamond" w:hAnsi="Garamond"/>
          <w:b/>
        </w:rPr>
        <w:t xml:space="preserve">Indikatorë të matshëm: </w:t>
      </w:r>
    </w:p>
    <w:p w14:paraId="5FEEF8CF" w14:textId="475ABC01" w:rsidR="00893E99" w:rsidRPr="00795698" w:rsidRDefault="000F7BA0" w:rsidP="000F7BA0">
      <w:pPr>
        <w:pStyle w:val="TEKSTIIIII"/>
        <w:rPr>
          <w:b/>
          <w:lang w:val="sq-AL"/>
        </w:rPr>
      </w:pPr>
      <w:r w:rsidRPr="00795698">
        <w:rPr>
          <w:lang w:val="sq-AL"/>
        </w:rPr>
        <w:t xml:space="preserve">- </w:t>
      </w:r>
      <w:r w:rsidR="00893E99" w:rsidRPr="00795698">
        <w:rPr>
          <w:lang w:val="sq-AL"/>
        </w:rPr>
        <w:t>Indeksi i rritjes së nivelit të parandalimit të kërcënimeve terroriste nga LTH, si rrjedhojë</w:t>
      </w:r>
      <w:r w:rsidR="007C064A" w:rsidRPr="00795698">
        <w:rPr>
          <w:lang w:val="sq-AL"/>
        </w:rPr>
        <w:t xml:space="preserve"> </w:t>
      </w:r>
      <w:r w:rsidR="00893E99" w:rsidRPr="00795698">
        <w:rPr>
          <w:lang w:val="sq-AL"/>
        </w:rPr>
        <w:t>e monitorimit të situatës së personave të kthyer nga zonat e konfliktit</w:t>
      </w:r>
      <w:r w:rsidR="00835973" w:rsidRPr="00795698">
        <w:rPr>
          <w:lang w:val="sq-AL"/>
        </w:rPr>
        <w:t>.</w:t>
      </w:r>
    </w:p>
    <w:p w14:paraId="5FEEF8D0" w14:textId="77777777" w:rsidR="00893E99" w:rsidRPr="00795698" w:rsidRDefault="00893E99" w:rsidP="00893E99">
      <w:pPr>
        <w:pStyle w:val="BodyText"/>
        <w:ind w:firstLine="284"/>
        <w:rPr>
          <w:rFonts w:ascii="Garamond" w:hAnsi="Garamond"/>
          <w:b/>
        </w:rPr>
      </w:pPr>
      <w:bookmarkStart w:id="52" w:name="_Hlk59671336"/>
      <w:r w:rsidRPr="00795698">
        <w:rPr>
          <w:rFonts w:ascii="Garamond" w:hAnsi="Garamond"/>
          <w:b/>
        </w:rPr>
        <w:t xml:space="preserve">Rezultate të pritshme </w:t>
      </w:r>
    </w:p>
    <w:bookmarkEnd w:id="52"/>
    <w:p w14:paraId="5FEEF8D1" w14:textId="47FC11E3" w:rsidR="00893E99" w:rsidRPr="00795698" w:rsidRDefault="004D4669" w:rsidP="004D4669">
      <w:pPr>
        <w:pStyle w:val="TEKSTIIIII"/>
        <w:rPr>
          <w:lang w:val="sq-AL"/>
        </w:rPr>
      </w:pPr>
      <w:r w:rsidRPr="00795698">
        <w:rPr>
          <w:lang w:val="sq-AL"/>
        </w:rPr>
        <w:t xml:space="preserve">- </w:t>
      </w:r>
      <w:r w:rsidR="00893E99" w:rsidRPr="00795698">
        <w:rPr>
          <w:lang w:val="sq-AL"/>
        </w:rPr>
        <w:t>Krijimi i sistemeve për monitorimin e vazhdueshëm të personave të kthyer dhe ata që mund të kthehen nga zonat e konfliktit</w:t>
      </w:r>
      <w:r w:rsidR="00835973" w:rsidRPr="00795698">
        <w:rPr>
          <w:lang w:val="sq-AL"/>
        </w:rPr>
        <w:t>.</w:t>
      </w:r>
    </w:p>
    <w:p w14:paraId="5FEEF8D2" w14:textId="728DE0F5" w:rsidR="00893E99" w:rsidRPr="00795698" w:rsidRDefault="004D4669" w:rsidP="004D4669">
      <w:pPr>
        <w:pStyle w:val="TEKSTIIIII"/>
        <w:rPr>
          <w:lang w:val="sq-AL"/>
        </w:rPr>
      </w:pPr>
      <w:r w:rsidRPr="00795698">
        <w:rPr>
          <w:lang w:val="sq-AL"/>
        </w:rPr>
        <w:t xml:space="preserve">- </w:t>
      </w:r>
      <w:r w:rsidR="00893E99" w:rsidRPr="00795698">
        <w:rPr>
          <w:lang w:val="sq-AL"/>
        </w:rPr>
        <w:t xml:space="preserve">Rritja e numrit të marrëveshjeve të bashkëpunimit/operacioneve të përbashkëta me </w:t>
      </w:r>
      <w:r w:rsidR="007265E9" w:rsidRPr="00795698">
        <w:rPr>
          <w:lang w:val="sq-AL"/>
        </w:rPr>
        <w:t>agjenc</w:t>
      </w:r>
      <w:r w:rsidR="00893E99" w:rsidRPr="00795698">
        <w:rPr>
          <w:lang w:val="sq-AL"/>
        </w:rPr>
        <w:t>itë inteligjente në vend dhe ato ndërkombëtare lidhur me LHT</w:t>
      </w:r>
      <w:r w:rsidR="00835973" w:rsidRPr="00795698">
        <w:rPr>
          <w:lang w:val="sq-AL"/>
        </w:rPr>
        <w:t>.</w:t>
      </w:r>
    </w:p>
    <w:p w14:paraId="5FEEF8D3" w14:textId="2C47071C" w:rsidR="00893E99" w:rsidRPr="00795698" w:rsidRDefault="004D4669" w:rsidP="004D4669">
      <w:pPr>
        <w:pStyle w:val="TEKSTIIIII"/>
        <w:rPr>
          <w:lang w:val="sq-AL"/>
        </w:rPr>
      </w:pPr>
      <w:r w:rsidRPr="00795698">
        <w:rPr>
          <w:lang w:val="sq-AL"/>
        </w:rPr>
        <w:t xml:space="preserve">- </w:t>
      </w:r>
      <w:r w:rsidR="00893E99" w:rsidRPr="00795698">
        <w:rPr>
          <w:lang w:val="sq-AL"/>
        </w:rPr>
        <w:t>Identifikimi dhe parandalimi i rasteve të terrorizmit përmes monitorimit të rrjeteve sociale dhe mediave elektronike në lidhje me LHT dhe individët e dyshuar për terrorizëm</w:t>
      </w:r>
      <w:r w:rsidR="00835973" w:rsidRPr="00795698">
        <w:rPr>
          <w:lang w:val="sq-AL"/>
        </w:rPr>
        <w:t>.</w:t>
      </w:r>
    </w:p>
    <w:p w14:paraId="5FEEF8D4" w14:textId="291A5725" w:rsidR="00893E99" w:rsidRPr="00795698" w:rsidRDefault="00893E99" w:rsidP="00893E99">
      <w:pPr>
        <w:pStyle w:val="Heading3"/>
        <w:spacing w:before="0"/>
        <w:ind w:firstLine="284"/>
        <w:jc w:val="both"/>
        <w:rPr>
          <w:rFonts w:ascii="Garamond" w:hAnsi="Garamond"/>
          <w:b w:val="0"/>
          <w:i/>
          <w:color w:val="auto"/>
        </w:rPr>
      </w:pPr>
      <w:bookmarkStart w:id="53" w:name="_Hlk59671681"/>
      <w:bookmarkStart w:id="54" w:name="_Toc108644277"/>
      <w:r w:rsidRPr="00795698">
        <w:rPr>
          <w:rFonts w:ascii="Garamond" w:hAnsi="Garamond"/>
          <w:b w:val="0"/>
          <w:i/>
          <w:color w:val="auto"/>
        </w:rPr>
        <w:t xml:space="preserve">Objektivi specifik 1.4: </w:t>
      </w:r>
      <w:bookmarkEnd w:id="53"/>
      <w:r w:rsidRPr="00795698">
        <w:rPr>
          <w:rFonts w:ascii="Garamond" w:hAnsi="Garamond"/>
          <w:b w:val="0"/>
          <w:i/>
          <w:color w:val="auto"/>
        </w:rPr>
        <w:t>Forcimi i bashkëpunimit dhe koordinimit të agjencive inteligjente, ligjzbatuese për parandalimin e ekstremizmit të dhunshëm dhe në luftën kundër terrorizmit</w:t>
      </w:r>
      <w:bookmarkEnd w:id="54"/>
      <w:r w:rsidRPr="00795698">
        <w:rPr>
          <w:rFonts w:ascii="Garamond" w:hAnsi="Garamond"/>
          <w:b w:val="0"/>
          <w:i/>
          <w:color w:val="auto"/>
        </w:rPr>
        <w:t xml:space="preserve"> në vend dh</w:t>
      </w:r>
      <w:r w:rsidR="00835973" w:rsidRPr="00795698">
        <w:rPr>
          <w:rFonts w:ascii="Garamond" w:hAnsi="Garamond"/>
          <w:b w:val="0"/>
          <w:i/>
          <w:color w:val="auto"/>
        </w:rPr>
        <w:t>e me shërbime homologe/partnere</w:t>
      </w:r>
    </w:p>
    <w:p w14:paraId="5FEEF8D5" w14:textId="3BE88840" w:rsidR="00893E99" w:rsidRPr="00795698" w:rsidRDefault="00893E99" w:rsidP="00893E99">
      <w:pPr>
        <w:pStyle w:val="BodyText"/>
        <w:ind w:firstLine="284"/>
        <w:rPr>
          <w:rFonts w:ascii="Garamond" w:hAnsi="Garamond"/>
          <w:bCs/>
        </w:rPr>
      </w:pPr>
      <w:bookmarkStart w:id="55" w:name="_Hlk59671212"/>
      <w:r w:rsidRPr="00795698">
        <w:rPr>
          <w:rFonts w:ascii="Garamond" w:hAnsi="Garamond"/>
          <w:b/>
        </w:rPr>
        <w:t>Masa 1.4.1:</w:t>
      </w:r>
      <w:bookmarkEnd w:id="55"/>
      <w:r w:rsidRPr="00795698">
        <w:rPr>
          <w:rFonts w:ascii="Garamond" w:hAnsi="Garamond"/>
          <w:b/>
        </w:rPr>
        <w:t xml:space="preserve"> </w:t>
      </w:r>
      <w:r w:rsidRPr="00795698">
        <w:rPr>
          <w:rFonts w:ascii="Garamond" w:hAnsi="Garamond"/>
          <w:bCs/>
        </w:rPr>
        <w:t>Rritja e numrit të informacioneve të shkëmbyera ndërmjet strukturave të PSH dhe institucioneve inteligjente e ligjzbatuese në vend</w:t>
      </w:r>
      <w:r w:rsidR="00835973" w:rsidRPr="00795698">
        <w:rPr>
          <w:rFonts w:ascii="Garamond" w:hAnsi="Garamond"/>
          <w:bCs/>
        </w:rPr>
        <w:t>.</w:t>
      </w:r>
    </w:p>
    <w:p w14:paraId="5FEEF8D6" w14:textId="74FDD8C4" w:rsidR="00893E99" w:rsidRPr="00795698" w:rsidRDefault="00893E99" w:rsidP="00893E99">
      <w:pPr>
        <w:pStyle w:val="BodyText"/>
        <w:ind w:firstLine="284"/>
        <w:rPr>
          <w:rFonts w:ascii="Garamond" w:hAnsi="Garamond"/>
          <w:b/>
        </w:rPr>
      </w:pPr>
      <w:r w:rsidRPr="00795698">
        <w:rPr>
          <w:rFonts w:ascii="Garamond" w:hAnsi="Garamond"/>
          <w:b/>
        </w:rPr>
        <w:t xml:space="preserve">Masa 1.4.2: </w:t>
      </w:r>
      <w:r w:rsidRPr="00795698">
        <w:rPr>
          <w:rFonts w:ascii="Garamond" w:hAnsi="Garamond"/>
          <w:bCs/>
        </w:rPr>
        <w:t>Rritja e bashkëpunimit dhe shkëmbimi i informacioneve për verifikimin e terrorizmit në bazë të marrëveshjeve dypalëshe me të gjitha shërbimet homologe e partnere: Europol, SELEC, INTERPOL</w:t>
      </w:r>
      <w:r w:rsidR="00D10A07" w:rsidRPr="00795698">
        <w:rPr>
          <w:rFonts w:ascii="Garamond" w:hAnsi="Garamond"/>
          <w:bCs/>
        </w:rPr>
        <w:t>,</w:t>
      </w:r>
      <w:r w:rsidRPr="00795698">
        <w:rPr>
          <w:rFonts w:ascii="Garamond" w:hAnsi="Garamond"/>
          <w:bCs/>
        </w:rPr>
        <w:t xml:space="preserve"> Interforza, TSC-SHBA</w:t>
      </w:r>
      <w:r w:rsidR="00835973" w:rsidRPr="00795698">
        <w:rPr>
          <w:rFonts w:ascii="Garamond" w:hAnsi="Garamond"/>
          <w:bCs/>
        </w:rPr>
        <w:t>.</w:t>
      </w:r>
    </w:p>
    <w:p w14:paraId="5FEEF8D7" w14:textId="1F8E32D3" w:rsidR="00893E99" w:rsidRPr="00795698" w:rsidRDefault="00893E99" w:rsidP="00893E99">
      <w:pPr>
        <w:pStyle w:val="BodyText"/>
        <w:ind w:firstLine="284"/>
        <w:rPr>
          <w:rFonts w:ascii="Garamond" w:hAnsi="Garamond"/>
          <w:b/>
        </w:rPr>
      </w:pPr>
      <w:r w:rsidRPr="00795698">
        <w:rPr>
          <w:rFonts w:ascii="Garamond" w:hAnsi="Garamond"/>
          <w:b/>
        </w:rPr>
        <w:t xml:space="preserve">Masa 1.4.3: </w:t>
      </w:r>
      <w:r w:rsidRPr="00795698">
        <w:rPr>
          <w:rFonts w:ascii="Garamond" w:hAnsi="Garamond"/>
          <w:bCs/>
        </w:rPr>
        <w:t>Rritja e numrit të informacioneve të shkëmbyera për identifikimin e ve</w:t>
      </w:r>
      <w:r w:rsidR="00264E1C">
        <w:rPr>
          <w:rFonts w:ascii="Garamond" w:hAnsi="Garamond"/>
          <w:bCs/>
        </w:rPr>
        <w:t>nd</w:t>
      </w:r>
      <w:r w:rsidRPr="00795698">
        <w:rPr>
          <w:rFonts w:ascii="Garamond" w:hAnsi="Garamond"/>
          <w:bCs/>
        </w:rPr>
        <w:t>ndodhjes dhe kapjen e personave në kërkim ndërkombëtar për vepra me</w:t>
      </w:r>
      <w:r w:rsidR="007C064A" w:rsidRPr="00795698">
        <w:rPr>
          <w:rFonts w:ascii="Garamond" w:hAnsi="Garamond"/>
          <w:bCs/>
        </w:rPr>
        <w:t xml:space="preserve"> </w:t>
      </w:r>
      <w:r w:rsidRPr="00795698">
        <w:rPr>
          <w:rFonts w:ascii="Garamond" w:hAnsi="Garamond"/>
          <w:bCs/>
        </w:rPr>
        <w:t>qëllime terroriste</w:t>
      </w:r>
      <w:r w:rsidR="00835973" w:rsidRPr="00795698">
        <w:rPr>
          <w:rFonts w:ascii="Garamond" w:hAnsi="Garamond"/>
          <w:bCs/>
        </w:rPr>
        <w:t>.</w:t>
      </w:r>
    </w:p>
    <w:p w14:paraId="5FEEF8D8" w14:textId="2E141188" w:rsidR="00893E99" w:rsidRPr="00795698" w:rsidRDefault="00893E99" w:rsidP="00893E99">
      <w:pPr>
        <w:pStyle w:val="BodyText"/>
        <w:ind w:firstLine="284"/>
        <w:rPr>
          <w:rFonts w:ascii="Garamond" w:hAnsi="Garamond"/>
          <w:b/>
        </w:rPr>
      </w:pPr>
      <w:r w:rsidRPr="00795698">
        <w:rPr>
          <w:rFonts w:ascii="Garamond" w:hAnsi="Garamond"/>
          <w:b/>
        </w:rPr>
        <w:t xml:space="preserve">Masa 1.4.4: </w:t>
      </w:r>
      <w:r w:rsidRPr="00795698">
        <w:rPr>
          <w:rFonts w:ascii="Garamond" w:hAnsi="Garamond"/>
          <w:bCs/>
        </w:rPr>
        <w:t>Kryerja e</w:t>
      </w:r>
      <w:r w:rsidR="007C064A" w:rsidRPr="00795698">
        <w:rPr>
          <w:rFonts w:ascii="Garamond" w:hAnsi="Garamond"/>
          <w:bCs/>
        </w:rPr>
        <w:t xml:space="preserve"> </w:t>
      </w:r>
      <w:r w:rsidRPr="00795698">
        <w:rPr>
          <w:rFonts w:ascii="Garamond" w:hAnsi="Garamond"/>
          <w:bCs/>
        </w:rPr>
        <w:t>hetimeve/operacioneve të përbashkëta me partnerët ndërkombëtare</w:t>
      </w:r>
      <w:r w:rsidR="007C064A" w:rsidRPr="00795698">
        <w:rPr>
          <w:rFonts w:ascii="Garamond" w:hAnsi="Garamond"/>
          <w:bCs/>
        </w:rPr>
        <w:t xml:space="preserve"> </w:t>
      </w:r>
      <w:r w:rsidRPr="00795698">
        <w:rPr>
          <w:rFonts w:ascii="Garamond" w:hAnsi="Garamond"/>
          <w:bCs/>
        </w:rPr>
        <w:t>për individë/grupe të dyshuara për veprimtari që lidhen</w:t>
      </w:r>
      <w:r w:rsidR="007C064A" w:rsidRPr="00795698">
        <w:rPr>
          <w:rFonts w:ascii="Garamond" w:hAnsi="Garamond"/>
          <w:bCs/>
        </w:rPr>
        <w:t xml:space="preserve"> </w:t>
      </w:r>
      <w:r w:rsidRPr="00795698">
        <w:rPr>
          <w:rFonts w:ascii="Garamond" w:hAnsi="Garamond"/>
          <w:bCs/>
        </w:rPr>
        <w:t>me terrorizmin brenda dhe jashtë vendit</w:t>
      </w:r>
      <w:r w:rsidR="00835973" w:rsidRPr="00795698">
        <w:rPr>
          <w:rFonts w:ascii="Garamond" w:hAnsi="Garamond"/>
          <w:bCs/>
        </w:rPr>
        <w:t>.</w:t>
      </w:r>
    </w:p>
    <w:p w14:paraId="5FEEF8D9" w14:textId="0451676A" w:rsidR="00893E99" w:rsidRPr="00795698" w:rsidRDefault="00893E99" w:rsidP="00893E99">
      <w:pPr>
        <w:pStyle w:val="BodyText"/>
        <w:ind w:firstLine="284"/>
        <w:rPr>
          <w:rFonts w:ascii="Garamond" w:hAnsi="Garamond"/>
          <w:b/>
        </w:rPr>
      </w:pPr>
      <w:r w:rsidRPr="00795698">
        <w:rPr>
          <w:rFonts w:ascii="Garamond" w:hAnsi="Garamond"/>
          <w:b/>
        </w:rPr>
        <w:t xml:space="preserve">Masa 1.4.5: </w:t>
      </w:r>
      <w:r w:rsidRPr="00795698">
        <w:rPr>
          <w:rFonts w:ascii="Garamond" w:hAnsi="Garamond"/>
          <w:bCs/>
        </w:rPr>
        <w:t xml:space="preserve">Përdorimi me proaktivitet i produkteve, shërbimeve e platformave të komunikimit të Qendrës Evropiane </w:t>
      </w:r>
      <w:r w:rsidR="000E7837" w:rsidRPr="00795698">
        <w:rPr>
          <w:rFonts w:ascii="Garamond" w:hAnsi="Garamond"/>
          <w:bCs/>
        </w:rPr>
        <w:t>k</w:t>
      </w:r>
      <w:r w:rsidRPr="00795698">
        <w:rPr>
          <w:rFonts w:ascii="Garamond" w:hAnsi="Garamond"/>
          <w:bCs/>
        </w:rPr>
        <w:t>undër Terrorizmit Europol.</w:t>
      </w:r>
    </w:p>
    <w:p w14:paraId="5FEEF8DA" w14:textId="52F15A15" w:rsidR="00893E99" w:rsidRPr="00795698" w:rsidRDefault="00893E99" w:rsidP="00893E99">
      <w:pPr>
        <w:pStyle w:val="BodyText"/>
        <w:ind w:firstLine="284"/>
        <w:rPr>
          <w:rFonts w:ascii="Garamond" w:hAnsi="Garamond"/>
          <w:b/>
        </w:rPr>
      </w:pPr>
      <w:bookmarkStart w:id="56" w:name="_Hlk59671903"/>
      <w:r w:rsidRPr="00795698">
        <w:rPr>
          <w:rFonts w:ascii="Garamond" w:hAnsi="Garamond"/>
          <w:b/>
        </w:rPr>
        <w:lastRenderedPageBreak/>
        <w:t>Masa 1.4.6:</w:t>
      </w:r>
      <w:bookmarkEnd w:id="56"/>
      <w:r w:rsidRPr="00795698">
        <w:rPr>
          <w:rFonts w:ascii="Garamond" w:hAnsi="Garamond"/>
          <w:b/>
        </w:rPr>
        <w:t xml:space="preserve"> </w:t>
      </w:r>
      <w:r w:rsidRPr="00795698">
        <w:rPr>
          <w:rFonts w:ascii="Garamond" w:hAnsi="Garamond"/>
          <w:bCs/>
        </w:rPr>
        <w:t>Grumbullimi, përpunimi dhe analizimi i të dhënave informative mbi treguesit/indikatorët mbi radikalizimin që ekstremizmi me natyrë fetare, etnike dhe ideologjike me qëllim sinjalizimin e veprimtarive të dyshimta me natyrë terroriste</w:t>
      </w:r>
      <w:r w:rsidR="00835973" w:rsidRPr="00795698">
        <w:rPr>
          <w:rFonts w:ascii="Garamond" w:hAnsi="Garamond"/>
          <w:bCs/>
        </w:rPr>
        <w:t>.</w:t>
      </w:r>
    </w:p>
    <w:p w14:paraId="5FEEF8DB" w14:textId="77777777" w:rsidR="00893E99" w:rsidRPr="00795698" w:rsidRDefault="00893E99" w:rsidP="00893E99">
      <w:pPr>
        <w:pStyle w:val="BodyText"/>
        <w:ind w:firstLine="284"/>
        <w:rPr>
          <w:rFonts w:ascii="Garamond" w:hAnsi="Garamond"/>
          <w:b/>
        </w:rPr>
      </w:pPr>
      <w:r w:rsidRPr="00795698">
        <w:rPr>
          <w:rFonts w:ascii="Garamond" w:hAnsi="Garamond"/>
          <w:b/>
        </w:rPr>
        <w:t xml:space="preserve">Indikatorë të matshëm: </w:t>
      </w:r>
    </w:p>
    <w:p w14:paraId="5FEEF8DC" w14:textId="1019C301" w:rsidR="00893E99" w:rsidRPr="00795698" w:rsidRDefault="004D4669" w:rsidP="004D4669">
      <w:pPr>
        <w:pStyle w:val="TEKSTIIIII"/>
        <w:rPr>
          <w:b/>
          <w:lang w:val="sq-AL"/>
        </w:rPr>
      </w:pPr>
      <w:r w:rsidRPr="00795698">
        <w:rPr>
          <w:lang w:val="sq-AL"/>
        </w:rPr>
        <w:t xml:space="preserve">- </w:t>
      </w:r>
      <w:r w:rsidR="00893E99" w:rsidRPr="00795698">
        <w:rPr>
          <w:lang w:val="sq-AL"/>
        </w:rPr>
        <w:t>Indeksi</w:t>
      </w:r>
      <w:r w:rsidR="007C064A" w:rsidRPr="00795698">
        <w:rPr>
          <w:lang w:val="sq-AL"/>
        </w:rPr>
        <w:t xml:space="preserve"> </w:t>
      </w:r>
      <w:r w:rsidR="00893E99" w:rsidRPr="00795698">
        <w:rPr>
          <w:lang w:val="sq-AL"/>
        </w:rPr>
        <w:t>i efektivitetit të informacioneve të shkëmbyera midis institucioneve brenda vendit si dhe me shërbimet partnere</w:t>
      </w:r>
      <w:r w:rsidR="00835973" w:rsidRPr="00795698">
        <w:rPr>
          <w:lang w:val="sq-AL"/>
        </w:rPr>
        <w:t>.</w:t>
      </w:r>
    </w:p>
    <w:p w14:paraId="5FEEF8DD" w14:textId="77777777" w:rsidR="00893E99" w:rsidRPr="00795698" w:rsidRDefault="00893E99" w:rsidP="00893E99">
      <w:pPr>
        <w:pStyle w:val="BodyText"/>
        <w:ind w:firstLine="284"/>
        <w:rPr>
          <w:rFonts w:ascii="Garamond" w:hAnsi="Garamond"/>
          <w:b/>
        </w:rPr>
      </w:pPr>
      <w:r w:rsidRPr="00795698">
        <w:rPr>
          <w:rFonts w:ascii="Garamond" w:hAnsi="Garamond"/>
          <w:b/>
        </w:rPr>
        <w:t xml:space="preserve">Rezultate të pritshme </w:t>
      </w:r>
    </w:p>
    <w:p w14:paraId="5FEEF8DE" w14:textId="6FC2D85F" w:rsidR="00893E99" w:rsidRPr="00795698" w:rsidRDefault="004D4669" w:rsidP="004D4669">
      <w:pPr>
        <w:pStyle w:val="TEKSTIIIII"/>
        <w:rPr>
          <w:lang w:val="sq-AL"/>
        </w:rPr>
      </w:pPr>
      <w:r w:rsidRPr="00795698">
        <w:rPr>
          <w:lang w:val="sq-AL"/>
        </w:rPr>
        <w:t xml:space="preserve">- </w:t>
      </w:r>
      <w:r w:rsidR="00893E99" w:rsidRPr="00795698">
        <w:rPr>
          <w:lang w:val="sq-AL"/>
        </w:rPr>
        <w:t>Rritja e numrit të informacioneve të shkëmbyera midis institucioneve brenda vendit si dhe me shërbimet e specializuara në BE, Europol, SELEC dhe INTERPOL</w:t>
      </w:r>
      <w:r w:rsidR="00835973" w:rsidRPr="00795698">
        <w:rPr>
          <w:lang w:val="sq-AL"/>
        </w:rPr>
        <w:t>.</w:t>
      </w:r>
      <w:r w:rsidR="00893E99" w:rsidRPr="00795698">
        <w:rPr>
          <w:lang w:val="sq-AL"/>
        </w:rPr>
        <w:t xml:space="preserve"> </w:t>
      </w:r>
    </w:p>
    <w:p w14:paraId="5FEEF8DF" w14:textId="20F3AD60" w:rsidR="00893E99" w:rsidRPr="00795698" w:rsidRDefault="004D4669" w:rsidP="004D4669">
      <w:pPr>
        <w:pStyle w:val="TEKSTIIIII"/>
        <w:rPr>
          <w:lang w:val="sq-AL"/>
        </w:rPr>
      </w:pPr>
      <w:r w:rsidRPr="00795698">
        <w:rPr>
          <w:lang w:val="sq-AL"/>
        </w:rPr>
        <w:t xml:space="preserve">- </w:t>
      </w:r>
      <w:r w:rsidR="00893E99" w:rsidRPr="00795698">
        <w:rPr>
          <w:lang w:val="sq-AL"/>
        </w:rPr>
        <w:t>Rritja e bashkëpunimit dhe shkëmbimi i informacioneve për verifikimin e terrorizmit në bazë të marrëveshjeve dypalëshe me të gjitha shërbimet homologe sipas nevojës</w:t>
      </w:r>
      <w:r w:rsidR="00835973" w:rsidRPr="00795698">
        <w:rPr>
          <w:lang w:val="sq-AL"/>
        </w:rPr>
        <w:t>.</w:t>
      </w:r>
    </w:p>
    <w:p w14:paraId="5FEEF8E0" w14:textId="3F4EEEE7" w:rsidR="00893E99" w:rsidRPr="00795698" w:rsidRDefault="004D4669" w:rsidP="004D4669">
      <w:pPr>
        <w:pStyle w:val="TEKSTIIIII"/>
        <w:rPr>
          <w:lang w:val="sq-AL"/>
        </w:rPr>
      </w:pPr>
      <w:r w:rsidRPr="00795698">
        <w:rPr>
          <w:lang w:val="sq-AL"/>
        </w:rPr>
        <w:t xml:space="preserve">- </w:t>
      </w:r>
      <w:r w:rsidR="00893E99" w:rsidRPr="00795698">
        <w:rPr>
          <w:lang w:val="sq-AL"/>
        </w:rPr>
        <w:t>Rritja e numrit të informacioneve të shkëmbyera për identifikimin e ve</w:t>
      </w:r>
      <w:r w:rsidR="00835973" w:rsidRPr="00795698">
        <w:rPr>
          <w:lang w:val="sq-AL"/>
        </w:rPr>
        <w:t>nd</w:t>
      </w:r>
      <w:r w:rsidR="00893E99" w:rsidRPr="00795698">
        <w:rPr>
          <w:lang w:val="sq-AL"/>
        </w:rPr>
        <w:t>ndodhjes dhe kapjen e personave në kërkim ndërkombëtar për vepra me qëllime terroriste</w:t>
      </w:r>
      <w:r w:rsidR="00835973" w:rsidRPr="00795698">
        <w:rPr>
          <w:lang w:val="sq-AL"/>
        </w:rPr>
        <w:t>.</w:t>
      </w:r>
    </w:p>
    <w:p w14:paraId="5FEEF8E1" w14:textId="522FE224" w:rsidR="00893E99" w:rsidRPr="00795698" w:rsidRDefault="004D4669" w:rsidP="004D4669">
      <w:pPr>
        <w:pStyle w:val="TEKSTIIIII"/>
        <w:rPr>
          <w:lang w:val="sq-AL"/>
        </w:rPr>
      </w:pPr>
      <w:r w:rsidRPr="00795698">
        <w:rPr>
          <w:lang w:val="sq-AL"/>
        </w:rPr>
        <w:t xml:space="preserve">- </w:t>
      </w:r>
      <w:r w:rsidR="00893E99" w:rsidRPr="00795698">
        <w:rPr>
          <w:lang w:val="sq-AL"/>
        </w:rPr>
        <w:t>Rritja e numrit të hetimeve/operacioneve të përbashkëta me partneret ndërkombëtare për individë/grupe të dyshuara për veprimtari që lidhen me terrorizmin brenda dhe jashtë vendit</w:t>
      </w:r>
      <w:r w:rsidR="00835973" w:rsidRPr="00795698">
        <w:rPr>
          <w:lang w:val="sq-AL"/>
        </w:rPr>
        <w:t>.</w:t>
      </w:r>
    </w:p>
    <w:p w14:paraId="5FEEF8E2" w14:textId="1C277980" w:rsidR="00893E99" w:rsidRPr="00795698" w:rsidRDefault="004D4669" w:rsidP="004D4669">
      <w:pPr>
        <w:pStyle w:val="TEKSTIIIII"/>
        <w:rPr>
          <w:lang w:val="sq-AL"/>
        </w:rPr>
      </w:pPr>
      <w:r w:rsidRPr="00795698">
        <w:rPr>
          <w:lang w:val="sq-AL"/>
        </w:rPr>
        <w:t xml:space="preserve">- </w:t>
      </w:r>
      <w:r w:rsidR="00893E99" w:rsidRPr="00795698">
        <w:rPr>
          <w:lang w:val="sq-AL"/>
        </w:rPr>
        <w:t>Forcimi i kapaciteteve hetimore/identifikuese dhe parandaluese përmes përdorimit</w:t>
      </w:r>
      <w:r w:rsidR="007C064A" w:rsidRPr="00795698">
        <w:rPr>
          <w:lang w:val="sq-AL"/>
        </w:rPr>
        <w:t xml:space="preserve"> </w:t>
      </w:r>
      <w:r w:rsidR="00893E99" w:rsidRPr="00795698">
        <w:rPr>
          <w:lang w:val="sq-AL"/>
        </w:rPr>
        <w:t xml:space="preserve">me proaktivitet të produkteve, shërbimeve e platformave të komunikimit të Qendrës Evropiane </w:t>
      </w:r>
      <w:r w:rsidR="000E7837" w:rsidRPr="00795698">
        <w:rPr>
          <w:lang w:val="sq-AL"/>
        </w:rPr>
        <w:t>k</w:t>
      </w:r>
      <w:r w:rsidR="00893E99" w:rsidRPr="00795698">
        <w:rPr>
          <w:lang w:val="sq-AL"/>
        </w:rPr>
        <w:t>undër Terrorizmit Europol</w:t>
      </w:r>
      <w:r w:rsidR="000E7837" w:rsidRPr="00795698">
        <w:rPr>
          <w:lang w:val="sq-AL"/>
        </w:rPr>
        <w:t>.</w:t>
      </w:r>
    </w:p>
    <w:p w14:paraId="5FEEF8E3" w14:textId="20303EB6" w:rsidR="00893E99" w:rsidRPr="00795698" w:rsidRDefault="00893E99" w:rsidP="00893E99">
      <w:pPr>
        <w:pStyle w:val="Heading3"/>
        <w:spacing w:before="0"/>
        <w:ind w:firstLine="284"/>
        <w:jc w:val="both"/>
        <w:rPr>
          <w:rFonts w:ascii="Garamond" w:hAnsi="Garamond"/>
          <w:b w:val="0"/>
          <w:i/>
          <w:color w:val="auto"/>
        </w:rPr>
      </w:pPr>
      <w:bookmarkStart w:id="57" w:name="_Toc108644278"/>
      <w:r w:rsidRPr="00795698">
        <w:rPr>
          <w:rFonts w:ascii="Garamond" w:hAnsi="Garamond"/>
          <w:b w:val="0"/>
          <w:i/>
          <w:color w:val="auto"/>
        </w:rPr>
        <w:t xml:space="preserve">Objektivi </w:t>
      </w:r>
      <w:r w:rsidR="000E7837" w:rsidRPr="00795698">
        <w:rPr>
          <w:rFonts w:ascii="Garamond" w:hAnsi="Garamond"/>
          <w:b w:val="0"/>
          <w:i/>
          <w:color w:val="auto"/>
        </w:rPr>
        <w:t>s</w:t>
      </w:r>
      <w:r w:rsidRPr="00795698">
        <w:rPr>
          <w:rFonts w:ascii="Garamond" w:hAnsi="Garamond"/>
          <w:b w:val="0"/>
          <w:i/>
          <w:color w:val="auto"/>
        </w:rPr>
        <w:t>pecifik 1.5: Fuqizimi i komuniteteve dhe institucioneve publike për identifikimin dhe raportimin e rasteve të ekstremizmit të dhunshëm dhe radikalizmit</w:t>
      </w:r>
      <w:bookmarkEnd w:id="57"/>
      <w:r w:rsidRPr="00795698">
        <w:rPr>
          <w:rFonts w:ascii="Garamond" w:hAnsi="Garamond"/>
          <w:b w:val="0"/>
          <w:i/>
          <w:color w:val="auto"/>
        </w:rPr>
        <w:t xml:space="preserve"> (sipas Planit të Veprimit për Parandalimin e Ekstremizmit të Dhunshëm objektivi specifik </w:t>
      </w:r>
      <w:r w:rsidR="00445D51" w:rsidRPr="00795698">
        <w:rPr>
          <w:rFonts w:ascii="Garamond" w:hAnsi="Garamond"/>
          <w:b w:val="0"/>
          <w:i/>
          <w:color w:val="auto"/>
        </w:rPr>
        <w:t>nr. 1.1 me masat 1.1.1-1.1.32)</w:t>
      </w:r>
    </w:p>
    <w:p w14:paraId="5FEEF8E4" w14:textId="3E9A7C74" w:rsidR="00893E99" w:rsidRPr="00795698" w:rsidRDefault="00893E99" w:rsidP="00893E99">
      <w:pPr>
        <w:pStyle w:val="BodyText"/>
        <w:ind w:firstLine="284"/>
        <w:rPr>
          <w:rFonts w:ascii="Garamond" w:hAnsi="Garamond"/>
          <w:bCs/>
        </w:rPr>
      </w:pPr>
      <w:r w:rsidRPr="00795698">
        <w:rPr>
          <w:rFonts w:ascii="Garamond" w:hAnsi="Garamond"/>
          <w:b/>
          <w:bCs/>
        </w:rPr>
        <w:t>Masa 1.5.1:</w:t>
      </w:r>
      <w:r w:rsidRPr="00795698">
        <w:rPr>
          <w:rFonts w:ascii="Garamond" w:hAnsi="Garamond"/>
          <w:bCs/>
        </w:rPr>
        <w:t xml:space="preserve"> Analizë ligjore dhe funksionale në lidhje me kapacitetet dhe strukturat kombëtare në fushën e ekstremizmit duke identifikuar mangësitë dhe boshllëqet në kapacitetet parandaluese dhe ato të lajmërimit të hershëm, inteligjente dhe hetimore si dhe ato goditëse e reaguese, si dhe përgatitje të kuadrit ligjor dhe institucional për të plotësuar kapacitetet dhe nevojat kombëtare duke bërë ndryshimet e nevojshme ligjore, funksionale dhe strukturore të QKEDH</w:t>
      </w:r>
      <w:r w:rsidR="00445D51" w:rsidRPr="00795698">
        <w:rPr>
          <w:rFonts w:ascii="Garamond" w:hAnsi="Garamond"/>
          <w:bCs/>
        </w:rPr>
        <w:t>-së</w:t>
      </w:r>
      <w:r w:rsidRPr="00795698">
        <w:rPr>
          <w:rFonts w:ascii="Garamond" w:hAnsi="Garamond"/>
          <w:bCs/>
        </w:rPr>
        <w:t>.</w:t>
      </w:r>
    </w:p>
    <w:p w14:paraId="5FEEF8E5" w14:textId="77777777" w:rsidR="00893E99" w:rsidRPr="00795698" w:rsidRDefault="00893E99" w:rsidP="00893E99">
      <w:pPr>
        <w:pStyle w:val="BodyText"/>
        <w:ind w:firstLine="284"/>
        <w:rPr>
          <w:rFonts w:ascii="Garamond" w:hAnsi="Garamond"/>
          <w:bCs/>
        </w:rPr>
      </w:pPr>
      <w:r w:rsidRPr="00795698">
        <w:rPr>
          <w:rFonts w:ascii="Garamond" w:hAnsi="Garamond"/>
          <w:b/>
          <w:bCs/>
        </w:rPr>
        <w:t>Masa 1.5.2:</w:t>
      </w:r>
      <w:r w:rsidRPr="00795698">
        <w:rPr>
          <w:rFonts w:ascii="Garamond" w:hAnsi="Garamond"/>
          <w:bCs/>
        </w:rPr>
        <w:t xml:space="preserve"> Bashkëpunim dhe koordinim me strukturat e përkatëse në sistemin e burgjeve dhe Shërbimit të Provës në Ministrinë e Drejtësisë për sa i përket identifikimit, analizës, hetimit dhe vlerësimit të shkaqeve që çojnë në radikalizëm si dhe të metodave të rekrutimit në Sistemin e Burgjeve dhe në Shërbimin e Provës.</w:t>
      </w:r>
    </w:p>
    <w:p w14:paraId="5FEEF8E6" w14:textId="01D58C96" w:rsidR="00893E99" w:rsidRPr="00795698" w:rsidRDefault="00893E99" w:rsidP="00893E99">
      <w:pPr>
        <w:pStyle w:val="BodyText"/>
        <w:ind w:firstLine="284"/>
        <w:rPr>
          <w:rFonts w:ascii="Garamond" w:hAnsi="Garamond"/>
          <w:bCs/>
        </w:rPr>
      </w:pPr>
      <w:r w:rsidRPr="00795698">
        <w:rPr>
          <w:rFonts w:ascii="Garamond" w:hAnsi="Garamond"/>
          <w:b/>
          <w:bCs/>
        </w:rPr>
        <w:t>Masa 1.5.3:</w:t>
      </w:r>
      <w:r w:rsidRPr="00795698">
        <w:rPr>
          <w:rFonts w:ascii="Garamond" w:hAnsi="Garamond"/>
          <w:bCs/>
        </w:rPr>
        <w:t xml:space="preserve"> Trajnime për personelin e institucioneve të ekzekutimit të vendimeve penale (IEVP) dhe</w:t>
      </w:r>
      <w:r w:rsidR="007C064A" w:rsidRPr="00795698">
        <w:rPr>
          <w:rFonts w:ascii="Garamond" w:hAnsi="Garamond"/>
          <w:bCs/>
        </w:rPr>
        <w:t xml:space="preserve"> </w:t>
      </w:r>
      <w:r w:rsidRPr="00795698">
        <w:rPr>
          <w:rFonts w:ascii="Garamond" w:hAnsi="Garamond"/>
          <w:bCs/>
        </w:rPr>
        <w:t>shërbimit të provës,</w:t>
      </w:r>
      <w:r w:rsidR="007C064A" w:rsidRPr="00795698">
        <w:rPr>
          <w:rFonts w:ascii="Garamond" w:hAnsi="Garamond"/>
          <w:bCs/>
        </w:rPr>
        <w:t xml:space="preserve"> </w:t>
      </w:r>
      <w:r w:rsidRPr="00795698">
        <w:rPr>
          <w:rFonts w:ascii="Garamond" w:hAnsi="Garamond"/>
          <w:bCs/>
        </w:rPr>
        <w:t>mbi</w:t>
      </w:r>
      <w:r w:rsidR="007C064A" w:rsidRPr="00795698">
        <w:rPr>
          <w:rFonts w:ascii="Garamond" w:hAnsi="Garamond"/>
          <w:bCs/>
        </w:rPr>
        <w:t xml:space="preserve"> </w:t>
      </w:r>
      <w:r w:rsidRPr="00795698">
        <w:rPr>
          <w:rFonts w:ascii="Garamond" w:hAnsi="Garamond"/>
          <w:bCs/>
        </w:rPr>
        <w:t>shenjat e hershme të radikalizmit dhe ekstremizmit të dhunshëm.</w:t>
      </w:r>
    </w:p>
    <w:p w14:paraId="5FEEF8E7" w14:textId="3CCDDF59" w:rsidR="00893E99" w:rsidRPr="00795698" w:rsidRDefault="00893E99" w:rsidP="00893E99">
      <w:pPr>
        <w:pStyle w:val="BodyText"/>
        <w:ind w:firstLine="284"/>
        <w:rPr>
          <w:rFonts w:ascii="Garamond" w:hAnsi="Garamond"/>
          <w:bCs/>
        </w:rPr>
      </w:pPr>
      <w:r w:rsidRPr="00795698">
        <w:rPr>
          <w:rFonts w:ascii="Garamond" w:hAnsi="Garamond"/>
          <w:b/>
          <w:bCs/>
        </w:rPr>
        <w:t>Masa 1.5.4:</w:t>
      </w:r>
      <w:r w:rsidRPr="00795698">
        <w:rPr>
          <w:rFonts w:ascii="Garamond" w:hAnsi="Garamond"/>
          <w:bCs/>
        </w:rPr>
        <w:t xml:space="preserve"> Trajnime</w:t>
      </w:r>
      <w:r w:rsidR="007C064A" w:rsidRPr="00795698">
        <w:rPr>
          <w:rFonts w:ascii="Garamond" w:hAnsi="Garamond"/>
          <w:bCs/>
        </w:rPr>
        <w:t xml:space="preserve"> </w:t>
      </w:r>
      <w:r w:rsidRPr="00795698">
        <w:rPr>
          <w:rFonts w:ascii="Garamond" w:hAnsi="Garamond"/>
          <w:bCs/>
        </w:rPr>
        <w:t>fillestare dhe të vazhduara për forcimin e kapaciteteve të zyrtarëve të burgjeve dhe shërbimit të provës në lidhje me instrumentet e vlerësimit të shenjave për identifikimin e personave në rrezik, menaxhimin e rasteve dhe shkëmbimin e informacionit.</w:t>
      </w:r>
    </w:p>
    <w:p w14:paraId="5FEEF8E8" w14:textId="77777777" w:rsidR="00893E99" w:rsidRPr="00795698" w:rsidRDefault="00893E99" w:rsidP="00893E99">
      <w:pPr>
        <w:pStyle w:val="BodyText"/>
        <w:ind w:firstLine="284"/>
        <w:rPr>
          <w:rFonts w:ascii="Garamond" w:hAnsi="Garamond"/>
          <w:bCs/>
        </w:rPr>
      </w:pPr>
      <w:r w:rsidRPr="00795698">
        <w:rPr>
          <w:rFonts w:ascii="Garamond" w:hAnsi="Garamond"/>
          <w:b/>
          <w:bCs/>
        </w:rPr>
        <w:t>Masa 1.5.5:</w:t>
      </w:r>
      <w:r w:rsidRPr="00795698">
        <w:rPr>
          <w:rFonts w:ascii="Garamond" w:hAnsi="Garamond"/>
          <w:bCs/>
        </w:rPr>
        <w:t xml:space="preserve"> Zhvillimi i sesioneve të informimit dhe ndërgjegjësimit të personave që trajtohen në sistemin e burgjeve dhe shërbimin e provës, në lidhje me ekstremizmin e dhunshëm dhe radikalizmin që çon në terrorizëm.</w:t>
      </w:r>
    </w:p>
    <w:p w14:paraId="5FEEF8E9" w14:textId="77777777" w:rsidR="00893E99" w:rsidRPr="00795698" w:rsidRDefault="00893E99" w:rsidP="00893E99">
      <w:pPr>
        <w:pStyle w:val="BodyText"/>
        <w:ind w:firstLine="284"/>
        <w:rPr>
          <w:rFonts w:ascii="Garamond" w:hAnsi="Garamond"/>
          <w:bCs/>
        </w:rPr>
      </w:pPr>
      <w:r w:rsidRPr="00795698">
        <w:rPr>
          <w:rFonts w:ascii="Garamond" w:hAnsi="Garamond"/>
          <w:b/>
          <w:bCs/>
        </w:rPr>
        <w:t>Masa 1.5.6:</w:t>
      </w:r>
      <w:r w:rsidRPr="00795698">
        <w:rPr>
          <w:rFonts w:ascii="Garamond" w:hAnsi="Garamond"/>
          <w:bCs/>
        </w:rPr>
        <w:t xml:space="preserve"> Këshillime në grup të kryera me individë të burgosur dhe individë të përfshirë në institucionet vendore të shërbimit të provës në lidhje me çështjet e ekstremizmit të dhunshëm.</w:t>
      </w:r>
    </w:p>
    <w:p w14:paraId="5FEEF8EA" w14:textId="77777777" w:rsidR="00893E99" w:rsidRPr="00795698" w:rsidRDefault="00893E99" w:rsidP="00893E99">
      <w:pPr>
        <w:pStyle w:val="BodyText"/>
        <w:ind w:firstLine="284"/>
        <w:rPr>
          <w:rFonts w:ascii="Garamond" w:hAnsi="Garamond"/>
          <w:bCs/>
        </w:rPr>
      </w:pPr>
      <w:r w:rsidRPr="00795698">
        <w:rPr>
          <w:rFonts w:ascii="Garamond" w:hAnsi="Garamond"/>
          <w:b/>
          <w:bCs/>
        </w:rPr>
        <w:t>Masa 1.5.7:</w:t>
      </w:r>
      <w:r w:rsidRPr="00795698">
        <w:rPr>
          <w:rFonts w:ascii="Garamond" w:hAnsi="Garamond"/>
          <w:bCs/>
        </w:rPr>
        <w:t xml:space="preserve"> Hartimi i programeve profesionale për individë vulnerabël ndaj radikalizmit në sistemin e burgjeve dhe shërbimit të provës.</w:t>
      </w:r>
    </w:p>
    <w:p w14:paraId="5FEEF8EB" w14:textId="40232CAA" w:rsidR="00893E99" w:rsidRPr="00795698" w:rsidRDefault="00893E99" w:rsidP="00893E99">
      <w:pPr>
        <w:pStyle w:val="BodyText"/>
        <w:ind w:firstLine="284"/>
        <w:rPr>
          <w:rFonts w:ascii="Garamond" w:hAnsi="Garamond"/>
          <w:bCs/>
        </w:rPr>
      </w:pPr>
      <w:r w:rsidRPr="00795698">
        <w:rPr>
          <w:rFonts w:ascii="Garamond" w:hAnsi="Garamond"/>
          <w:b/>
          <w:bCs/>
        </w:rPr>
        <w:t>Masa 1.5.8:</w:t>
      </w:r>
      <w:r w:rsidRPr="00795698">
        <w:rPr>
          <w:rFonts w:ascii="Garamond" w:hAnsi="Garamond"/>
          <w:bCs/>
        </w:rPr>
        <w:t xml:space="preserve"> Mbështetja me programe trajnimi për punësim për të rinjtë në rrezik radikalizmi dhe që ndodhen në institucionet penitenciare</w:t>
      </w:r>
      <w:r w:rsidR="007265E9" w:rsidRPr="00795698">
        <w:rPr>
          <w:rFonts w:ascii="Garamond" w:hAnsi="Garamond"/>
          <w:bCs/>
        </w:rPr>
        <w:t>.</w:t>
      </w:r>
    </w:p>
    <w:p w14:paraId="5FEEF8EC" w14:textId="456B4AD8" w:rsidR="00893E99" w:rsidRPr="00795698" w:rsidRDefault="00893E99" w:rsidP="00893E99">
      <w:pPr>
        <w:pStyle w:val="BodyText"/>
        <w:ind w:firstLine="284"/>
        <w:rPr>
          <w:rFonts w:ascii="Garamond" w:hAnsi="Garamond"/>
          <w:bCs/>
        </w:rPr>
      </w:pPr>
      <w:r w:rsidRPr="00795698">
        <w:rPr>
          <w:rFonts w:ascii="Garamond" w:hAnsi="Garamond"/>
          <w:b/>
          <w:bCs/>
        </w:rPr>
        <w:t>Masa 1.5.9:</w:t>
      </w:r>
      <w:r w:rsidRPr="00795698">
        <w:rPr>
          <w:rFonts w:ascii="Garamond" w:hAnsi="Garamond"/>
          <w:bCs/>
        </w:rPr>
        <w:t xml:space="preserve"> Hartimi i protokolleve dhe manualeve për përgatitjen e daljes nga burgu apo shërbimi i provës i fëmijëve, të rinjve, grave (grupet vulnerabël) dhe referimi i rasteve me potencial problematik)</w:t>
      </w:r>
      <w:r w:rsidR="007265E9" w:rsidRPr="00795698">
        <w:rPr>
          <w:rFonts w:ascii="Garamond" w:hAnsi="Garamond"/>
          <w:bCs/>
        </w:rPr>
        <w:t>.</w:t>
      </w:r>
      <w:r w:rsidRPr="00795698">
        <w:rPr>
          <w:rFonts w:ascii="Garamond" w:hAnsi="Garamond"/>
          <w:bCs/>
        </w:rPr>
        <w:t xml:space="preserve"> </w:t>
      </w:r>
    </w:p>
    <w:p w14:paraId="5FEEF8ED" w14:textId="58D02D6B" w:rsidR="00893E99" w:rsidRPr="00795698" w:rsidRDefault="00893E99" w:rsidP="00893E99">
      <w:pPr>
        <w:pStyle w:val="BodyText"/>
        <w:ind w:firstLine="284"/>
        <w:rPr>
          <w:rFonts w:ascii="Garamond" w:hAnsi="Garamond"/>
          <w:bCs/>
        </w:rPr>
      </w:pPr>
      <w:r w:rsidRPr="00795698">
        <w:rPr>
          <w:rFonts w:ascii="Garamond" w:hAnsi="Garamond"/>
          <w:b/>
          <w:bCs/>
        </w:rPr>
        <w:lastRenderedPageBreak/>
        <w:t>Masa 1.5.10:</w:t>
      </w:r>
      <w:r w:rsidRPr="00795698">
        <w:rPr>
          <w:rFonts w:ascii="Garamond" w:hAnsi="Garamond"/>
          <w:bCs/>
        </w:rPr>
        <w:t xml:space="preserve"> Hartimi i programeve pilot të deradikalizimit dhe </w:t>
      </w:r>
      <w:r w:rsidR="00F53E58" w:rsidRPr="00795698">
        <w:rPr>
          <w:rFonts w:ascii="Garamond" w:hAnsi="Garamond"/>
          <w:bCs/>
        </w:rPr>
        <w:t>ri</w:t>
      </w:r>
      <w:r w:rsidRPr="00795698">
        <w:rPr>
          <w:rFonts w:ascii="Garamond" w:hAnsi="Garamond"/>
          <w:bCs/>
        </w:rPr>
        <w:t>integrimit në shoqëri</w:t>
      </w:r>
      <w:r w:rsidR="007C064A" w:rsidRPr="00795698">
        <w:rPr>
          <w:rFonts w:ascii="Garamond" w:hAnsi="Garamond"/>
          <w:bCs/>
        </w:rPr>
        <w:t xml:space="preserve"> </w:t>
      </w:r>
      <w:r w:rsidRPr="00795698">
        <w:rPr>
          <w:rFonts w:ascii="Garamond" w:hAnsi="Garamond"/>
          <w:bCs/>
        </w:rPr>
        <w:t>të t</w:t>
      </w:r>
      <w:r w:rsidR="007265E9" w:rsidRPr="00795698">
        <w:rPr>
          <w:rFonts w:ascii="Garamond" w:hAnsi="Garamond"/>
          <w:bCs/>
        </w:rPr>
        <w:t xml:space="preserve">ë </w:t>
      </w:r>
      <w:r w:rsidRPr="00795698">
        <w:rPr>
          <w:rFonts w:ascii="Garamond" w:hAnsi="Garamond"/>
          <w:bCs/>
        </w:rPr>
        <w:t>miturve të</w:t>
      </w:r>
      <w:r w:rsidR="007C064A" w:rsidRPr="00795698">
        <w:rPr>
          <w:rFonts w:ascii="Garamond" w:hAnsi="Garamond"/>
          <w:bCs/>
        </w:rPr>
        <w:t xml:space="preserve"> </w:t>
      </w:r>
      <w:r w:rsidRPr="00795698">
        <w:rPr>
          <w:rFonts w:ascii="Garamond" w:hAnsi="Garamond"/>
          <w:bCs/>
        </w:rPr>
        <w:t>radikalizuar pas largimit të tyre</w:t>
      </w:r>
      <w:r w:rsidR="007C064A" w:rsidRPr="00795698">
        <w:rPr>
          <w:rFonts w:ascii="Garamond" w:hAnsi="Garamond"/>
          <w:bCs/>
        </w:rPr>
        <w:t xml:space="preserve"> </w:t>
      </w:r>
      <w:r w:rsidRPr="00795698">
        <w:rPr>
          <w:rFonts w:ascii="Garamond" w:hAnsi="Garamond"/>
          <w:bCs/>
        </w:rPr>
        <w:t>nga institucionet penitenciare dhe shërbimit të provës</w:t>
      </w:r>
      <w:r w:rsidR="007265E9" w:rsidRPr="00795698">
        <w:rPr>
          <w:rFonts w:ascii="Garamond" w:hAnsi="Garamond"/>
          <w:bCs/>
        </w:rPr>
        <w:t>.</w:t>
      </w:r>
    </w:p>
    <w:p w14:paraId="5FEEF8EE" w14:textId="5B99DB16" w:rsidR="00893E99" w:rsidRPr="00795698" w:rsidRDefault="00893E99" w:rsidP="00893E99">
      <w:pPr>
        <w:pStyle w:val="BodyText"/>
        <w:ind w:firstLine="284"/>
        <w:rPr>
          <w:rFonts w:ascii="Garamond" w:hAnsi="Garamond"/>
          <w:bCs/>
        </w:rPr>
      </w:pPr>
      <w:r w:rsidRPr="00795698">
        <w:rPr>
          <w:rFonts w:ascii="Garamond" w:hAnsi="Garamond"/>
          <w:b/>
          <w:bCs/>
        </w:rPr>
        <w:t>Masa 1.5.11</w:t>
      </w:r>
      <w:r w:rsidR="00D10A07" w:rsidRPr="00795698">
        <w:rPr>
          <w:rFonts w:ascii="Garamond" w:hAnsi="Garamond"/>
          <w:b/>
          <w:bCs/>
        </w:rPr>
        <w:t>:</w:t>
      </w:r>
      <w:r w:rsidR="007265E9" w:rsidRPr="00795698">
        <w:rPr>
          <w:rFonts w:ascii="Garamond" w:hAnsi="Garamond"/>
          <w:bCs/>
        </w:rPr>
        <w:t xml:space="preserve"> </w:t>
      </w:r>
      <w:r w:rsidRPr="00795698">
        <w:rPr>
          <w:rFonts w:ascii="Garamond" w:hAnsi="Garamond"/>
          <w:bCs/>
        </w:rPr>
        <w:t>Përfshirja e skuadrave</w:t>
      </w:r>
      <w:r w:rsidR="007C064A" w:rsidRPr="00795698">
        <w:rPr>
          <w:rFonts w:ascii="Garamond" w:hAnsi="Garamond"/>
          <w:bCs/>
        </w:rPr>
        <w:t xml:space="preserve"> </w:t>
      </w:r>
      <w:r w:rsidRPr="00795698">
        <w:rPr>
          <w:rFonts w:ascii="Garamond" w:hAnsi="Garamond"/>
          <w:bCs/>
        </w:rPr>
        <w:t>(për ndihmë ligjore falas) pro-bono të studentëve të Fakultetit të Drejtësisë në aktivitete parandaluese dhe informuese për rreziqet e radikalizmit dhe ekstremizmit të dhunshëm për individë në institucionet peritenciare dhe Shërbimin e</w:t>
      </w:r>
      <w:r w:rsidR="007C064A" w:rsidRPr="00795698">
        <w:rPr>
          <w:rFonts w:ascii="Garamond" w:hAnsi="Garamond"/>
          <w:bCs/>
        </w:rPr>
        <w:t xml:space="preserve"> </w:t>
      </w:r>
      <w:r w:rsidRPr="00795698">
        <w:rPr>
          <w:rFonts w:ascii="Garamond" w:hAnsi="Garamond"/>
          <w:bCs/>
        </w:rPr>
        <w:t xml:space="preserve">Provës. </w:t>
      </w:r>
    </w:p>
    <w:p w14:paraId="5FEEF8EF" w14:textId="77777777" w:rsidR="00893E99" w:rsidRPr="00795698" w:rsidRDefault="00893E99" w:rsidP="00893E99">
      <w:pPr>
        <w:pStyle w:val="BodyText"/>
        <w:ind w:firstLine="284"/>
        <w:rPr>
          <w:rFonts w:ascii="Garamond" w:hAnsi="Garamond"/>
          <w:bCs/>
        </w:rPr>
      </w:pPr>
      <w:r w:rsidRPr="00795698">
        <w:rPr>
          <w:rFonts w:ascii="Garamond" w:hAnsi="Garamond"/>
          <w:b/>
          <w:bCs/>
        </w:rPr>
        <w:t>Masa 1.5.12:</w:t>
      </w:r>
      <w:r w:rsidRPr="00795698">
        <w:rPr>
          <w:rFonts w:ascii="Garamond" w:hAnsi="Garamond"/>
          <w:bCs/>
        </w:rPr>
        <w:t xml:space="preserve"> Trajnime të prokurorëve dhe gjyqtarëve për çështje që lidhen me radikalizmin dhe ekstremizmin e dhunshëm. </w:t>
      </w:r>
    </w:p>
    <w:p w14:paraId="5FEEF8F0" w14:textId="77777777" w:rsidR="00893E99" w:rsidRPr="00795698" w:rsidRDefault="00893E99" w:rsidP="00893E99">
      <w:pPr>
        <w:pStyle w:val="BodyText"/>
        <w:ind w:firstLine="284"/>
        <w:rPr>
          <w:rFonts w:ascii="Garamond" w:hAnsi="Garamond"/>
          <w:bCs/>
        </w:rPr>
      </w:pPr>
      <w:r w:rsidRPr="00795698">
        <w:rPr>
          <w:rFonts w:ascii="Garamond" w:hAnsi="Garamond"/>
          <w:b/>
          <w:bCs/>
        </w:rPr>
        <w:t>Masa 1.5.13:</w:t>
      </w:r>
      <w:r w:rsidRPr="00795698">
        <w:rPr>
          <w:rFonts w:ascii="Garamond" w:hAnsi="Garamond"/>
          <w:bCs/>
        </w:rPr>
        <w:t xml:space="preserve"> Trajnime informuese me qëllim parandalimin e radikalizmit bazuar në hartën e përditësuar të hotspoteve nga ana e strukturave policore.</w:t>
      </w:r>
    </w:p>
    <w:p w14:paraId="5FEEF8F1" w14:textId="4CAA120F" w:rsidR="00893E99" w:rsidRPr="00795698" w:rsidRDefault="00893E99" w:rsidP="00893E99">
      <w:pPr>
        <w:pStyle w:val="BodyText"/>
        <w:ind w:firstLine="284"/>
        <w:rPr>
          <w:rFonts w:ascii="Garamond" w:hAnsi="Garamond"/>
          <w:bCs/>
        </w:rPr>
      </w:pPr>
      <w:r w:rsidRPr="00795698">
        <w:rPr>
          <w:rFonts w:ascii="Garamond" w:hAnsi="Garamond"/>
          <w:b/>
          <w:bCs/>
        </w:rPr>
        <w:t>Masa 1.5.14:</w:t>
      </w:r>
      <w:r w:rsidRPr="00795698">
        <w:rPr>
          <w:rFonts w:ascii="Garamond" w:hAnsi="Garamond"/>
          <w:bCs/>
        </w:rPr>
        <w:t xml:space="preserve"> Kryerja e vlerësimit të kapaciteteve institucionale për të identifikuar nevojat profesionale, teknike, infrastrukturore për parandalimin dhe kundërshtimin e</w:t>
      </w:r>
      <w:r w:rsidR="007C064A" w:rsidRPr="00795698">
        <w:rPr>
          <w:rFonts w:ascii="Garamond" w:hAnsi="Garamond"/>
          <w:bCs/>
        </w:rPr>
        <w:t xml:space="preserve"> </w:t>
      </w:r>
      <w:r w:rsidRPr="00795698">
        <w:rPr>
          <w:rFonts w:ascii="Garamond" w:hAnsi="Garamond"/>
          <w:bCs/>
        </w:rPr>
        <w:t>ekstremizmit të dhunshëm.</w:t>
      </w:r>
    </w:p>
    <w:p w14:paraId="5FEEF8F2" w14:textId="5BAC0499" w:rsidR="00893E99" w:rsidRPr="00795698" w:rsidRDefault="00893E99" w:rsidP="007265E9">
      <w:pPr>
        <w:pStyle w:val="BodyText"/>
        <w:ind w:firstLine="284"/>
        <w:rPr>
          <w:rFonts w:ascii="Garamond" w:hAnsi="Garamond"/>
          <w:bCs/>
        </w:rPr>
      </w:pPr>
      <w:r w:rsidRPr="00795698">
        <w:rPr>
          <w:rFonts w:ascii="Garamond" w:hAnsi="Garamond"/>
          <w:b/>
          <w:bCs/>
        </w:rPr>
        <w:t>Masa 1.5.15:</w:t>
      </w:r>
      <w:r w:rsidRPr="00795698">
        <w:rPr>
          <w:rFonts w:ascii="Garamond" w:hAnsi="Garamond"/>
          <w:bCs/>
        </w:rPr>
        <w:t xml:space="preserve"> Kryerja e trajnimeve për punonjësit e patrullës së përgjithshme</w:t>
      </w:r>
      <w:r w:rsidR="007C064A" w:rsidRPr="00795698">
        <w:rPr>
          <w:rFonts w:ascii="Garamond" w:hAnsi="Garamond"/>
          <w:bCs/>
        </w:rPr>
        <w:t xml:space="preserve"> </w:t>
      </w:r>
      <w:r w:rsidRPr="00795698">
        <w:rPr>
          <w:rFonts w:ascii="Garamond" w:hAnsi="Garamond"/>
          <w:bCs/>
        </w:rPr>
        <w:t>mbi ndërgjegjësimin kundër ekstremizmit të dhunshëm dhe shenjat e hershme të radikalizimit, me fokus të rinjtë.</w:t>
      </w:r>
    </w:p>
    <w:p w14:paraId="5FEEF8F3" w14:textId="77777777" w:rsidR="00893E99" w:rsidRPr="00795698" w:rsidRDefault="00893E99" w:rsidP="007265E9">
      <w:pPr>
        <w:pStyle w:val="BodyText"/>
        <w:ind w:firstLine="284"/>
        <w:rPr>
          <w:rFonts w:ascii="Garamond" w:hAnsi="Garamond"/>
          <w:bCs/>
        </w:rPr>
      </w:pPr>
      <w:r w:rsidRPr="00795698">
        <w:rPr>
          <w:rFonts w:ascii="Garamond" w:hAnsi="Garamond"/>
          <w:b/>
          <w:bCs/>
        </w:rPr>
        <w:t>Masa 1.5.16:</w:t>
      </w:r>
      <w:r w:rsidRPr="00795698">
        <w:rPr>
          <w:rFonts w:ascii="Garamond" w:hAnsi="Garamond"/>
          <w:bCs/>
        </w:rPr>
        <w:t xml:space="preserve"> Trajnime të oficerëve të policimit në komunitet rreth tendencave të radikalizimit, metodave të rekrutimit, radikalizimit. </w:t>
      </w:r>
    </w:p>
    <w:p w14:paraId="5FEEF8F4" w14:textId="77777777" w:rsidR="00893E99" w:rsidRPr="00795698" w:rsidRDefault="00893E99" w:rsidP="007265E9">
      <w:pPr>
        <w:pStyle w:val="BodyText"/>
        <w:ind w:firstLine="284"/>
        <w:rPr>
          <w:rFonts w:ascii="Garamond" w:hAnsi="Garamond"/>
          <w:bCs/>
        </w:rPr>
      </w:pPr>
      <w:r w:rsidRPr="00795698">
        <w:rPr>
          <w:rFonts w:ascii="Garamond" w:hAnsi="Garamond"/>
          <w:b/>
          <w:bCs/>
        </w:rPr>
        <w:t>Masa 1.5.17:</w:t>
      </w:r>
      <w:r w:rsidRPr="00795698">
        <w:rPr>
          <w:rFonts w:ascii="Garamond" w:hAnsi="Garamond"/>
          <w:bCs/>
        </w:rPr>
        <w:t xml:space="preserve"> Trajnime të oficerëve të pikave kufitare rreth tendencave të radikalizimit, metodave të rekrutimit, radikalizimit dhe mekanizmave të referimit të problematikave të lidhura me këto fenomene.</w:t>
      </w:r>
    </w:p>
    <w:p w14:paraId="5FEEF8F5" w14:textId="0CA083C4" w:rsidR="00893E99" w:rsidRPr="00795698" w:rsidRDefault="00893E99" w:rsidP="007265E9">
      <w:pPr>
        <w:pStyle w:val="BodyText"/>
        <w:ind w:firstLine="284"/>
        <w:rPr>
          <w:rFonts w:ascii="Garamond" w:hAnsi="Garamond"/>
          <w:bCs/>
        </w:rPr>
      </w:pPr>
      <w:r w:rsidRPr="00795698">
        <w:rPr>
          <w:rFonts w:ascii="Garamond" w:hAnsi="Garamond"/>
          <w:b/>
          <w:bCs/>
        </w:rPr>
        <w:t>Masa 1.5.18:</w:t>
      </w:r>
      <w:r w:rsidRPr="00795698">
        <w:rPr>
          <w:rFonts w:ascii="Garamond" w:hAnsi="Garamond"/>
          <w:bCs/>
        </w:rPr>
        <w:t xml:space="preserve"> Përgatitja e raporteve të vlerësimit për ecurinë e procesit të </w:t>
      </w:r>
      <w:r w:rsidR="00F53E58" w:rsidRPr="00795698">
        <w:rPr>
          <w:rFonts w:ascii="Garamond" w:hAnsi="Garamond"/>
          <w:bCs/>
        </w:rPr>
        <w:t>ri</w:t>
      </w:r>
      <w:r w:rsidRPr="00795698">
        <w:rPr>
          <w:rFonts w:ascii="Garamond" w:hAnsi="Garamond"/>
          <w:bCs/>
        </w:rPr>
        <w:t>integrimit të familjeve të kthyera nga zonat e rrezikut.</w:t>
      </w:r>
    </w:p>
    <w:p w14:paraId="5FEEF8F6" w14:textId="77777777" w:rsidR="00893E99" w:rsidRPr="00795698" w:rsidRDefault="00893E99" w:rsidP="007265E9">
      <w:pPr>
        <w:pStyle w:val="BodyText"/>
        <w:ind w:firstLine="284"/>
        <w:rPr>
          <w:rFonts w:ascii="Garamond" w:hAnsi="Garamond"/>
          <w:bCs/>
        </w:rPr>
      </w:pPr>
      <w:r w:rsidRPr="00795698">
        <w:rPr>
          <w:rFonts w:ascii="Garamond" w:hAnsi="Garamond"/>
          <w:b/>
          <w:bCs/>
        </w:rPr>
        <w:t>Masa 1.5.19:</w:t>
      </w:r>
      <w:r w:rsidR="004D4669" w:rsidRPr="00795698">
        <w:rPr>
          <w:rFonts w:ascii="Garamond" w:hAnsi="Garamond"/>
          <w:bCs/>
        </w:rPr>
        <w:t xml:space="preserve"> </w:t>
      </w:r>
      <w:r w:rsidRPr="00795698">
        <w:rPr>
          <w:rFonts w:ascii="Garamond" w:hAnsi="Garamond"/>
          <w:bCs/>
        </w:rPr>
        <w:t xml:space="preserve">Zhvillimi i konceptit të koordinatorëve rajonalë duke përcaktuar përgjegjësitë e tyre, procedurat dhe formatet për raportim me qëllim ngritjen dhe fuqizimin e pozicionit të koordinatorëve rajonalë për çështje të ekstremizmit të dhunshëm dhe radikalizmit në komisariatet e policisë, NJVV-të, në të gjithë territorin. </w:t>
      </w:r>
    </w:p>
    <w:p w14:paraId="5FEEF8F7" w14:textId="3CAF0423" w:rsidR="00893E99" w:rsidRPr="00795698" w:rsidRDefault="00893E99" w:rsidP="00893E99">
      <w:pPr>
        <w:pStyle w:val="BodyText"/>
        <w:ind w:firstLine="284"/>
        <w:rPr>
          <w:rFonts w:ascii="Garamond" w:hAnsi="Garamond"/>
          <w:bCs/>
        </w:rPr>
      </w:pPr>
      <w:r w:rsidRPr="00795698">
        <w:rPr>
          <w:rFonts w:ascii="Garamond" w:hAnsi="Garamond"/>
          <w:b/>
          <w:bCs/>
        </w:rPr>
        <w:t>Masa 1.5.20:</w:t>
      </w:r>
      <w:r w:rsidR="004D4669" w:rsidRPr="00795698">
        <w:rPr>
          <w:rFonts w:ascii="Garamond" w:hAnsi="Garamond"/>
          <w:bCs/>
        </w:rPr>
        <w:t xml:space="preserve"> </w:t>
      </w:r>
      <w:r w:rsidRPr="00795698">
        <w:rPr>
          <w:rFonts w:ascii="Garamond" w:hAnsi="Garamond"/>
          <w:bCs/>
        </w:rPr>
        <w:t>Bashkëpunim dhe koordinim me strukturat përkatëse me qëllim identifikimin, hetimin dhe analizën e zonave në rrezik për të kuptuar mënyrat e ndikimit, pikat e dobëta në sistemin e Forcave të Armatosura</w:t>
      </w:r>
      <w:r w:rsidR="007C064A" w:rsidRPr="00795698">
        <w:rPr>
          <w:rFonts w:ascii="Garamond" w:hAnsi="Garamond"/>
          <w:bCs/>
        </w:rPr>
        <w:t xml:space="preserve"> </w:t>
      </w:r>
      <w:r w:rsidRPr="00795698">
        <w:rPr>
          <w:rFonts w:ascii="Garamond" w:hAnsi="Garamond"/>
          <w:bCs/>
        </w:rPr>
        <w:t>në Republikës së Shqipërisë që çojnë në radikalizëm dhe ekstremizëm të dhunshëm.</w:t>
      </w:r>
    </w:p>
    <w:p w14:paraId="5FEEF8F8" w14:textId="77777777" w:rsidR="00893E99" w:rsidRPr="00795698" w:rsidRDefault="00893E99" w:rsidP="00893E99">
      <w:pPr>
        <w:pStyle w:val="BodyText"/>
        <w:ind w:firstLine="284"/>
        <w:rPr>
          <w:rFonts w:ascii="Garamond" w:hAnsi="Garamond"/>
          <w:bCs/>
        </w:rPr>
      </w:pPr>
      <w:r w:rsidRPr="00795698">
        <w:rPr>
          <w:rFonts w:ascii="Garamond" w:hAnsi="Garamond"/>
          <w:b/>
          <w:bCs/>
        </w:rPr>
        <w:t>Masa 1.5.21:</w:t>
      </w:r>
      <w:r w:rsidR="004D4669" w:rsidRPr="00795698">
        <w:rPr>
          <w:rFonts w:ascii="Garamond" w:hAnsi="Garamond"/>
          <w:bCs/>
        </w:rPr>
        <w:t xml:space="preserve"> </w:t>
      </w:r>
      <w:r w:rsidRPr="00795698">
        <w:rPr>
          <w:rFonts w:ascii="Garamond" w:hAnsi="Garamond"/>
          <w:bCs/>
        </w:rPr>
        <w:t xml:space="preserve">Përditësimi i kurrikulës për trajnimin e personelin e Forcave të Armatosura të Republikën e Shqipërisë për format e reja të shfaqjes së ekstremizmit dhe të radikalizimit. </w:t>
      </w:r>
    </w:p>
    <w:p w14:paraId="5FEEF8F9" w14:textId="460960C1" w:rsidR="00893E99" w:rsidRPr="00795698" w:rsidRDefault="00893E99" w:rsidP="00893E99">
      <w:pPr>
        <w:pStyle w:val="BodyText"/>
        <w:ind w:firstLine="284"/>
        <w:rPr>
          <w:rFonts w:ascii="Garamond" w:hAnsi="Garamond"/>
          <w:bCs/>
        </w:rPr>
      </w:pPr>
      <w:r w:rsidRPr="00795698">
        <w:rPr>
          <w:rFonts w:ascii="Garamond" w:hAnsi="Garamond"/>
          <w:b/>
          <w:bCs/>
        </w:rPr>
        <w:t>Masa 1.5.22:</w:t>
      </w:r>
      <w:r w:rsidR="004D4669" w:rsidRPr="00795698">
        <w:rPr>
          <w:rFonts w:ascii="Garamond" w:hAnsi="Garamond"/>
          <w:bCs/>
        </w:rPr>
        <w:t xml:space="preserve"> </w:t>
      </w:r>
      <w:r w:rsidRPr="00795698">
        <w:rPr>
          <w:rFonts w:ascii="Garamond" w:hAnsi="Garamond"/>
          <w:bCs/>
        </w:rPr>
        <w:t>Kryerja e vlerësimit të</w:t>
      </w:r>
      <w:r w:rsidR="007C064A" w:rsidRPr="00795698">
        <w:rPr>
          <w:rFonts w:ascii="Garamond" w:hAnsi="Garamond"/>
          <w:bCs/>
        </w:rPr>
        <w:t xml:space="preserve"> </w:t>
      </w:r>
      <w:r w:rsidRPr="00795698">
        <w:rPr>
          <w:rFonts w:ascii="Garamond" w:hAnsi="Garamond"/>
          <w:bCs/>
        </w:rPr>
        <w:t>kapaciteteve në mjediset shkollore me qëllim identifikimin e rasteve të</w:t>
      </w:r>
      <w:r w:rsidR="007C064A" w:rsidRPr="00795698">
        <w:rPr>
          <w:rFonts w:ascii="Garamond" w:hAnsi="Garamond"/>
          <w:bCs/>
        </w:rPr>
        <w:t xml:space="preserve"> </w:t>
      </w:r>
      <w:r w:rsidRPr="00795698">
        <w:rPr>
          <w:rFonts w:ascii="Garamond" w:hAnsi="Garamond"/>
          <w:bCs/>
        </w:rPr>
        <w:t xml:space="preserve">shfaqjes së ekstremizmit të dhunshëm. </w:t>
      </w:r>
    </w:p>
    <w:p w14:paraId="5FEEF8FA" w14:textId="77777777" w:rsidR="00893E99" w:rsidRPr="00795698" w:rsidRDefault="00893E99" w:rsidP="00893E99">
      <w:pPr>
        <w:pStyle w:val="BodyText"/>
        <w:ind w:firstLine="284"/>
        <w:rPr>
          <w:rFonts w:ascii="Garamond" w:hAnsi="Garamond"/>
          <w:bCs/>
        </w:rPr>
      </w:pPr>
      <w:r w:rsidRPr="00795698">
        <w:rPr>
          <w:rFonts w:ascii="Garamond" w:hAnsi="Garamond"/>
          <w:b/>
          <w:bCs/>
        </w:rPr>
        <w:t>Masa 1.5.23:</w:t>
      </w:r>
      <w:r w:rsidR="004D4669" w:rsidRPr="00795698">
        <w:rPr>
          <w:rFonts w:ascii="Garamond" w:hAnsi="Garamond"/>
          <w:bCs/>
        </w:rPr>
        <w:t xml:space="preserve"> </w:t>
      </w:r>
      <w:r w:rsidRPr="00795698">
        <w:rPr>
          <w:rFonts w:ascii="Garamond" w:hAnsi="Garamond"/>
          <w:bCs/>
        </w:rPr>
        <w:t>Harmonizimi i aktiviteteve të QKEDH me programet ekzistuese për angazhimin e të rinjve në kuadrin e nismës “Shkollat si Qendra Komunitare” në zonat me rrezik të lartë dhe realizimi i tyre me mbështetjen e aktorëve të ndryshëm të shoqërisë civile.</w:t>
      </w:r>
    </w:p>
    <w:p w14:paraId="5FEEF8FB" w14:textId="77777777" w:rsidR="00893E99" w:rsidRPr="00795698" w:rsidRDefault="00893E99" w:rsidP="00893E99">
      <w:pPr>
        <w:pStyle w:val="BodyText"/>
        <w:ind w:firstLine="284"/>
        <w:rPr>
          <w:rFonts w:ascii="Garamond" w:hAnsi="Garamond"/>
          <w:bCs/>
        </w:rPr>
      </w:pPr>
      <w:r w:rsidRPr="00795698">
        <w:rPr>
          <w:rFonts w:ascii="Garamond" w:hAnsi="Garamond"/>
          <w:b/>
          <w:bCs/>
        </w:rPr>
        <w:t>Masa 1.5.24:</w:t>
      </w:r>
      <w:r w:rsidR="004D4669" w:rsidRPr="00795698">
        <w:rPr>
          <w:rFonts w:ascii="Garamond" w:hAnsi="Garamond"/>
          <w:bCs/>
        </w:rPr>
        <w:t xml:space="preserve"> </w:t>
      </w:r>
      <w:r w:rsidRPr="00795698">
        <w:rPr>
          <w:rFonts w:ascii="Garamond" w:hAnsi="Garamond"/>
          <w:bCs/>
        </w:rPr>
        <w:t xml:space="preserve">Krijimi i programeve të ndryshme në shkolla ku janë identifikuar shenja të para të ekstremizmit të dhunshëm dhe radikalizmit me aktivitete që fuqizojnë dhe forcojnë kohezionin social, qëndrueshmërinë komunitare dhe personale kundër ekstremizmit të dhunshëm në komunitete të ndjeshme nga fenomeni i ekstremizmit të dhunshëm në bashkëpunim me organizatat e shoqërisë civile. </w:t>
      </w:r>
    </w:p>
    <w:p w14:paraId="5FEEF8FC" w14:textId="77777777" w:rsidR="00893E99" w:rsidRPr="00795698" w:rsidRDefault="00893E99" w:rsidP="00893E99">
      <w:pPr>
        <w:pStyle w:val="BodyText"/>
        <w:ind w:firstLine="284"/>
        <w:rPr>
          <w:rFonts w:ascii="Garamond" w:hAnsi="Garamond"/>
          <w:bCs/>
        </w:rPr>
      </w:pPr>
      <w:r w:rsidRPr="00795698">
        <w:rPr>
          <w:rFonts w:ascii="Garamond" w:hAnsi="Garamond"/>
          <w:b/>
          <w:bCs/>
        </w:rPr>
        <w:t>Masa 1.5.25:</w:t>
      </w:r>
      <w:r w:rsidR="004D4669" w:rsidRPr="00795698">
        <w:rPr>
          <w:rFonts w:ascii="Garamond" w:hAnsi="Garamond"/>
          <w:bCs/>
        </w:rPr>
        <w:t xml:space="preserve"> </w:t>
      </w:r>
      <w:r w:rsidRPr="00795698">
        <w:rPr>
          <w:rFonts w:ascii="Garamond" w:hAnsi="Garamond"/>
          <w:bCs/>
        </w:rPr>
        <w:t xml:space="preserve">Trajnime të mësuesve për identifikimin dhe menaxhimin e nxënësve që përfshihen në radikalizëm dhe ekstremizëm të dhunshëm. </w:t>
      </w:r>
    </w:p>
    <w:p w14:paraId="5FEEF8FD" w14:textId="5F7D4E05" w:rsidR="00893E99" w:rsidRPr="00795698" w:rsidRDefault="00893E99" w:rsidP="00893E99">
      <w:pPr>
        <w:pStyle w:val="BodyText"/>
        <w:ind w:firstLine="284"/>
        <w:rPr>
          <w:rFonts w:ascii="Garamond" w:hAnsi="Garamond"/>
          <w:bCs/>
        </w:rPr>
      </w:pPr>
      <w:r w:rsidRPr="00795698">
        <w:rPr>
          <w:rFonts w:ascii="Garamond" w:hAnsi="Garamond"/>
          <w:b/>
          <w:bCs/>
        </w:rPr>
        <w:t>Masa 1.5.26:</w:t>
      </w:r>
      <w:r w:rsidR="004D4669" w:rsidRPr="00795698">
        <w:rPr>
          <w:rFonts w:ascii="Garamond" w:hAnsi="Garamond"/>
          <w:bCs/>
        </w:rPr>
        <w:t xml:space="preserve"> </w:t>
      </w:r>
      <w:r w:rsidRPr="00795698">
        <w:rPr>
          <w:rFonts w:ascii="Garamond" w:hAnsi="Garamond"/>
          <w:bCs/>
        </w:rPr>
        <w:t>Vlerësimi i treguesve socio-shëndetësorë përkundrejtë faktorëve statikë, dinamikë dhe rrethanorë që lidhen me zhvillimin e fenomenit të ekstremizmit të dhunshëm dhe radikalizmit, në zonat/grupet në rrezik</w:t>
      </w:r>
      <w:r w:rsidR="007C064A" w:rsidRPr="00795698">
        <w:rPr>
          <w:rFonts w:ascii="Garamond" w:hAnsi="Garamond"/>
          <w:bCs/>
        </w:rPr>
        <w:t xml:space="preserve"> </w:t>
      </w:r>
      <w:r w:rsidRPr="00795698">
        <w:rPr>
          <w:rFonts w:ascii="Garamond" w:hAnsi="Garamond"/>
          <w:bCs/>
        </w:rPr>
        <w:t xml:space="preserve">më të lartë (personat në rrezik radikalizimi dhe ekstremizmi, personat e identifikuar si të radikalizuar dhe ekstremistë dhe personat në rrezik </w:t>
      </w:r>
      <w:r w:rsidR="00F53E58" w:rsidRPr="00795698">
        <w:rPr>
          <w:rFonts w:ascii="Garamond" w:hAnsi="Garamond"/>
          <w:bCs/>
        </w:rPr>
        <w:t>ri</w:t>
      </w:r>
      <w:r w:rsidRPr="00795698">
        <w:rPr>
          <w:rFonts w:ascii="Garamond" w:hAnsi="Garamond"/>
          <w:bCs/>
        </w:rPr>
        <w:t>radikalizimi duke bashkëpunuar me aktorë të tjerë në nivel lokal)</w:t>
      </w:r>
    </w:p>
    <w:p w14:paraId="5FEEF8FE" w14:textId="77777777" w:rsidR="00893E99" w:rsidRPr="00795698" w:rsidRDefault="00893E99" w:rsidP="00893E99">
      <w:pPr>
        <w:pStyle w:val="BodyText"/>
        <w:ind w:firstLine="284"/>
        <w:rPr>
          <w:rFonts w:ascii="Garamond" w:hAnsi="Garamond"/>
          <w:bCs/>
        </w:rPr>
      </w:pPr>
      <w:r w:rsidRPr="00795698">
        <w:rPr>
          <w:rFonts w:ascii="Garamond" w:hAnsi="Garamond"/>
          <w:b/>
          <w:bCs/>
        </w:rPr>
        <w:lastRenderedPageBreak/>
        <w:t>Masa 1.5.27:</w:t>
      </w:r>
      <w:r w:rsidR="004D4669" w:rsidRPr="00795698">
        <w:rPr>
          <w:rFonts w:ascii="Garamond" w:hAnsi="Garamond"/>
          <w:bCs/>
        </w:rPr>
        <w:t xml:space="preserve"> </w:t>
      </w:r>
      <w:r w:rsidRPr="00795698">
        <w:rPr>
          <w:rFonts w:ascii="Garamond" w:hAnsi="Garamond"/>
          <w:bCs/>
        </w:rPr>
        <w:t xml:space="preserve">Organizimi i trajnimeve kaskadë për personelin e kujdesit shëndetësor/shëndetit publik dhe mbrojtjes sociale si dhe personelin e administratës publike, për njohjen dhe zbatimin e këtyre udhëzuesve. </w:t>
      </w:r>
    </w:p>
    <w:p w14:paraId="5FEEF8FF" w14:textId="77777777" w:rsidR="00893E99" w:rsidRPr="00795698" w:rsidRDefault="00893E99" w:rsidP="00893E99">
      <w:pPr>
        <w:pStyle w:val="BodyText"/>
        <w:ind w:firstLine="284"/>
        <w:rPr>
          <w:rFonts w:ascii="Garamond" w:hAnsi="Garamond"/>
          <w:bCs/>
        </w:rPr>
      </w:pPr>
      <w:r w:rsidRPr="00795698">
        <w:rPr>
          <w:rFonts w:ascii="Garamond" w:hAnsi="Garamond"/>
          <w:b/>
          <w:bCs/>
        </w:rPr>
        <w:t>Masa 1.5.28:</w:t>
      </w:r>
      <w:r w:rsidR="004D4669" w:rsidRPr="00795698">
        <w:rPr>
          <w:rFonts w:ascii="Garamond" w:hAnsi="Garamond"/>
          <w:bCs/>
        </w:rPr>
        <w:t xml:space="preserve"> </w:t>
      </w:r>
      <w:r w:rsidRPr="00795698">
        <w:rPr>
          <w:rFonts w:ascii="Garamond" w:hAnsi="Garamond"/>
          <w:bCs/>
        </w:rPr>
        <w:t>Krijimi dhe funksionimi i një rrjeti ToT mbi shëndetin mendor dhe fenomenin e ekstremizmit të dhunshëm në terma të shkaqeve dhe pasojave dhe të shëndetit mendor të lidhur me këtë fenomen.</w:t>
      </w:r>
    </w:p>
    <w:p w14:paraId="5FEEF900" w14:textId="77777777" w:rsidR="00893E99" w:rsidRPr="00795698" w:rsidRDefault="00893E99" w:rsidP="00893E99">
      <w:pPr>
        <w:pStyle w:val="BodyText"/>
        <w:ind w:firstLine="284"/>
        <w:rPr>
          <w:rFonts w:ascii="Garamond" w:hAnsi="Garamond"/>
          <w:bCs/>
        </w:rPr>
      </w:pPr>
      <w:r w:rsidRPr="00795698">
        <w:rPr>
          <w:rFonts w:ascii="Garamond" w:hAnsi="Garamond"/>
          <w:b/>
          <w:bCs/>
        </w:rPr>
        <w:t>Masa 1.5.29:</w:t>
      </w:r>
      <w:r w:rsidR="004D4669" w:rsidRPr="00795698">
        <w:rPr>
          <w:rFonts w:ascii="Garamond" w:hAnsi="Garamond"/>
          <w:bCs/>
        </w:rPr>
        <w:t xml:space="preserve"> </w:t>
      </w:r>
      <w:r w:rsidRPr="00795698">
        <w:rPr>
          <w:rFonts w:ascii="Garamond" w:hAnsi="Garamond"/>
          <w:bCs/>
        </w:rPr>
        <w:t>Analizë dhe vlerësim i kritereve të sigurisë dhe mbrojtjes së infrastrukturave kritike kundër rrezikut potencial të ekstremizmit të dhunshëm dhe terrorizmit.</w:t>
      </w:r>
    </w:p>
    <w:p w14:paraId="5FEEF901" w14:textId="77777777" w:rsidR="00893E99" w:rsidRPr="00795698" w:rsidRDefault="00893E99" w:rsidP="00893E99">
      <w:pPr>
        <w:pStyle w:val="BodyText"/>
        <w:ind w:firstLine="284"/>
        <w:rPr>
          <w:rFonts w:ascii="Garamond" w:hAnsi="Garamond"/>
          <w:bCs/>
        </w:rPr>
      </w:pPr>
      <w:r w:rsidRPr="00795698">
        <w:rPr>
          <w:rFonts w:ascii="Garamond" w:hAnsi="Garamond"/>
          <w:b/>
          <w:bCs/>
        </w:rPr>
        <w:t>Masa 1.5.30:</w:t>
      </w:r>
      <w:r w:rsidR="004D4669" w:rsidRPr="00795698">
        <w:rPr>
          <w:rFonts w:ascii="Garamond" w:hAnsi="Garamond"/>
          <w:bCs/>
        </w:rPr>
        <w:t xml:space="preserve"> </w:t>
      </w:r>
      <w:r w:rsidRPr="00795698">
        <w:rPr>
          <w:rFonts w:ascii="Garamond" w:hAnsi="Garamond"/>
          <w:bCs/>
        </w:rPr>
        <w:t xml:space="preserve">Zhvillimi i kapaciteteve të rrjetit të koordinatorëve me qëllim parandalimin e radikalizmit bazuar në aktorët e përfshirë sipas hartës së azhornuar nga ana e strukturave të Ministrisë së Brendshme. </w:t>
      </w:r>
    </w:p>
    <w:p w14:paraId="5FEEF902" w14:textId="77777777" w:rsidR="00893E99" w:rsidRPr="00795698" w:rsidRDefault="00893E99" w:rsidP="00893E99">
      <w:pPr>
        <w:pStyle w:val="BodyText"/>
        <w:ind w:firstLine="284"/>
        <w:rPr>
          <w:rFonts w:ascii="Garamond" w:hAnsi="Garamond"/>
          <w:bCs/>
        </w:rPr>
      </w:pPr>
      <w:r w:rsidRPr="00795698">
        <w:rPr>
          <w:rFonts w:ascii="Garamond" w:hAnsi="Garamond"/>
          <w:b/>
          <w:bCs/>
        </w:rPr>
        <w:t>Masa 1.5.31:</w:t>
      </w:r>
      <w:r w:rsidR="004D4669" w:rsidRPr="00795698">
        <w:rPr>
          <w:rFonts w:ascii="Garamond" w:hAnsi="Garamond"/>
          <w:bCs/>
        </w:rPr>
        <w:t xml:space="preserve"> </w:t>
      </w:r>
      <w:r w:rsidRPr="00795698">
        <w:rPr>
          <w:rFonts w:ascii="Garamond" w:hAnsi="Garamond"/>
          <w:bCs/>
        </w:rPr>
        <w:t xml:space="preserve">Vlerësime, analiza dhe ngritja e kapaciteteve për identifikimin e rreziqeve të financimit të aktiviteteve të propagandës, radikalizmit, nxitjes së ekstremizmit të dhunshëm nga subjekte të ndryshme. </w:t>
      </w:r>
    </w:p>
    <w:p w14:paraId="5FEEF903" w14:textId="77777777" w:rsidR="00893E99" w:rsidRPr="00795698" w:rsidRDefault="00893E99" w:rsidP="00893E99">
      <w:pPr>
        <w:pStyle w:val="BodyText"/>
        <w:ind w:firstLine="284"/>
        <w:rPr>
          <w:rFonts w:ascii="Garamond" w:hAnsi="Garamond"/>
          <w:bCs/>
        </w:rPr>
      </w:pPr>
      <w:r w:rsidRPr="00795698">
        <w:rPr>
          <w:rFonts w:ascii="Garamond" w:hAnsi="Garamond"/>
          <w:b/>
          <w:bCs/>
        </w:rPr>
        <w:t>Masa 1.5.32:</w:t>
      </w:r>
      <w:r w:rsidR="004D4669" w:rsidRPr="00795698">
        <w:rPr>
          <w:rFonts w:ascii="Garamond" w:hAnsi="Garamond"/>
          <w:bCs/>
        </w:rPr>
        <w:t xml:space="preserve"> </w:t>
      </w:r>
      <w:r w:rsidRPr="00795698">
        <w:rPr>
          <w:rFonts w:ascii="Garamond" w:hAnsi="Garamond"/>
          <w:bCs/>
        </w:rPr>
        <w:t>Ngritja dhe fuqizimi i pozicionit dhe kapaciteteve identifikuese dhe monitoruese të koordinatorëve, për çështje të ekstremizmit të dhunshëm, financimit të terrorizmit dhe proceseve RRR në DVP, Prefektura, NJVV, DPPP, IEVP, Bashkitë dhe në të gjithë territorin.</w:t>
      </w:r>
    </w:p>
    <w:p w14:paraId="5FEEF904"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05" w14:textId="1741189B" w:rsidR="00893E99" w:rsidRPr="00795698" w:rsidRDefault="004D4669" w:rsidP="004D4669">
      <w:pPr>
        <w:pStyle w:val="TEKSTIIIII"/>
        <w:rPr>
          <w:lang w:val="sq-AL"/>
        </w:rPr>
      </w:pPr>
      <w:r w:rsidRPr="00795698">
        <w:rPr>
          <w:lang w:val="sq-AL"/>
        </w:rPr>
        <w:t xml:space="preserve">- </w:t>
      </w:r>
      <w:r w:rsidR="00893E99" w:rsidRPr="00795698">
        <w:rPr>
          <w:lang w:val="sq-AL"/>
        </w:rPr>
        <w:t xml:space="preserve">Numri i seancave të këshillimit në grup të kryera me </w:t>
      </w:r>
      <w:r w:rsidR="00445D51" w:rsidRPr="00795698">
        <w:rPr>
          <w:lang w:val="sq-AL"/>
        </w:rPr>
        <w:t>individë</w:t>
      </w:r>
      <w:r w:rsidR="00893E99" w:rsidRPr="00795698">
        <w:rPr>
          <w:lang w:val="sq-AL"/>
        </w:rPr>
        <w:t xml:space="preserve"> të burgosur dhe individë të përfshirë në institucionet vendore të shërbimit të provës në lidhje me </w:t>
      </w:r>
      <w:r w:rsidR="00445D51" w:rsidRPr="00795698">
        <w:rPr>
          <w:lang w:val="sq-AL"/>
        </w:rPr>
        <w:t>çështjet</w:t>
      </w:r>
      <w:r w:rsidR="00893E99" w:rsidRPr="00795698">
        <w:rPr>
          <w:lang w:val="sq-AL"/>
        </w:rPr>
        <w:t xml:space="preserve"> e EDH të përfunduara.</w:t>
      </w:r>
    </w:p>
    <w:p w14:paraId="5FEEF906" w14:textId="77777777" w:rsidR="00893E99" w:rsidRPr="00795698" w:rsidRDefault="004D4669" w:rsidP="004D4669">
      <w:pPr>
        <w:pStyle w:val="TEKSTIIIII"/>
        <w:rPr>
          <w:lang w:val="sq-AL"/>
        </w:rPr>
      </w:pPr>
      <w:r w:rsidRPr="00795698">
        <w:rPr>
          <w:lang w:val="sq-AL"/>
        </w:rPr>
        <w:t xml:space="preserve">- </w:t>
      </w:r>
      <w:r w:rsidR="00893E99" w:rsidRPr="00795698">
        <w:rPr>
          <w:lang w:val="sq-AL"/>
        </w:rPr>
        <w:t>Numri i të burgosurve vulnerabël ndaj radikalizmit të cilët kanë përfunduar programet e dedikuara të punësimit.</w:t>
      </w:r>
    </w:p>
    <w:p w14:paraId="5FEEF907" w14:textId="77777777" w:rsidR="00893E99" w:rsidRPr="00795698" w:rsidRDefault="004D4669" w:rsidP="004D4669">
      <w:pPr>
        <w:pStyle w:val="TEKSTIIIII"/>
        <w:rPr>
          <w:lang w:val="sq-AL"/>
        </w:rPr>
      </w:pPr>
      <w:r w:rsidRPr="00795698">
        <w:rPr>
          <w:lang w:val="sq-AL"/>
        </w:rPr>
        <w:t xml:space="preserve">- </w:t>
      </w:r>
      <w:r w:rsidR="00893E99" w:rsidRPr="00795698">
        <w:rPr>
          <w:lang w:val="sq-AL"/>
        </w:rPr>
        <w:t>Numri i oficerëve të patrullës së përgjithshme të trajnuar çdo vit mbi ndërgjegjësimin kundër ekstremizmit të dhunshëm dhe shenjat e hershme të radikalizimit, me fokus të rinjtë.</w:t>
      </w:r>
    </w:p>
    <w:p w14:paraId="5FEEF908"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Rezultate të pritshme: </w:t>
      </w:r>
    </w:p>
    <w:p w14:paraId="5FEEF909" w14:textId="77777777" w:rsidR="00893E99" w:rsidRPr="00795698" w:rsidRDefault="004D4669" w:rsidP="004D4669">
      <w:pPr>
        <w:pStyle w:val="TEKSTIIIII"/>
        <w:rPr>
          <w:lang w:val="sq-AL"/>
        </w:rPr>
      </w:pPr>
      <w:r w:rsidRPr="00795698">
        <w:rPr>
          <w:lang w:val="sq-AL"/>
        </w:rPr>
        <w:t xml:space="preserve">- </w:t>
      </w:r>
      <w:r w:rsidR="00893E99" w:rsidRPr="00795698">
        <w:rPr>
          <w:lang w:val="sq-AL"/>
        </w:rPr>
        <w:t>Rritja e ndërgjegjësimit të punonjësve dhe target grupeve të caktuara lidhur me radikalizmin dhe ekstremizmin e dhunshëm;</w:t>
      </w:r>
    </w:p>
    <w:p w14:paraId="5FEEF90A" w14:textId="77777777" w:rsidR="00893E99" w:rsidRPr="00795698" w:rsidRDefault="004D4669" w:rsidP="004D4669">
      <w:pPr>
        <w:pStyle w:val="TEKSTIIIII"/>
        <w:rPr>
          <w:lang w:val="sq-AL"/>
        </w:rPr>
      </w:pPr>
      <w:r w:rsidRPr="00795698">
        <w:rPr>
          <w:lang w:val="sq-AL"/>
        </w:rPr>
        <w:t xml:space="preserve">- </w:t>
      </w:r>
      <w:r w:rsidR="00893E99" w:rsidRPr="00795698">
        <w:rPr>
          <w:lang w:val="sq-AL"/>
        </w:rPr>
        <w:t>Ulja e ekspozimit të grupmoshave ndaj radikalizimi dhe ekstremizmit të dhunshëm.</w:t>
      </w:r>
    </w:p>
    <w:p w14:paraId="5FEEF90B" w14:textId="50C39C81" w:rsidR="00893E99" w:rsidRPr="00795698" w:rsidRDefault="00893E99" w:rsidP="00893E99">
      <w:pPr>
        <w:ind w:firstLine="284"/>
        <w:contextualSpacing/>
        <w:jc w:val="both"/>
        <w:rPr>
          <w:rFonts w:ascii="Garamond" w:hAnsi="Garamond"/>
          <w:i/>
        </w:rPr>
      </w:pPr>
      <w:r w:rsidRPr="00795698">
        <w:rPr>
          <w:rFonts w:ascii="Garamond" w:hAnsi="Garamond"/>
          <w:i/>
        </w:rPr>
        <w:t xml:space="preserve">Objektivi </w:t>
      </w:r>
      <w:r w:rsidR="00445D51" w:rsidRPr="00795698">
        <w:rPr>
          <w:rFonts w:ascii="Garamond" w:hAnsi="Garamond"/>
          <w:i/>
        </w:rPr>
        <w:t>s</w:t>
      </w:r>
      <w:r w:rsidRPr="00795698">
        <w:rPr>
          <w:rFonts w:ascii="Garamond" w:hAnsi="Garamond"/>
          <w:i/>
        </w:rPr>
        <w:t>pecifik 1.6: Analizimi dhe adresimi i faktorëve nxitës për individët që janë në rrezik për t</w:t>
      </w:r>
      <w:r w:rsidR="0041767D" w:rsidRPr="00795698">
        <w:rPr>
          <w:rFonts w:ascii="Garamond" w:hAnsi="Garamond"/>
          <w:i/>
        </w:rPr>
        <w:t>’</w:t>
      </w:r>
      <w:r w:rsidRPr="00795698">
        <w:rPr>
          <w:rFonts w:ascii="Garamond" w:hAnsi="Garamond"/>
          <w:i/>
        </w:rPr>
        <w:t>u radikalizuar apo përfshirë në ekstremizëm të dhunshëm dhe forcimi i komuniteteve vulnerabël përmes përfshirjes së tyre në shoqëri dhe tregun e punës (sipas Planit të Veprimit për Parandalimin e Ekstremizmit të Dhunshëm objektivi specifik nr. 1.2 me masat 1.2.1-1.2.7)</w:t>
      </w:r>
    </w:p>
    <w:p w14:paraId="5FEEF90C" w14:textId="40F51CC6" w:rsidR="00893E99" w:rsidRPr="00795698" w:rsidRDefault="00893E99" w:rsidP="00893E99">
      <w:pPr>
        <w:pStyle w:val="BodyText"/>
        <w:ind w:firstLine="284"/>
        <w:rPr>
          <w:rFonts w:ascii="Garamond" w:hAnsi="Garamond"/>
        </w:rPr>
      </w:pPr>
      <w:r w:rsidRPr="00795698">
        <w:rPr>
          <w:rFonts w:ascii="Garamond" w:hAnsi="Garamond"/>
          <w:b/>
        </w:rPr>
        <w:t>Masa 1.6.1:</w:t>
      </w:r>
      <w:r w:rsidRPr="00795698">
        <w:rPr>
          <w:rFonts w:ascii="Garamond" w:hAnsi="Garamond"/>
        </w:rPr>
        <w:t xml:space="preserve"> Zbatimi i programit kombëtar të daljes nga skema e ndihmës ekonomike për përfituesit e ndihmës ekonomike me prioritet në zonat me rrezikshmëri më të lartë ndaj fenomenit të radikalizimit dhe ekstremizmit të dhunshëm; (http://qeverisjavendore.gov.al/keshillikonsultativ/ëp-content/uploads/2021/01/16.-Programi-Kombetar-per-daljen-nga-skema-e-ndihmes-ekonomike.pdf (</w:t>
      </w:r>
      <w:r w:rsidR="00623407" w:rsidRPr="00795698">
        <w:rPr>
          <w:rFonts w:ascii="Garamond" w:hAnsi="Garamond"/>
        </w:rPr>
        <w:t>2020–</w:t>
      </w:r>
      <w:r w:rsidRPr="00795698">
        <w:rPr>
          <w:rFonts w:ascii="Garamond" w:hAnsi="Garamond"/>
        </w:rPr>
        <w:t>2022 dhe sipas rinovimit të këtij plani)</w:t>
      </w:r>
    </w:p>
    <w:p w14:paraId="5FEEF90D" w14:textId="5A3336F1" w:rsidR="00893E99" w:rsidRPr="00795698" w:rsidRDefault="00893E99" w:rsidP="00893E99">
      <w:pPr>
        <w:pStyle w:val="BodyText"/>
        <w:ind w:firstLine="284"/>
        <w:rPr>
          <w:rFonts w:ascii="Garamond" w:hAnsi="Garamond"/>
        </w:rPr>
      </w:pPr>
      <w:r w:rsidRPr="00795698">
        <w:rPr>
          <w:rFonts w:ascii="Garamond" w:hAnsi="Garamond"/>
          <w:b/>
        </w:rPr>
        <w:t>Masa 1.6.2:</w:t>
      </w:r>
      <w:r w:rsidRPr="00795698">
        <w:rPr>
          <w:rFonts w:ascii="Garamond" w:hAnsi="Garamond"/>
        </w:rPr>
        <w:t xml:space="preserve"> Sensibilizimi i bizneseve dhe komunitetit në tërësi me qëllim që të jenë më të hapur dhe </w:t>
      </w:r>
      <w:r w:rsidR="00B4110E" w:rsidRPr="00795698">
        <w:rPr>
          <w:rFonts w:ascii="Garamond" w:hAnsi="Garamond"/>
        </w:rPr>
        <w:t>jo</w:t>
      </w:r>
      <w:r w:rsidRPr="00795698">
        <w:rPr>
          <w:rFonts w:ascii="Garamond" w:hAnsi="Garamond"/>
        </w:rPr>
        <w:t>paragjykues ndaj</w:t>
      </w:r>
      <w:r w:rsidR="007C064A" w:rsidRPr="00795698">
        <w:rPr>
          <w:rFonts w:ascii="Garamond" w:hAnsi="Garamond"/>
        </w:rPr>
        <w:t xml:space="preserve"> </w:t>
      </w:r>
      <w:r w:rsidRPr="00795698">
        <w:rPr>
          <w:rFonts w:ascii="Garamond" w:hAnsi="Garamond"/>
        </w:rPr>
        <w:t xml:space="preserve">personave të radikalizuar dhe individëve të kthyer nga vendet e luftës në lidhje me çështje të punësimit. </w:t>
      </w:r>
    </w:p>
    <w:p w14:paraId="5FEEF90E" w14:textId="77777777" w:rsidR="00893E99" w:rsidRPr="00795698" w:rsidRDefault="00893E99" w:rsidP="00893E99">
      <w:pPr>
        <w:pStyle w:val="BodyText"/>
        <w:ind w:firstLine="284"/>
        <w:rPr>
          <w:rFonts w:ascii="Garamond" w:hAnsi="Garamond"/>
        </w:rPr>
      </w:pPr>
      <w:r w:rsidRPr="00795698">
        <w:rPr>
          <w:rFonts w:ascii="Garamond" w:hAnsi="Garamond"/>
          <w:b/>
        </w:rPr>
        <w:t>Masa 1.6.3:</w:t>
      </w:r>
      <w:r w:rsidRPr="00795698">
        <w:rPr>
          <w:rFonts w:ascii="Garamond" w:hAnsi="Garamond"/>
        </w:rPr>
        <w:t xml:space="preserve"> Ngritja e kapaciteteve për identifikimin, vlerësimin, analizën dhe shkëmbimin e informacionit për faktorët ideologjikë politikë edhe me ndikim të huaj mbi rrezikun e radikalizmit që çon në ekstremizëm të dhunshëm dhe terrorizëm.</w:t>
      </w:r>
    </w:p>
    <w:p w14:paraId="5FEEF90F" w14:textId="77777777" w:rsidR="00893E99" w:rsidRPr="00795698" w:rsidRDefault="00893E99" w:rsidP="00893E99">
      <w:pPr>
        <w:pStyle w:val="BodyText"/>
        <w:ind w:firstLine="284"/>
        <w:rPr>
          <w:rFonts w:ascii="Garamond" w:hAnsi="Garamond"/>
        </w:rPr>
      </w:pPr>
      <w:r w:rsidRPr="00795698">
        <w:rPr>
          <w:rFonts w:ascii="Garamond" w:hAnsi="Garamond"/>
          <w:b/>
        </w:rPr>
        <w:t>Masa 1.6.4:</w:t>
      </w:r>
      <w:r w:rsidRPr="00795698">
        <w:rPr>
          <w:rFonts w:ascii="Garamond" w:hAnsi="Garamond"/>
        </w:rPr>
        <w:t xml:space="preserve"> Ngritja e kapaciteteve për identifikimin, vlerësimin, analizën dhe shkëmbimin e informacionit për faktorët nxitës të radikalizmit dhe ekstremizmit të dhunshëm të ngritura mbi stereotipe me bazë fetare që çon në terrorizëm.</w:t>
      </w:r>
    </w:p>
    <w:p w14:paraId="5FEEF910" w14:textId="77777777" w:rsidR="00893E99" w:rsidRPr="00795698" w:rsidRDefault="00893E99" w:rsidP="00893E99">
      <w:pPr>
        <w:pStyle w:val="BodyText"/>
        <w:ind w:firstLine="284"/>
        <w:rPr>
          <w:rFonts w:ascii="Garamond" w:hAnsi="Garamond"/>
        </w:rPr>
      </w:pPr>
      <w:r w:rsidRPr="00795698">
        <w:rPr>
          <w:rFonts w:ascii="Garamond" w:hAnsi="Garamond"/>
          <w:b/>
        </w:rPr>
        <w:lastRenderedPageBreak/>
        <w:t>Masa 1.6.5:</w:t>
      </w:r>
      <w:r w:rsidRPr="00795698">
        <w:rPr>
          <w:rFonts w:ascii="Garamond" w:hAnsi="Garamond"/>
        </w:rPr>
        <w:t xml:space="preserve"> Ngritja e kapaciteteve për identifikimin, vlerësimin, analizën dhe shkëmbimin e informacionit për faktorët socio-ekonomike nxitës të radikalizmit dhe ekstremizmit të dhunshëm që çon në terrorizëm.</w:t>
      </w:r>
    </w:p>
    <w:p w14:paraId="5FEEF911" w14:textId="12DC36C0" w:rsidR="00893E99" w:rsidRPr="00795698" w:rsidRDefault="00893E99" w:rsidP="00893E99">
      <w:pPr>
        <w:pStyle w:val="BodyText"/>
        <w:ind w:firstLine="284"/>
        <w:rPr>
          <w:rFonts w:ascii="Garamond" w:hAnsi="Garamond"/>
        </w:rPr>
      </w:pPr>
      <w:r w:rsidRPr="00795698">
        <w:rPr>
          <w:rFonts w:ascii="Garamond" w:hAnsi="Garamond"/>
          <w:b/>
        </w:rPr>
        <w:t>Masa 1.6.6:</w:t>
      </w:r>
      <w:r w:rsidRPr="00795698">
        <w:rPr>
          <w:rFonts w:ascii="Garamond" w:hAnsi="Garamond"/>
        </w:rPr>
        <w:t xml:space="preserve"> Fuqizimi i kapaciteteve të anëtarëve të mekanizmit referues të </w:t>
      </w:r>
      <w:r w:rsidR="00445D51" w:rsidRPr="00795698">
        <w:rPr>
          <w:rFonts w:ascii="Garamond" w:hAnsi="Garamond"/>
        </w:rPr>
        <w:t>këshillave vendorë të sigurisë publike mbi radik</w:t>
      </w:r>
      <w:r w:rsidRPr="00795698">
        <w:rPr>
          <w:rFonts w:ascii="Garamond" w:hAnsi="Garamond"/>
        </w:rPr>
        <w:t>alizmin dhe ekstremizmin e dhunshëm.</w:t>
      </w:r>
    </w:p>
    <w:p w14:paraId="5FEEF912" w14:textId="77777777" w:rsidR="00893E99" w:rsidRPr="00795698" w:rsidRDefault="00893E99" w:rsidP="00893E99">
      <w:pPr>
        <w:pStyle w:val="BodyText"/>
        <w:ind w:firstLine="284"/>
        <w:rPr>
          <w:rFonts w:ascii="Garamond" w:hAnsi="Garamond"/>
        </w:rPr>
      </w:pPr>
      <w:r w:rsidRPr="00795698">
        <w:rPr>
          <w:rFonts w:ascii="Garamond" w:hAnsi="Garamond"/>
          <w:b/>
        </w:rPr>
        <w:t>Masa 1.6.7:</w:t>
      </w:r>
      <w:r w:rsidRPr="00795698">
        <w:rPr>
          <w:rFonts w:ascii="Garamond" w:hAnsi="Garamond"/>
        </w:rPr>
        <w:t xml:space="preserve"> Hartimi i një Procedure Standarde Veprimi për fuqizimin e komuniteteve, riintegrimin dhe rehabilitimin e familjeve të kthyera ose të radikalizuara.</w:t>
      </w:r>
    </w:p>
    <w:p w14:paraId="5FEEF913"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14" w14:textId="77777777" w:rsidR="00893E99" w:rsidRPr="00795698" w:rsidRDefault="004D4669" w:rsidP="004D4669">
      <w:pPr>
        <w:pStyle w:val="TEKSTIIIII"/>
        <w:rPr>
          <w:lang w:val="sq-AL"/>
        </w:rPr>
      </w:pPr>
      <w:r w:rsidRPr="00795698">
        <w:rPr>
          <w:lang w:val="sq-AL"/>
        </w:rPr>
        <w:t xml:space="preserve">- </w:t>
      </w:r>
      <w:r w:rsidR="00893E99" w:rsidRPr="00795698">
        <w:rPr>
          <w:lang w:val="sq-AL"/>
        </w:rPr>
        <w:t>Numri i personave, përfitues të ndihmës ekonomike në zonat hot-spot, të përfshirë në programet e punëve publike.</w:t>
      </w:r>
    </w:p>
    <w:p w14:paraId="5FEEF915"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Rezultate të pritshme: </w:t>
      </w:r>
    </w:p>
    <w:p w14:paraId="5FEEF916" w14:textId="77777777" w:rsidR="00893E99" w:rsidRPr="00795698" w:rsidRDefault="004D4669" w:rsidP="004D4669">
      <w:pPr>
        <w:pStyle w:val="TEKSTIIIII"/>
        <w:rPr>
          <w:b/>
          <w:u w:val="single"/>
          <w:lang w:val="sq-AL"/>
        </w:rPr>
      </w:pPr>
      <w:r w:rsidRPr="00795698">
        <w:rPr>
          <w:lang w:val="sq-AL"/>
        </w:rPr>
        <w:t xml:space="preserve">- </w:t>
      </w:r>
      <w:r w:rsidR="00893E99" w:rsidRPr="00795698">
        <w:rPr>
          <w:lang w:val="sq-AL"/>
        </w:rPr>
        <w:t>Rritja e ndërgjegjësimit të bizneseve për të punësuar individë të kthyer nga vendet e lindjes dhe rritja e përfituesve të ndihmës ekonomike nga programet e punëve publike.</w:t>
      </w:r>
    </w:p>
    <w:p w14:paraId="5FEEF917" w14:textId="2B02DC4A"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58" w:name="_Toc108644279"/>
      <w:r w:rsidRPr="00795698">
        <w:rPr>
          <w:rFonts w:ascii="Garamond" w:hAnsi="Garamond"/>
          <w:b w:val="0"/>
          <w:color w:val="000000" w:themeColor="text1"/>
          <w:sz w:val="24"/>
          <w:szCs w:val="24"/>
        </w:rPr>
        <w:t>QËLLIMI I POLITIKËS 2:</w:t>
      </w:r>
      <w:r w:rsidR="007C064A" w:rsidRPr="00795698">
        <w:rPr>
          <w:rFonts w:ascii="Garamond" w:hAnsi="Garamond"/>
          <w:b w:val="0"/>
          <w:color w:val="000000" w:themeColor="text1"/>
          <w:sz w:val="24"/>
          <w:szCs w:val="24"/>
        </w:rPr>
        <w:t xml:space="preserve"> </w:t>
      </w:r>
      <w:r w:rsidRPr="00795698">
        <w:rPr>
          <w:rFonts w:ascii="Garamond" w:hAnsi="Garamond"/>
          <w:b w:val="0"/>
          <w:color w:val="000000" w:themeColor="text1"/>
          <w:sz w:val="24"/>
          <w:szCs w:val="24"/>
        </w:rPr>
        <w:t>NDËRPRERJA E AKTIVITETEVE TË FAQEVE DHE PLATFORMAVE DI</w:t>
      </w:r>
      <w:r w:rsidR="00445D51" w:rsidRPr="00795698">
        <w:rPr>
          <w:rFonts w:ascii="Garamond" w:hAnsi="Garamond"/>
          <w:b w:val="0"/>
          <w:color w:val="000000" w:themeColor="text1"/>
          <w:sz w:val="24"/>
          <w:szCs w:val="24"/>
        </w:rPr>
        <w:t>GJ</w:t>
      </w:r>
      <w:r w:rsidRPr="00795698">
        <w:rPr>
          <w:rFonts w:ascii="Garamond" w:hAnsi="Garamond"/>
          <w:b w:val="0"/>
          <w:color w:val="000000" w:themeColor="text1"/>
          <w:sz w:val="24"/>
          <w:szCs w:val="24"/>
        </w:rPr>
        <w:t>ITALE SI DHE INDIVIDËVE QË TËRHEQIN NJERËZ NË TERRORIZËM</w:t>
      </w:r>
      <w:bookmarkEnd w:id="58"/>
      <w:r w:rsidRPr="00795698">
        <w:rPr>
          <w:rFonts w:ascii="Garamond" w:hAnsi="Garamond"/>
          <w:b w:val="0"/>
          <w:color w:val="000000" w:themeColor="text1"/>
          <w:sz w:val="24"/>
          <w:szCs w:val="24"/>
        </w:rPr>
        <w:t xml:space="preserve"> </w:t>
      </w:r>
    </w:p>
    <w:p w14:paraId="5FEEF918" w14:textId="77777777" w:rsidR="00893E99" w:rsidRPr="00795698" w:rsidRDefault="00893E99" w:rsidP="00893E99">
      <w:pPr>
        <w:pStyle w:val="Heading2"/>
        <w:spacing w:before="0"/>
        <w:ind w:firstLine="284"/>
        <w:rPr>
          <w:rFonts w:ascii="Garamond" w:hAnsi="Garamond"/>
          <w:b w:val="0"/>
          <w:i/>
          <w:color w:val="000000" w:themeColor="text1"/>
          <w:sz w:val="24"/>
          <w:szCs w:val="24"/>
        </w:rPr>
      </w:pPr>
      <w:bookmarkStart w:id="59" w:name="_Toc108644280"/>
      <w:r w:rsidRPr="00795698">
        <w:rPr>
          <w:rFonts w:ascii="Garamond" w:hAnsi="Garamond"/>
          <w:b w:val="0"/>
          <w:i/>
          <w:color w:val="000000" w:themeColor="text1"/>
          <w:sz w:val="24"/>
          <w:szCs w:val="24"/>
        </w:rPr>
        <w:t>Objektivi specifik 2.1: Parandalimi i radikalizimit nëpërmjet internetit</w:t>
      </w:r>
      <w:bookmarkEnd w:id="59"/>
    </w:p>
    <w:p w14:paraId="5FEEF919" w14:textId="27C9DEBF" w:rsidR="00893E99" w:rsidRPr="00795698" w:rsidRDefault="00893E99" w:rsidP="00893E99">
      <w:pPr>
        <w:pStyle w:val="BodyText"/>
        <w:ind w:firstLine="284"/>
        <w:rPr>
          <w:rFonts w:ascii="Garamond" w:hAnsi="Garamond"/>
          <w:b/>
        </w:rPr>
      </w:pPr>
      <w:r w:rsidRPr="00795698">
        <w:rPr>
          <w:rFonts w:ascii="Garamond" w:hAnsi="Garamond"/>
          <w:b/>
        </w:rPr>
        <w:t xml:space="preserve">Masa 2.1.1: </w:t>
      </w:r>
      <w:bookmarkStart w:id="60" w:name="_Hlk59672455"/>
      <w:r w:rsidRPr="00795698">
        <w:rPr>
          <w:rFonts w:ascii="Garamond" w:hAnsi="Garamond"/>
        </w:rPr>
        <w:t>Krijimi i një sistemi të aksesit të kontrolluar për grup</w:t>
      </w:r>
      <w:r w:rsidR="00445D51" w:rsidRPr="00795698">
        <w:rPr>
          <w:rFonts w:ascii="Garamond" w:hAnsi="Garamond"/>
        </w:rPr>
        <w:t>-</w:t>
      </w:r>
      <w:r w:rsidRPr="00795698">
        <w:rPr>
          <w:rFonts w:ascii="Garamond" w:hAnsi="Garamond"/>
        </w:rPr>
        <w:t>moshat e reja në site dhe faqe online të cilat mund të kenë përmbajtje propagandiste</w:t>
      </w:r>
      <w:r w:rsidRPr="00795698">
        <w:rPr>
          <w:rFonts w:ascii="Garamond" w:hAnsi="Garamond"/>
          <w:b/>
        </w:rPr>
        <w:t>.</w:t>
      </w:r>
    </w:p>
    <w:p w14:paraId="5FEEF91A" w14:textId="77777777" w:rsidR="00893E99" w:rsidRPr="00795698" w:rsidRDefault="00893E99" w:rsidP="00893E99">
      <w:pPr>
        <w:pStyle w:val="BodyText"/>
        <w:ind w:firstLine="284"/>
        <w:rPr>
          <w:rFonts w:ascii="Garamond" w:hAnsi="Garamond"/>
          <w:b/>
        </w:rPr>
      </w:pPr>
      <w:r w:rsidRPr="00795698">
        <w:rPr>
          <w:rFonts w:ascii="Garamond" w:hAnsi="Garamond"/>
          <w:b/>
        </w:rPr>
        <w:t>Masa 2.1.2:</w:t>
      </w:r>
      <w:bookmarkEnd w:id="60"/>
      <w:r w:rsidRPr="00795698">
        <w:rPr>
          <w:rFonts w:ascii="Garamond" w:hAnsi="Garamond"/>
          <w:b/>
        </w:rPr>
        <w:t xml:space="preserve"> </w:t>
      </w:r>
      <w:r w:rsidRPr="00795698">
        <w:rPr>
          <w:rFonts w:ascii="Garamond" w:hAnsi="Garamond"/>
        </w:rPr>
        <w:t xml:space="preserve">Krijimi i hapësirave për denoncimin e faqeve/profileve të dyshimta në faqet zyrtare të P.SH, AKCESK, QKEDH etj. </w:t>
      </w:r>
    </w:p>
    <w:p w14:paraId="5FEEF91B" w14:textId="644B299C" w:rsidR="00893E99" w:rsidRPr="00795698" w:rsidRDefault="00893E99" w:rsidP="00893E99">
      <w:pPr>
        <w:pStyle w:val="BodyText"/>
        <w:ind w:firstLine="284"/>
        <w:rPr>
          <w:rFonts w:ascii="Garamond" w:hAnsi="Garamond"/>
          <w:b/>
        </w:rPr>
      </w:pPr>
      <w:r w:rsidRPr="00795698">
        <w:rPr>
          <w:rFonts w:ascii="Garamond" w:hAnsi="Garamond"/>
          <w:b/>
        </w:rPr>
        <w:t xml:space="preserve">Masa 2.1.3: </w:t>
      </w:r>
      <w:r w:rsidRPr="00795698">
        <w:rPr>
          <w:rFonts w:ascii="Garamond" w:hAnsi="Garamond"/>
        </w:rPr>
        <w:t>Zhvillimi i spoteve ndërgjegjësuese për t</w:t>
      </w:r>
      <w:r w:rsidR="00C62D65" w:rsidRPr="00795698">
        <w:rPr>
          <w:rFonts w:ascii="Garamond" w:hAnsi="Garamond"/>
        </w:rPr>
        <w:t>’</w:t>
      </w:r>
      <w:r w:rsidRPr="00795698">
        <w:rPr>
          <w:rFonts w:ascii="Garamond" w:hAnsi="Garamond"/>
        </w:rPr>
        <w:t>u shpërndarë te përdoruesit e internetit, nëpërmjet profileve zyrtare të agjencive shtetërore apo faqeve zyrtare të internetit.</w:t>
      </w:r>
    </w:p>
    <w:p w14:paraId="5FEEF91C" w14:textId="42B686B3" w:rsidR="00893E99" w:rsidRPr="00795698" w:rsidRDefault="00893E99" w:rsidP="00893E99">
      <w:pPr>
        <w:pStyle w:val="BodyText"/>
        <w:ind w:firstLine="284"/>
        <w:rPr>
          <w:rFonts w:ascii="Garamond" w:hAnsi="Garamond"/>
        </w:rPr>
      </w:pPr>
      <w:r w:rsidRPr="00795698">
        <w:rPr>
          <w:rFonts w:ascii="Garamond" w:hAnsi="Garamond"/>
          <w:b/>
        </w:rPr>
        <w:t xml:space="preserve">Masa 2.1.4: </w:t>
      </w:r>
      <w:r w:rsidRPr="00795698">
        <w:rPr>
          <w:rFonts w:ascii="Garamond" w:hAnsi="Garamond"/>
        </w:rPr>
        <w:t xml:space="preserve">Kryerja e monitorimeve të faqeve të internetit nga agjencitë </w:t>
      </w:r>
      <w:r w:rsidR="00C62D65" w:rsidRPr="00795698">
        <w:rPr>
          <w:rFonts w:ascii="Garamond" w:hAnsi="Garamond"/>
        </w:rPr>
        <w:t>ligj</w:t>
      </w:r>
      <w:r w:rsidRPr="00795698">
        <w:rPr>
          <w:rFonts w:ascii="Garamond" w:hAnsi="Garamond"/>
        </w:rPr>
        <w:t>zbatuese për mesazhe/profile radikale, ekstremiste e terroriste.</w:t>
      </w:r>
    </w:p>
    <w:p w14:paraId="5FEEF91D"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1E" w14:textId="77777777" w:rsidR="00893E99" w:rsidRPr="00795698" w:rsidRDefault="004D4669" w:rsidP="004D4669">
      <w:pPr>
        <w:pStyle w:val="TEKSTIIIII"/>
        <w:rPr>
          <w:lang w:val="sq-AL"/>
        </w:rPr>
      </w:pPr>
      <w:r w:rsidRPr="00795698">
        <w:rPr>
          <w:lang w:val="sq-AL"/>
        </w:rPr>
        <w:t>-</w:t>
      </w:r>
      <w:r w:rsidR="00893E99" w:rsidRPr="00795698">
        <w:rPr>
          <w:lang w:val="sq-AL"/>
        </w:rPr>
        <w:t xml:space="preserve">Indeksi i uljes së ekspozimit të grupmoshave të reja në faqe online me përmbajtje propagandiste. </w:t>
      </w:r>
    </w:p>
    <w:p w14:paraId="5FEEF91F" w14:textId="77777777" w:rsidR="00893E99" w:rsidRPr="00795698" w:rsidRDefault="004D4669" w:rsidP="004D4669">
      <w:pPr>
        <w:pStyle w:val="TEKSTIIIII"/>
        <w:rPr>
          <w:lang w:val="sq-AL"/>
        </w:rPr>
      </w:pPr>
      <w:r w:rsidRPr="00795698">
        <w:rPr>
          <w:lang w:val="sq-AL"/>
        </w:rPr>
        <w:t>-</w:t>
      </w:r>
      <w:r w:rsidR="00893E99" w:rsidRPr="00795698">
        <w:rPr>
          <w:lang w:val="sq-AL"/>
        </w:rPr>
        <w:t>Indeksi i rritjes së identifikimit të profileve me përmbajtje terroriste përmes monitorimit të burimeve të hapura.</w:t>
      </w:r>
    </w:p>
    <w:p w14:paraId="5FEEF920"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Rezultate të pritshme: </w:t>
      </w:r>
    </w:p>
    <w:p w14:paraId="5FEEF921" w14:textId="77777777" w:rsidR="00893E99" w:rsidRPr="00795698" w:rsidRDefault="004D4669" w:rsidP="004D4669">
      <w:pPr>
        <w:pStyle w:val="TEKSTIIIII"/>
        <w:rPr>
          <w:lang w:val="sq-AL"/>
        </w:rPr>
      </w:pPr>
      <w:r w:rsidRPr="00795698">
        <w:rPr>
          <w:lang w:val="sq-AL"/>
        </w:rPr>
        <w:t xml:space="preserve">- </w:t>
      </w:r>
      <w:r w:rsidR="00893E99" w:rsidRPr="00795698">
        <w:rPr>
          <w:lang w:val="sq-AL"/>
        </w:rPr>
        <w:t>Bllokimi i të gjitha faqeve (links; në raste të caktuara edhe domaine) apo i aplikacioneve që në përmbajtje kanë propagandë terroriste, në territorin e Republikës së Shqipërisë, nga sipërmarrësit e komunikimeve elektronike (ofruesit e shërbimit internet – ISP), sipas përcaktimeve ligjore.</w:t>
      </w:r>
    </w:p>
    <w:p w14:paraId="5FEEF922" w14:textId="77777777" w:rsidR="00893E99" w:rsidRPr="00795698" w:rsidRDefault="004D4669" w:rsidP="004D4669">
      <w:pPr>
        <w:pStyle w:val="TEKSTIIIII"/>
        <w:rPr>
          <w:lang w:val="sq-AL"/>
        </w:rPr>
      </w:pPr>
      <w:r w:rsidRPr="00795698">
        <w:rPr>
          <w:lang w:val="sq-AL"/>
        </w:rPr>
        <w:t xml:space="preserve">- </w:t>
      </w:r>
      <w:r w:rsidR="00893E99" w:rsidRPr="00795698">
        <w:rPr>
          <w:lang w:val="sq-AL"/>
        </w:rPr>
        <w:t>Rritja e kontrollit dhe ulja e ekspozimit të grupmoshave të reja ndaj propagandës që çon në radikalizim përmes internetit dhe faqeve me këtë përmbajtje.</w:t>
      </w:r>
    </w:p>
    <w:p w14:paraId="5FEEF923" w14:textId="77777777" w:rsidR="00893E99" w:rsidRPr="00795698" w:rsidRDefault="00893E99" w:rsidP="00893E99">
      <w:pPr>
        <w:pStyle w:val="Heading2"/>
        <w:spacing w:before="0"/>
        <w:ind w:firstLine="284"/>
        <w:jc w:val="both"/>
        <w:rPr>
          <w:rFonts w:ascii="Garamond" w:hAnsi="Garamond"/>
          <w:b w:val="0"/>
          <w:i/>
          <w:color w:val="000000" w:themeColor="text1"/>
          <w:sz w:val="24"/>
          <w:szCs w:val="24"/>
        </w:rPr>
      </w:pPr>
      <w:bookmarkStart w:id="61" w:name="_Hlk59672487"/>
      <w:bookmarkStart w:id="62" w:name="_Toc108644281"/>
      <w:r w:rsidRPr="00795698">
        <w:rPr>
          <w:rFonts w:ascii="Garamond" w:hAnsi="Garamond"/>
          <w:b w:val="0"/>
          <w:i/>
          <w:color w:val="000000" w:themeColor="text1"/>
          <w:sz w:val="24"/>
          <w:szCs w:val="24"/>
        </w:rPr>
        <w:t>Objektivi specifik 2.2:</w:t>
      </w:r>
      <w:bookmarkEnd w:id="61"/>
      <w:r w:rsidRPr="00795698">
        <w:rPr>
          <w:rFonts w:ascii="Garamond" w:hAnsi="Garamond"/>
          <w:b w:val="0"/>
          <w:i/>
          <w:color w:val="000000" w:themeColor="text1"/>
          <w:sz w:val="24"/>
          <w:szCs w:val="24"/>
        </w:rPr>
        <w:t xml:space="preserve"> Rritja e prezencës së strukturave të antiterrorit në mjedisin virtual përmes kontrollit dhe monitorimit të hapësirave virtuale përfshirë darknet-in</w:t>
      </w:r>
      <w:bookmarkEnd w:id="62"/>
    </w:p>
    <w:p w14:paraId="5FEEF924" w14:textId="77777777" w:rsidR="00893E99" w:rsidRPr="00795698" w:rsidRDefault="00893E99" w:rsidP="00893E99">
      <w:pPr>
        <w:pStyle w:val="BodyText"/>
        <w:ind w:firstLine="284"/>
        <w:rPr>
          <w:rFonts w:ascii="Garamond" w:hAnsi="Garamond"/>
        </w:rPr>
      </w:pPr>
      <w:bookmarkStart w:id="63" w:name="_Hlk59672525"/>
      <w:r w:rsidRPr="00795698">
        <w:rPr>
          <w:rFonts w:ascii="Garamond" w:hAnsi="Garamond"/>
          <w:b/>
          <w:bCs/>
        </w:rPr>
        <w:t>Masa 2.2.1:</w:t>
      </w:r>
      <w:r w:rsidRPr="00795698">
        <w:rPr>
          <w:rFonts w:ascii="Garamond" w:hAnsi="Garamond"/>
        </w:rPr>
        <w:t xml:space="preserve"> </w:t>
      </w:r>
      <w:bookmarkEnd w:id="63"/>
      <w:r w:rsidRPr="00795698">
        <w:rPr>
          <w:rFonts w:ascii="Garamond" w:hAnsi="Garamond"/>
        </w:rPr>
        <w:t>Rritja e kapaciteteve përmes trajnimeve specifike për identifikimin e profileve në rrjete sociale me përmbajtje terroriste</w:t>
      </w:r>
    </w:p>
    <w:p w14:paraId="5FEEF925" w14:textId="77777777" w:rsidR="00893E99" w:rsidRPr="00795698" w:rsidRDefault="00893E99" w:rsidP="00893E99">
      <w:pPr>
        <w:pStyle w:val="Heading2"/>
        <w:spacing w:before="0"/>
        <w:ind w:firstLine="284"/>
        <w:jc w:val="both"/>
        <w:rPr>
          <w:rFonts w:ascii="Garamond" w:hAnsi="Garamond"/>
          <w:b w:val="0"/>
          <w:i/>
          <w:color w:val="000000" w:themeColor="text1"/>
          <w:sz w:val="24"/>
          <w:szCs w:val="24"/>
        </w:rPr>
      </w:pPr>
      <w:bookmarkStart w:id="64" w:name="_Toc108644282"/>
      <w:r w:rsidRPr="00795698">
        <w:rPr>
          <w:rFonts w:ascii="Garamond" w:hAnsi="Garamond"/>
          <w:b w:val="0"/>
          <w:i/>
          <w:color w:val="000000" w:themeColor="text1"/>
          <w:sz w:val="24"/>
          <w:szCs w:val="24"/>
        </w:rPr>
        <w:t>Objektivi specifik 2.3: Parandalimi i radikalizimit dhe rekrutimeve terroriste duke rritur bashkëpunimin bilateral, rajonal dhe ndërkombëtar dhe me prodhuesit e aplikacioneve online</w:t>
      </w:r>
      <w:bookmarkEnd w:id="64"/>
    </w:p>
    <w:p w14:paraId="5FEEF926" w14:textId="77777777" w:rsidR="00893E99" w:rsidRPr="00795698" w:rsidRDefault="00893E99" w:rsidP="00893E99">
      <w:pPr>
        <w:pStyle w:val="BodyText"/>
        <w:ind w:firstLine="284"/>
        <w:rPr>
          <w:rFonts w:ascii="Garamond" w:hAnsi="Garamond"/>
          <w:b/>
          <w:bCs/>
        </w:rPr>
      </w:pPr>
      <w:bookmarkStart w:id="65" w:name="_Hlk59672560"/>
      <w:r w:rsidRPr="00795698">
        <w:rPr>
          <w:rFonts w:ascii="Garamond" w:hAnsi="Garamond"/>
          <w:b/>
          <w:bCs/>
        </w:rPr>
        <w:t>Masa 2.3.1:</w:t>
      </w:r>
      <w:bookmarkEnd w:id="65"/>
      <w:r w:rsidRPr="00795698">
        <w:rPr>
          <w:rFonts w:ascii="Garamond" w:hAnsi="Garamond"/>
          <w:b/>
          <w:bCs/>
        </w:rPr>
        <w:t xml:space="preserve"> </w:t>
      </w:r>
      <w:r w:rsidRPr="00795698">
        <w:rPr>
          <w:rFonts w:ascii="Garamond" w:hAnsi="Garamond"/>
        </w:rPr>
        <w:t>Zhvillimi i takimeve bilaterale, rajonale dhe ndërkombëtare</w:t>
      </w:r>
    </w:p>
    <w:p w14:paraId="5FEEF927" w14:textId="77777777" w:rsidR="00893E99" w:rsidRPr="00795698" w:rsidRDefault="00893E99" w:rsidP="00893E99">
      <w:pPr>
        <w:pStyle w:val="BodyText"/>
        <w:ind w:firstLine="284"/>
        <w:rPr>
          <w:rFonts w:ascii="Garamond" w:hAnsi="Garamond"/>
          <w:b/>
          <w:bCs/>
        </w:rPr>
      </w:pPr>
      <w:bookmarkStart w:id="66" w:name="_Hlk59673263"/>
      <w:r w:rsidRPr="00795698">
        <w:rPr>
          <w:rFonts w:ascii="Garamond" w:hAnsi="Garamond"/>
          <w:b/>
          <w:bCs/>
        </w:rPr>
        <w:t>Masa 2.3.2:</w:t>
      </w:r>
      <w:bookmarkEnd w:id="66"/>
      <w:r w:rsidRPr="00795698">
        <w:rPr>
          <w:rFonts w:ascii="Garamond" w:hAnsi="Garamond"/>
          <w:b/>
          <w:bCs/>
        </w:rPr>
        <w:t xml:space="preserve"> </w:t>
      </w:r>
      <w:r w:rsidRPr="00795698">
        <w:rPr>
          <w:rFonts w:ascii="Garamond" w:hAnsi="Garamond"/>
        </w:rPr>
        <w:t>Lidhja e marrëveshjeve për bashkëpunim brenda fushës</w:t>
      </w:r>
    </w:p>
    <w:p w14:paraId="5FEEF928" w14:textId="1CFEF028" w:rsidR="00893E99" w:rsidRPr="00795698" w:rsidRDefault="00893E99" w:rsidP="00893E99">
      <w:pPr>
        <w:pStyle w:val="BodyText"/>
        <w:ind w:firstLine="284"/>
        <w:rPr>
          <w:rFonts w:ascii="Garamond" w:hAnsi="Garamond"/>
          <w:b/>
          <w:bCs/>
        </w:rPr>
      </w:pPr>
      <w:r w:rsidRPr="00795698">
        <w:rPr>
          <w:rFonts w:ascii="Garamond" w:hAnsi="Garamond"/>
          <w:b/>
          <w:bCs/>
        </w:rPr>
        <w:t xml:space="preserve">Masa 2.3.3: </w:t>
      </w:r>
      <w:r w:rsidRPr="00795698">
        <w:rPr>
          <w:rFonts w:ascii="Garamond" w:hAnsi="Garamond"/>
        </w:rPr>
        <w:t xml:space="preserve">Pjesëmarrja në konferenca, </w:t>
      </w:r>
      <w:r w:rsidR="00445D51" w:rsidRPr="00795698">
        <w:rPr>
          <w:rFonts w:ascii="Garamond" w:hAnsi="Garamond"/>
        </w:rPr>
        <w:t>w</w:t>
      </w:r>
      <w:r w:rsidRPr="00795698">
        <w:rPr>
          <w:rFonts w:ascii="Garamond" w:hAnsi="Garamond"/>
        </w:rPr>
        <w:t>orkshop-e etj.</w:t>
      </w:r>
    </w:p>
    <w:p w14:paraId="5FEEF929"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2A" w14:textId="77777777" w:rsidR="00893E99" w:rsidRPr="00795698" w:rsidRDefault="004D4669" w:rsidP="004D4669">
      <w:pPr>
        <w:pStyle w:val="TEKSTIIIII"/>
        <w:rPr>
          <w:lang w:val="sq-AL"/>
        </w:rPr>
      </w:pPr>
      <w:r w:rsidRPr="00795698">
        <w:rPr>
          <w:lang w:val="sq-AL"/>
        </w:rPr>
        <w:t xml:space="preserve">- </w:t>
      </w:r>
      <w:r w:rsidR="00893E99" w:rsidRPr="00795698">
        <w:rPr>
          <w:lang w:val="sq-AL"/>
        </w:rPr>
        <w:t>Indeksi rritjes së nivelit të bashkëpunimit bilateral, rajonal dhe ndërkombëtar brenda fushës</w:t>
      </w:r>
    </w:p>
    <w:p w14:paraId="5FEEF92B"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Rezultate të pritshme: </w:t>
      </w:r>
    </w:p>
    <w:p w14:paraId="5FEEF92C" w14:textId="77777777" w:rsidR="00893E99" w:rsidRPr="00795698" w:rsidRDefault="004D4669" w:rsidP="004D4669">
      <w:pPr>
        <w:pStyle w:val="TEKSTIIIII"/>
        <w:rPr>
          <w:lang w:val="sq-AL"/>
        </w:rPr>
      </w:pPr>
      <w:bookmarkStart w:id="67" w:name="_Hlk59672805"/>
      <w:r w:rsidRPr="00795698">
        <w:rPr>
          <w:lang w:val="sq-AL"/>
        </w:rPr>
        <w:t xml:space="preserve">- </w:t>
      </w:r>
      <w:r w:rsidR="00893E99" w:rsidRPr="00795698">
        <w:rPr>
          <w:lang w:val="sq-AL"/>
        </w:rPr>
        <w:t xml:space="preserve">Rritja e numrit të </w:t>
      </w:r>
      <w:bookmarkEnd w:id="67"/>
      <w:r w:rsidR="00893E99" w:rsidRPr="00795698">
        <w:rPr>
          <w:lang w:val="sq-AL"/>
        </w:rPr>
        <w:t xml:space="preserve">takimeve bilaterale, rajonale dhe ndërkombëtare të zhvilluara. </w:t>
      </w:r>
    </w:p>
    <w:p w14:paraId="5FEEF92D" w14:textId="77777777" w:rsidR="00893E99" w:rsidRPr="00795698" w:rsidRDefault="004D4669" w:rsidP="004D4669">
      <w:pPr>
        <w:pStyle w:val="TEKSTIIIII"/>
        <w:rPr>
          <w:lang w:val="sq-AL"/>
        </w:rPr>
      </w:pPr>
      <w:r w:rsidRPr="00795698">
        <w:rPr>
          <w:lang w:val="sq-AL"/>
        </w:rPr>
        <w:lastRenderedPageBreak/>
        <w:t xml:space="preserve">- </w:t>
      </w:r>
      <w:r w:rsidR="00893E99" w:rsidRPr="00795698">
        <w:rPr>
          <w:lang w:val="sq-AL"/>
        </w:rPr>
        <w:t>Rritja e numrit të marrëveshjeve të lidhura për bashkëpunim brenda fushës për shkëmbimin e informacionit.</w:t>
      </w:r>
    </w:p>
    <w:p w14:paraId="5FEEF92E" w14:textId="305FC15E" w:rsidR="00893E99" w:rsidRPr="00795698" w:rsidRDefault="004D4669" w:rsidP="004D4669">
      <w:pPr>
        <w:pStyle w:val="TEKSTIIIII"/>
        <w:rPr>
          <w:lang w:val="sq-AL"/>
        </w:rPr>
      </w:pPr>
      <w:r w:rsidRPr="00795698">
        <w:rPr>
          <w:lang w:val="sq-AL"/>
        </w:rPr>
        <w:t xml:space="preserve">- </w:t>
      </w:r>
      <w:r w:rsidR="00893E99" w:rsidRPr="00795698">
        <w:rPr>
          <w:lang w:val="sq-AL"/>
        </w:rPr>
        <w:t xml:space="preserve">Rritja e pjesëmarrjes në konferenca, </w:t>
      </w:r>
      <w:r w:rsidR="00445D51" w:rsidRPr="00795698">
        <w:rPr>
          <w:lang w:val="sq-AL"/>
        </w:rPr>
        <w:t>w</w:t>
      </w:r>
      <w:r w:rsidR="00893E99" w:rsidRPr="00795698">
        <w:rPr>
          <w:lang w:val="sq-AL"/>
        </w:rPr>
        <w:t>orkshop-e etj. duke sjellë rritjen e nivelit të informimit dhe ekspertizës.</w:t>
      </w:r>
    </w:p>
    <w:p w14:paraId="5FEEF92F" w14:textId="739C2DA4"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68" w:name="_Toc108644283"/>
      <w:r w:rsidRPr="00795698">
        <w:rPr>
          <w:rFonts w:ascii="Garamond" w:hAnsi="Garamond"/>
          <w:b w:val="0"/>
          <w:color w:val="000000" w:themeColor="text1"/>
          <w:sz w:val="24"/>
          <w:szCs w:val="24"/>
        </w:rPr>
        <w:t>QËLLIMI I POLITIKËS 3: NJOHJA E KËRCËNIMEVE TË TERRORIZMIT NË VENDIN TONË PËRMES IDENTIFIKIMIT TË HERSHËM TË GRUPEVE TË SYNUARA DHE METODAVE RADIKALE</w:t>
      </w:r>
      <w:bookmarkEnd w:id="68"/>
    </w:p>
    <w:p w14:paraId="5FEEF930" w14:textId="77777777" w:rsidR="00893E99" w:rsidRPr="00795698" w:rsidRDefault="00893E99" w:rsidP="00893E99">
      <w:pPr>
        <w:pStyle w:val="Heading3"/>
        <w:spacing w:before="0"/>
        <w:ind w:firstLine="284"/>
        <w:jc w:val="both"/>
        <w:rPr>
          <w:rFonts w:ascii="Garamond" w:hAnsi="Garamond"/>
          <w:b w:val="0"/>
          <w:i/>
          <w:color w:val="auto"/>
        </w:rPr>
      </w:pPr>
      <w:bookmarkStart w:id="69" w:name="_Hlk59673575"/>
      <w:bookmarkStart w:id="70" w:name="_Toc108644284"/>
      <w:r w:rsidRPr="00795698">
        <w:rPr>
          <w:rFonts w:ascii="Garamond" w:hAnsi="Garamond"/>
          <w:b w:val="0"/>
          <w:i/>
          <w:color w:val="auto"/>
        </w:rPr>
        <w:t xml:space="preserve">Objektivi specifik 3.1: </w:t>
      </w:r>
      <w:bookmarkEnd w:id="69"/>
      <w:r w:rsidRPr="00795698">
        <w:rPr>
          <w:rFonts w:ascii="Garamond" w:hAnsi="Garamond"/>
          <w:b w:val="0"/>
          <w:i/>
          <w:color w:val="auto"/>
        </w:rPr>
        <w:t>Vlerësimi dhe analizimi i faktorëve që çojnë në radikalizim dhe ekstremizëm të dhunshëm</w:t>
      </w:r>
      <w:bookmarkEnd w:id="70"/>
    </w:p>
    <w:p w14:paraId="5FEEF931"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Masa 3.1.1: </w:t>
      </w:r>
      <w:r w:rsidRPr="00795698">
        <w:rPr>
          <w:rFonts w:ascii="Garamond" w:hAnsi="Garamond"/>
        </w:rPr>
        <w:t>Hartimi i protokolleve dhe sistemeve të ndarjes së informacionit për të mbledhur, sistemuar dhe ndarë të dhëna nga një gamë e gjerë burimesh, me qëllim që të mundësohen reagime dhe përpjekje parandaluese efektive dhe në kohë ndaj ekstremizmit të dhunshëm.</w:t>
      </w:r>
    </w:p>
    <w:p w14:paraId="5FEEF932"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Masa 3.1.2: </w:t>
      </w:r>
      <w:r w:rsidRPr="00795698">
        <w:rPr>
          <w:rFonts w:ascii="Garamond" w:hAnsi="Garamond"/>
        </w:rPr>
        <w:t>Zhvillimi i protokolleve specifike për personat e radikalizuar në Shqipëri, duke iu përshtatur karakteristikave dhe veçorive që mbart ky fenomen në vendin tonë dhe shpërndarja e tyre profesionistëve të vijës së parë, për evidentimin dhe sinjalizimin e hershëm të tyre..</w:t>
      </w:r>
    </w:p>
    <w:p w14:paraId="5FEEF933" w14:textId="7E69904D" w:rsidR="00893E99" w:rsidRPr="00795698" w:rsidRDefault="00893E99" w:rsidP="00893E99">
      <w:pPr>
        <w:pStyle w:val="BodyText"/>
        <w:ind w:firstLine="284"/>
        <w:rPr>
          <w:rFonts w:ascii="Garamond" w:hAnsi="Garamond"/>
          <w:b/>
          <w:bCs/>
        </w:rPr>
      </w:pPr>
      <w:r w:rsidRPr="00795698">
        <w:rPr>
          <w:rFonts w:ascii="Garamond" w:hAnsi="Garamond"/>
          <w:b/>
          <w:bCs/>
        </w:rPr>
        <w:t xml:space="preserve">Masa 3.1.3: </w:t>
      </w:r>
      <w:r w:rsidRPr="00795698">
        <w:rPr>
          <w:rFonts w:ascii="Garamond" w:hAnsi="Garamond"/>
        </w:rPr>
        <w:t>Krijimi i një databaze për rastet e identifikuara dhe mbledhja e të dhënave</w:t>
      </w:r>
      <w:r w:rsidR="007C064A" w:rsidRPr="00795698">
        <w:rPr>
          <w:rFonts w:ascii="Garamond" w:hAnsi="Garamond"/>
        </w:rPr>
        <w:t xml:space="preserve"> </w:t>
      </w:r>
      <w:r w:rsidRPr="00795698">
        <w:rPr>
          <w:rFonts w:ascii="Garamond" w:hAnsi="Garamond"/>
        </w:rPr>
        <w:t>për nxënësit e shkollave që shfaqin sjellje me risk të lartë.</w:t>
      </w:r>
    </w:p>
    <w:p w14:paraId="5FEEF934" w14:textId="77777777" w:rsidR="00893E99" w:rsidRPr="00795698" w:rsidRDefault="00893E99" w:rsidP="00893E99">
      <w:pPr>
        <w:pStyle w:val="BodyText"/>
        <w:ind w:firstLine="284"/>
        <w:rPr>
          <w:rFonts w:ascii="Garamond" w:hAnsi="Garamond"/>
          <w:b/>
          <w:bCs/>
        </w:rPr>
      </w:pPr>
      <w:r w:rsidRPr="00795698">
        <w:rPr>
          <w:rFonts w:ascii="Garamond" w:hAnsi="Garamond"/>
          <w:b/>
          <w:bCs/>
        </w:rPr>
        <w:t>Indikatorë të matshëm:</w:t>
      </w:r>
    </w:p>
    <w:p w14:paraId="5FEEF935" w14:textId="77777777" w:rsidR="00893E99" w:rsidRPr="00795698" w:rsidRDefault="004D4669" w:rsidP="004D4669">
      <w:pPr>
        <w:pStyle w:val="BodyText"/>
        <w:ind w:firstLine="284"/>
        <w:rPr>
          <w:rFonts w:ascii="Garamond" w:hAnsi="Garamond"/>
          <w:b/>
          <w:bCs/>
        </w:rPr>
      </w:pPr>
      <w:r w:rsidRPr="00795698">
        <w:rPr>
          <w:rFonts w:ascii="Garamond" w:hAnsi="Garamond"/>
          <w:b/>
          <w:bCs/>
        </w:rPr>
        <w:t>-</w:t>
      </w:r>
      <w:r w:rsidR="00893E99" w:rsidRPr="00795698">
        <w:rPr>
          <w:rFonts w:ascii="Garamond" w:hAnsi="Garamond"/>
          <w:b/>
          <w:bCs/>
        </w:rPr>
        <w:t xml:space="preserve"> </w:t>
      </w:r>
      <w:r w:rsidR="00893E99" w:rsidRPr="00795698">
        <w:rPr>
          <w:rFonts w:ascii="Garamond" w:hAnsi="Garamond"/>
        </w:rPr>
        <w:t>Indeksi i rritjes së nivelit analitik dhe të përpunimit të informacionit.</w:t>
      </w:r>
    </w:p>
    <w:p w14:paraId="5FEEF936" w14:textId="3849DB0F" w:rsidR="00893E99" w:rsidRPr="00795698" w:rsidRDefault="00893E99" w:rsidP="00893E99">
      <w:pPr>
        <w:pStyle w:val="BodyText"/>
        <w:ind w:firstLine="284"/>
        <w:rPr>
          <w:rFonts w:ascii="Garamond" w:hAnsi="Garamond"/>
          <w:b/>
          <w:bCs/>
        </w:rPr>
      </w:pPr>
      <w:bookmarkStart w:id="71" w:name="_Hlk59673724"/>
      <w:r w:rsidRPr="00795698">
        <w:rPr>
          <w:rFonts w:ascii="Garamond" w:hAnsi="Garamond"/>
          <w:b/>
          <w:bCs/>
        </w:rPr>
        <w:t>Rezultate të pritshme:</w:t>
      </w:r>
      <w:r w:rsidR="007C064A" w:rsidRPr="00795698">
        <w:rPr>
          <w:rFonts w:ascii="Garamond" w:hAnsi="Garamond"/>
          <w:b/>
          <w:bCs/>
        </w:rPr>
        <w:t xml:space="preserve"> </w:t>
      </w:r>
    </w:p>
    <w:p w14:paraId="5FEEF937" w14:textId="77777777" w:rsidR="00893E99" w:rsidRPr="00795698" w:rsidRDefault="002D53A5" w:rsidP="002D53A5">
      <w:pPr>
        <w:pStyle w:val="TEKSTIIIII"/>
        <w:rPr>
          <w:lang w:val="sq-AL"/>
        </w:rPr>
      </w:pPr>
      <w:r w:rsidRPr="00795698">
        <w:rPr>
          <w:lang w:val="sq-AL"/>
        </w:rPr>
        <w:t xml:space="preserve">- </w:t>
      </w:r>
      <w:r w:rsidR="00893E99" w:rsidRPr="00795698">
        <w:rPr>
          <w:lang w:val="sq-AL"/>
        </w:rPr>
        <w:t>Rritja e bashkëpunimit në nivel rajonal dhe ndërkombëtar për identifikimin e faktorëve që çojnë individët drejt radikalizimit dhe ekstremizmit të dhunshëm.</w:t>
      </w:r>
    </w:p>
    <w:p w14:paraId="5FEEF938" w14:textId="77777777" w:rsidR="00893E99" w:rsidRPr="00795698" w:rsidRDefault="002D53A5" w:rsidP="002D53A5">
      <w:pPr>
        <w:pStyle w:val="TEKSTIIIII"/>
        <w:rPr>
          <w:lang w:val="sq-AL"/>
        </w:rPr>
      </w:pPr>
      <w:r w:rsidRPr="00795698">
        <w:rPr>
          <w:lang w:val="sq-AL"/>
        </w:rPr>
        <w:t xml:space="preserve">- </w:t>
      </w:r>
      <w:r w:rsidR="00893E99" w:rsidRPr="00795698">
        <w:rPr>
          <w:lang w:val="sq-AL"/>
        </w:rPr>
        <w:t>Reagime dhe përpjekje parandaluese efektive dhe në kohë ndaj radikalizimit.</w:t>
      </w:r>
    </w:p>
    <w:p w14:paraId="5FEEF939" w14:textId="47C2B56A"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72" w:name="_Toc108644285"/>
      <w:bookmarkEnd w:id="71"/>
      <w:r w:rsidRPr="00795698">
        <w:rPr>
          <w:rFonts w:ascii="Garamond" w:hAnsi="Garamond"/>
          <w:b w:val="0"/>
          <w:color w:val="000000" w:themeColor="text1"/>
          <w:sz w:val="24"/>
          <w:szCs w:val="24"/>
        </w:rPr>
        <w:t>QËLLIMI I POLITIKËS 4: ZGJERIMI I</w:t>
      </w:r>
      <w:r w:rsidR="007C064A" w:rsidRPr="00795698">
        <w:rPr>
          <w:rFonts w:ascii="Garamond" w:hAnsi="Garamond"/>
          <w:b w:val="0"/>
          <w:color w:val="000000" w:themeColor="text1"/>
          <w:sz w:val="24"/>
          <w:szCs w:val="24"/>
        </w:rPr>
        <w:t xml:space="preserve"> </w:t>
      </w:r>
      <w:r w:rsidRPr="00795698">
        <w:rPr>
          <w:rFonts w:ascii="Garamond" w:hAnsi="Garamond"/>
          <w:b w:val="0"/>
          <w:color w:val="000000" w:themeColor="text1"/>
          <w:sz w:val="24"/>
          <w:szCs w:val="24"/>
        </w:rPr>
        <w:t>KAPACITETEVE OPERACIONALE TË POLICISË DHE KAPACITETEVE TË INSTITUCIONEVE TË INTELIGJENCËS</w:t>
      </w:r>
      <w:bookmarkEnd w:id="72"/>
    </w:p>
    <w:p w14:paraId="5FEEF93A" w14:textId="115FA064" w:rsidR="00893E99" w:rsidRPr="00795698" w:rsidRDefault="00893E99" w:rsidP="00445D51">
      <w:pPr>
        <w:pStyle w:val="Heading3"/>
        <w:spacing w:before="0"/>
        <w:ind w:firstLine="284"/>
        <w:jc w:val="both"/>
        <w:rPr>
          <w:rFonts w:ascii="Garamond" w:hAnsi="Garamond"/>
          <w:b w:val="0"/>
          <w:i/>
        </w:rPr>
      </w:pPr>
      <w:bookmarkStart w:id="73" w:name="_Toc108644286"/>
      <w:r w:rsidRPr="00795698">
        <w:rPr>
          <w:rFonts w:ascii="Garamond" w:hAnsi="Garamond"/>
          <w:b w:val="0"/>
          <w:i/>
          <w:color w:val="auto"/>
        </w:rPr>
        <w:t>Objektivi specifik 4.1: Rritja e parandalimit nëpërmjet zhvillimit të vlerësimeve të riskut, analizave dhe kërkimeve për radikalizimin dhe terrorizmin</w:t>
      </w:r>
      <w:bookmarkEnd w:id="73"/>
    </w:p>
    <w:p w14:paraId="5FEEF93B"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 </w:t>
      </w:r>
      <w:bookmarkStart w:id="74" w:name="_Hlk59673641"/>
      <w:r w:rsidRPr="00795698">
        <w:rPr>
          <w:rFonts w:ascii="Garamond" w:hAnsi="Garamond"/>
          <w:b/>
          <w:bCs/>
        </w:rPr>
        <w:t>Masa 4.1.1:</w:t>
      </w:r>
      <w:bookmarkEnd w:id="74"/>
      <w:r w:rsidRPr="00795698">
        <w:rPr>
          <w:rFonts w:ascii="Garamond" w:hAnsi="Garamond"/>
          <w:b/>
          <w:bCs/>
        </w:rPr>
        <w:t xml:space="preserve"> </w:t>
      </w:r>
      <w:r w:rsidRPr="00795698">
        <w:rPr>
          <w:rFonts w:ascii="Garamond" w:hAnsi="Garamond"/>
        </w:rPr>
        <w:t>Kryerja e analizave dhe vlerësimeve të riskut.</w:t>
      </w:r>
    </w:p>
    <w:p w14:paraId="5FEEF93C"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Masa 4.1.2: </w:t>
      </w:r>
      <w:r w:rsidRPr="00795698">
        <w:rPr>
          <w:rFonts w:ascii="Garamond" w:hAnsi="Garamond"/>
        </w:rPr>
        <w:t>Krijimi i profileve të subjekteve të dyshuar për veprimtari radikale/ekstremiste dhe terroriste.</w:t>
      </w:r>
    </w:p>
    <w:p w14:paraId="5FEEF93D" w14:textId="77777777" w:rsidR="00893E99" w:rsidRPr="00795698" w:rsidRDefault="00893E99" w:rsidP="00893E99">
      <w:pPr>
        <w:pStyle w:val="BodyText"/>
        <w:ind w:firstLine="284"/>
        <w:rPr>
          <w:rFonts w:ascii="Garamond" w:hAnsi="Garamond"/>
          <w:b/>
          <w:bCs/>
        </w:rPr>
      </w:pPr>
      <w:r w:rsidRPr="00795698">
        <w:rPr>
          <w:rFonts w:ascii="Garamond" w:hAnsi="Garamond"/>
          <w:b/>
          <w:bCs/>
        </w:rPr>
        <w:t>Indikatorë të matshëm</w:t>
      </w:r>
    </w:p>
    <w:p w14:paraId="5FEEF93E"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kapaciteteve për vlerësimin e riskut nga radikalizimi.</w:t>
      </w:r>
    </w:p>
    <w:p w14:paraId="5FEEF93F" w14:textId="318F11F5" w:rsidR="00893E99" w:rsidRPr="00795698" w:rsidRDefault="00893E99" w:rsidP="00893E99">
      <w:pPr>
        <w:pStyle w:val="BodyText"/>
        <w:ind w:firstLine="284"/>
        <w:rPr>
          <w:rFonts w:ascii="Garamond" w:hAnsi="Garamond"/>
          <w:b/>
          <w:bCs/>
        </w:rPr>
      </w:pPr>
      <w:r w:rsidRPr="00795698">
        <w:rPr>
          <w:rFonts w:ascii="Garamond" w:hAnsi="Garamond"/>
          <w:b/>
          <w:bCs/>
        </w:rPr>
        <w:t>Rezultate të pritshme:</w:t>
      </w:r>
      <w:r w:rsidR="007C064A" w:rsidRPr="00795698">
        <w:rPr>
          <w:rFonts w:ascii="Garamond" w:hAnsi="Garamond"/>
          <w:b/>
          <w:bCs/>
        </w:rPr>
        <w:t xml:space="preserve"> </w:t>
      </w:r>
    </w:p>
    <w:p w14:paraId="5FEEF940" w14:textId="77777777" w:rsidR="00893E99" w:rsidRPr="00795698" w:rsidRDefault="002D53A5" w:rsidP="002D53A5">
      <w:pPr>
        <w:pStyle w:val="TEKSTIIIII"/>
        <w:rPr>
          <w:lang w:val="sq-AL"/>
        </w:rPr>
      </w:pPr>
      <w:r w:rsidRPr="00795698">
        <w:rPr>
          <w:lang w:val="sq-AL"/>
        </w:rPr>
        <w:t xml:space="preserve">- </w:t>
      </w:r>
      <w:r w:rsidR="00893E99" w:rsidRPr="00795698">
        <w:rPr>
          <w:lang w:val="sq-AL"/>
        </w:rPr>
        <w:t xml:space="preserve">Rritja e parandalimit nëpërmjet zhvillimit të vlerësimeve të riskut, analizave dhe kërkimeve për radikalizimin dhe terrorizmin. </w:t>
      </w:r>
    </w:p>
    <w:p w14:paraId="5FEEF941" w14:textId="77777777"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75" w:name="_Toc108644287"/>
      <w:r w:rsidRPr="00795698">
        <w:rPr>
          <w:rFonts w:ascii="Garamond" w:hAnsi="Garamond"/>
          <w:b w:val="0"/>
          <w:color w:val="000000" w:themeColor="text1"/>
          <w:sz w:val="24"/>
          <w:szCs w:val="24"/>
        </w:rPr>
        <w:t>QËLLIMI I POLITIKËS 5: ZHVILLIMI I KOMUNIKIMIT STRATEGJIK</w:t>
      </w:r>
      <w:bookmarkEnd w:id="75"/>
    </w:p>
    <w:p w14:paraId="5FEEF942" w14:textId="77777777" w:rsidR="00893E99" w:rsidRPr="00795698" w:rsidRDefault="00893E99" w:rsidP="00893E99">
      <w:pPr>
        <w:pStyle w:val="Heading3"/>
        <w:spacing w:before="0"/>
        <w:ind w:firstLine="284"/>
        <w:jc w:val="both"/>
        <w:rPr>
          <w:rFonts w:ascii="Garamond" w:hAnsi="Garamond"/>
          <w:b w:val="0"/>
          <w:i/>
          <w:color w:val="auto"/>
        </w:rPr>
      </w:pPr>
      <w:bookmarkStart w:id="76" w:name="_Toc108644288"/>
      <w:r w:rsidRPr="00795698">
        <w:rPr>
          <w:rFonts w:ascii="Garamond" w:hAnsi="Garamond"/>
          <w:b w:val="0"/>
          <w:i/>
          <w:color w:val="auto"/>
        </w:rPr>
        <w:t>Objektivi specifik 5.1: Shkëmbimi i përvojës dhe ekspertizës me vendet e rajonit</w:t>
      </w:r>
      <w:bookmarkEnd w:id="76"/>
    </w:p>
    <w:p w14:paraId="5FEEF943" w14:textId="27FFA8B2" w:rsidR="00893E99" w:rsidRPr="00795698" w:rsidRDefault="00893E99" w:rsidP="00893E99">
      <w:pPr>
        <w:pStyle w:val="BodyText"/>
        <w:ind w:firstLine="284"/>
        <w:rPr>
          <w:rFonts w:ascii="Garamond" w:hAnsi="Garamond"/>
          <w:bCs/>
        </w:rPr>
      </w:pPr>
      <w:bookmarkStart w:id="77" w:name="_Hlk59674519"/>
      <w:r w:rsidRPr="00795698">
        <w:rPr>
          <w:rFonts w:ascii="Garamond" w:hAnsi="Garamond"/>
          <w:b/>
        </w:rPr>
        <w:t>Masa 5.1.1:</w:t>
      </w:r>
      <w:bookmarkEnd w:id="77"/>
      <w:r w:rsidRPr="00795698">
        <w:rPr>
          <w:rFonts w:ascii="Garamond" w:hAnsi="Garamond"/>
          <w:bCs/>
        </w:rPr>
        <w:t xml:space="preserve"> Zhvillimi i takimeve dhe </w:t>
      </w:r>
      <w:r w:rsidR="00445D51" w:rsidRPr="00795698">
        <w:rPr>
          <w:rFonts w:ascii="Garamond" w:hAnsi="Garamond"/>
          <w:bCs/>
        </w:rPr>
        <w:t>web</w:t>
      </w:r>
      <w:r w:rsidRPr="00795698">
        <w:rPr>
          <w:rFonts w:ascii="Garamond" w:hAnsi="Garamond"/>
          <w:bCs/>
        </w:rPr>
        <w:t>inareve të vazhdueshme me profesionistë nga vendet e rajonit për shkëmbimin e eksperiencave.</w:t>
      </w:r>
    </w:p>
    <w:p w14:paraId="5FEEF944" w14:textId="77777777" w:rsidR="00893E99" w:rsidRPr="00795698" w:rsidRDefault="00893E99" w:rsidP="00893E99">
      <w:pPr>
        <w:pStyle w:val="BodyText"/>
        <w:ind w:firstLine="284"/>
        <w:rPr>
          <w:rFonts w:ascii="Garamond" w:hAnsi="Garamond"/>
          <w:b/>
        </w:rPr>
      </w:pPr>
      <w:r w:rsidRPr="00795698">
        <w:rPr>
          <w:rFonts w:ascii="Garamond" w:hAnsi="Garamond"/>
          <w:b/>
        </w:rPr>
        <w:t>Indikatorë të matshëm:</w:t>
      </w:r>
    </w:p>
    <w:p w14:paraId="5FEEF945"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përvojës dhe ekspertizës në fushën e terrorizmit dhe radikalizmit.</w:t>
      </w:r>
    </w:p>
    <w:p w14:paraId="5FEEF946" w14:textId="23FFC4BB" w:rsidR="00893E99" w:rsidRPr="00795698" w:rsidRDefault="00893E99" w:rsidP="00893E99">
      <w:pPr>
        <w:pStyle w:val="Heading3"/>
        <w:spacing w:before="0"/>
        <w:ind w:firstLine="284"/>
        <w:jc w:val="both"/>
        <w:rPr>
          <w:rFonts w:ascii="Garamond" w:hAnsi="Garamond"/>
          <w:b w:val="0"/>
          <w:i/>
          <w:color w:val="auto"/>
        </w:rPr>
      </w:pPr>
      <w:bookmarkStart w:id="78" w:name="_Toc108644289"/>
      <w:r w:rsidRPr="00795698">
        <w:rPr>
          <w:rFonts w:ascii="Garamond" w:hAnsi="Garamond"/>
          <w:b w:val="0"/>
          <w:i/>
          <w:color w:val="auto"/>
        </w:rPr>
        <w:t>Objektivi specifik 5.2: Krijimi i një rrjeti komunikimi të vazhdueshëm për shkëmbimin e informacioneve mes institucioneve dhe strukturave të përfshira me qëllim krijimin e mekanizmave për ndërgjegjësimin mbi terrorizmin dhe ekstremizmin e dhunshëm</w:t>
      </w:r>
      <w:bookmarkEnd w:id="78"/>
    </w:p>
    <w:p w14:paraId="5FEEF947" w14:textId="5FC8A69F" w:rsidR="00893E99" w:rsidRPr="00795698" w:rsidRDefault="00893E99" w:rsidP="00893E99">
      <w:pPr>
        <w:ind w:firstLine="284"/>
        <w:jc w:val="both"/>
        <w:rPr>
          <w:rFonts w:ascii="Garamond" w:hAnsi="Garamond"/>
        </w:rPr>
      </w:pPr>
      <w:r w:rsidRPr="00795698">
        <w:rPr>
          <w:rFonts w:ascii="Garamond" w:hAnsi="Garamond"/>
          <w:b/>
        </w:rPr>
        <w:t xml:space="preserve">Masa 5.2.1: </w:t>
      </w:r>
      <w:r w:rsidRPr="00795698">
        <w:rPr>
          <w:rFonts w:ascii="Garamond" w:hAnsi="Garamond"/>
        </w:rPr>
        <w:t xml:space="preserve">Krijimi i </w:t>
      </w:r>
      <w:r w:rsidR="00C62D65" w:rsidRPr="00795698">
        <w:rPr>
          <w:rFonts w:ascii="Garamond" w:hAnsi="Garamond"/>
        </w:rPr>
        <w:t>kundër</w:t>
      </w:r>
      <w:r w:rsidRPr="00795698">
        <w:rPr>
          <w:rFonts w:ascii="Garamond" w:hAnsi="Garamond"/>
        </w:rPr>
        <w:t>narrativave për terrorizmin dhe ekstremizmin e dhunshëm, duke pasqyruar rreziqet dhe dëmet që këto fenomene i shkaktojnë shoqërisë por edhe trajtimi i grupeve në rrezik dhe shtresave më vulnerabël, për t</w:t>
      </w:r>
      <w:r w:rsidR="00C62D65" w:rsidRPr="00795698">
        <w:rPr>
          <w:rFonts w:ascii="Garamond" w:hAnsi="Garamond"/>
        </w:rPr>
        <w:t>’</w:t>
      </w:r>
      <w:r w:rsidRPr="00795698">
        <w:rPr>
          <w:rFonts w:ascii="Garamond" w:hAnsi="Garamond"/>
        </w:rPr>
        <w:t>u shpërndarë në hapësirat mediatike dhe ato të rrjeteve sociale</w:t>
      </w:r>
    </w:p>
    <w:p w14:paraId="5FEEF948" w14:textId="77777777" w:rsidR="00893E99" w:rsidRPr="00795698" w:rsidRDefault="00893E99" w:rsidP="00893E99">
      <w:pPr>
        <w:ind w:firstLine="284"/>
        <w:jc w:val="both"/>
        <w:rPr>
          <w:rFonts w:ascii="Garamond" w:hAnsi="Garamond"/>
        </w:rPr>
      </w:pPr>
      <w:r w:rsidRPr="00795698">
        <w:rPr>
          <w:rFonts w:ascii="Garamond" w:hAnsi="Garamond"/>
          <w:b/>
        </w:rPr>
        <w:t xml:space="preserve">Masa 5.2.2: </w:t>
      </w:r>
      <w:r w:rsidRPr="00795698">
        <w:rPr>
          <w:rFonts w:ascii="Garamond" w:hAnsi="Garamond"/>
        </w:rPr>
        <w:t>Krijimi i programeve dhe manualeve për ndërgjegjësimin mbi terrorizmin</w:t>
      </w:r>
    </w:p>
    <w:p w14:paraId="5FEEF949" w14:textId="77777777" w:rsidR="00893E99" w:rsidRPr="00795698" w:rsidRDefault="00893E99" w:rsidP="00893E99">
      <w:pPr>
        <w:ind w:firstLine="284"/>
        <w:jc w:val="both"/>
        <w:rPr>
          <w:rFonts w:ascii="Garamond" w:hAnsi="Garamond"/>
        </w:rPr>
      </w:pPr>
      <w:r w:rsidRPr="00795698">
        <w:rPr>
          <w:rFonts w:ascii="Garamond" w:hAnsi="Garamond"/>
          <w:b/>
        </w:rPr>
        <w:lastRenderedPageBreak/>
        <w:t xml:space="preserve">Masa 5.2.3: </w:t>
      </w:r>
      <w:r w:rsidRPr="00795698">
        <w:rPr>
          <w:rFonts w:ascii="Garamond" w:hAnsi="Garamond"/>
        </w:rPr>
        <w:t xml:space="preserve">Ndërgjegjësim pro sjelljeve të shëndetshme dhe minimizimit të prirjes për të përdorur dhunën për zgjidhjen e çdo konflikti duke zhvilluar: </w:t>
      </w:r>
    </w:p>
    <w:p w14:paraId="5FEEF94A" w14:textId="77777777" w:rsidR="00893E99" w:rsidRPr="00795698" w:rsidRDefault="00893E99" w:rsidP="00893E99">
      <w:pPr>
        <w:ind w:firstLine="284"/>
        <w:jc w:val="both"/>
        <w:rPr>
          <w:rFonts w:ascii="Garamond" w:hAnsi="Garamond"/>
        </w:rPr>
      </w:pPr>
      <w:r w:rsidRPr="00795698">
        <w:rPr>
          <w:rFonts w:ascii="Garamond" w:hAnsi="Garamond"/>
        </w:rPr>
        <w:t>- sesione informuese me mësues dhe nxënës, zhvilluara nga përfaqësues të organizatës.</w:t>
      </w:r>
    </w:p>
    <w:p w14:paraId="5FEEF94B" w14:textId="77777777" w:rsidR="00893E99" w:rsidRPr="00795698" w:rsidRDefault="00893E99" w:rsidP="00893E99">
      <w:pPr>
        <w:ind w:firstLine="284"/>
        <w:jc w:val="both"/>
        <w:rPr>
          <w:rFonts w:ascii="Garamond" w:hAnsi="Garamond"/>
        </w:rPr>
      </w:pPr>
      <w:r w:rsidRPr="00795698">
        <w:rPr>
          <w:rFonts w:ascii="Garamond" w:hAnsi="Garamond"/>
        </w:rPr>
        <w:t>- seminare informimi dhe ndërgjegjësimi në klasa.</w:t>
      </w:r>
    </w:p>
    <w:p w14:paraId="5FEEF94C" w14:textId="77777777" w:rsidR="00893E99" w:rsidRPr="00795698" w:rsidRDefault="00893E99" w:rsidP="00893E99">
      <w:pPr>
        <w:ind w:firstLine="284"/>
        <w:jc w:val="both"/>
        <w:rPr>
          <w:rFonts w:ascii="Garamond" w:hAnsi="Garamond"/>
          <w:b/>
        </w:rPr>
      </w:pPr>
      <w:r w:rsidRPr="00795698">
        <w:rPr>
          <w:rFonts w:ascii="Garamond" w:hAnsi="Garamond"/>
          <w:b/>
        </w:rPr>
        <w:t>Masa 5.2.4:</w:t>
      </w:r>
      <w:r w:rsidRPr="00795698">
        <w:rPr>
          <w:rFonts w:ascii="Garamond" w:hAnsi="Garamond"/>
        </w:rPr>
        <w:t xml:space="preserve"> Hartimi i broshurave informuese për prindërit mbi njohjen dhe menaxhimin e shenjave të ekstremizmit të dhunshëm.</w:t>
      </w:r>
    </w:p>
    <w:p w14:paraId="5FEEF94D" w14:textId="0DF18A58" w:rsidR="00893E99" w:rsidRPr="00795698" w:rsidRDefault="00893E99" w:rsidP="00893E99">
      <w:pPr>
        <w:ind w:firstLine="284"/>
        <w:jc w:val="both"/>
        <w:rPr>
          <w:rFonts w:ascii="Garamond" w:hAnsi="Garamond"/>
          <w:b/>
        </w:rPr>
      </w:pPr>
      <w:r w:rsidRPr="00795698">
        <w:rPr>
          <w:rFonts w:ascii="Garamond" w:hAnsi="Garamond"/>
          <w:b/>
        </w:rPr>
        <w:t xml:space="preserve">Masa 5.2.5: </w:t>
      </w:r>
      <w:r w:rsidRPr="00795698">
        <w:rPr>
          <w:rFonts w:ascii="Garamond" w:hAnsi="Garamond"/>
        </w:rPr>
        <w:t>Zhvillimi i aktivitetit informues dhe ndërgjegjësues “Ditë</w:t>
      </w:r>
      <w:r w:rsidR="007C064A" w:rsidRPr="00795698">
        <w:rPr>
          <w:rFonts w:ascii="Garamond" w:hAnsi="Garamond"/>
        </w:rPr>
        <w:t xml:space="preserve"> </w:t>
      </w:r>
      <w:r w:rsidRPr="00795698">
        <w:rPr>
          <w:rFonts w:ascii="Garamond" w:hAnsi="Garamond"/>
        </w:rPr>
        <w:t>e hapur edukative dhe ndërgjegjësuese” me nxënës, mësues, prindër dhe përfaqësues të komunitetit</w:t>
      </w:r>
    </w:p>
    <w:p w14:paraId="5FEEF94E" w14:textId="77777777" w:rsidR="00893E99" w:rsidRPr="00795698" w:rsidRDefault="00893E99" w:rsidP="00893E99">
      <w:pPr>
        <w:ind w:firstLine="284"/>
        <w:jc w:val="both"/>
        <w:rPr>
          <w:rFonts w:ascii="Garamond" w:hAnsi="Garamond"/>
          <w:b/>
        </w:rPr>
      </w:pPr>
      <w:r w:rsidRPr="00795698">
        <w:rPr>
          <w:rFonts w:ascii="Garamond" w:hAnsi="Garamond"/>
          <w:b/>
        </w:rPr>
        <w:t xml:space="preserve">Masa 5.2.6: </w:t>
      </w:r>
      <w:r w:rsidRPr="00795698">
        <w:rPr>
          <w:rFonts w:ascii="Garamond" w:hAnsi="Garamond"/>
        </w:rPr>
        <w:t>Zhvillimi i programit “Njohja me konceptin dhe praktikën e ndërmjetësimit dhe zgjidhjes së konflikteve”</w:t>
      </w:r>
    </w:p>
    <w:p w14:paraId="5FEEF94F" w14:textId="77777777" w:rsidR="00893E99" w:rsidRPr="00795698" w:rsidRDefault="00893E99" w:rsidP="00893E99">
      <w:pPr>
        <w:ind w:firstLine="284"/>
        <w:jc w:val="both"/>
        <w:rPr>
          <w:rFonts w:ascii="Garamond" w:hAnsi="Garamond"/>
          <w:b/>
          <w:bCs/>
        </w:rPr>
      </w:pPr>
      <w:r w:rsidRPr="00795698">
        <w:rPr>
          <w:rFonts w:ascii="Garamond" w:hAnsi="Garamond"/>
          <w:b/>
          <w:bCs/>
        </w:rPr>
        <w:t xml:space="preserve">Indikatorë të matshëm: </w:t>
      </w:r>
    </w:p>
    <w:p w14:paraId="5FEEF950" w14:textId="0815936C"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w:t>
      </w:r>
      <w:r w:rsidR="007C064A" w:rsidRPr="00795698">
        <w:rPr>
          <w:lang w:val="sq-AL"/>
        </w:rPr>
        <w:t xml:space="preserve"> </w:t>
      </w:r>
      <w:r w:rsidR="00893E99" w:rsidRPr="00795698">
        <w:rPr>
          <w:lang w:val="sq-AL"/>
        </w:rPr>
        <w:t>shkallës së informimit dhe ndërgjegjësimit</w:t>
      </w:r>
      <w:r w:rsidR="007C064A" w:rsidRPr="00795698">
        <w:rPr>
          <w:lang w:val="sq-AL"/>
        </w:rPr>
        <w:t xml:space="preserve"> </w:t>
      </w:r>
      <w:r w:rsidR="00893E99" w:rsidRPr="00795698">
        <w:rPr>
          <w:lang w:val="sq-AL"/>
        </w:rPr>
        <w:t>të shtresave vulerabël për ekspozim ndaj radikalizimit që çon në terrorizëm</w:t>
      </w:r>
    </w:p>
    <w:p w14:paraId="5FEEF951" w14:textId="0AA6C887" w:rsidR="00893E99" w:rsidRPr="00795698" w:rsidRDefault="00893E99" w:rsidP="00893E99">
      <w:pPr>
        <w:pStyle w:val="Heading3"/>
        <w:spacing w:before="0"/>
        <w:ind w:firstLine="284"/>
        <w:jc w:val="both"/>
        <w:rPr>
          <w:rFonts w:ascii="Garamond" w:hAnsi="Garamond"/>
          <w:b w:val="0"/>
          <w:i/>
          <w:color w:val="auto"/>
        </w:rPr>
      </w:pPr>
      <w:bookmarkStart w:id="79" w:name="_Toc108644290"/>
      <w:r w:rsidRPr="00795698">
        <w:rPr>
          <w:rFonts w:ascii="Garamond" w:hAnsi="Garamond"/>
          <w:b w:val="0"/>
          <w:i/>
          <w:color w:val="auto"/>
        </w:rPr>
        <w:t xml:space="preserve">Objektivi </w:t>
      </w:r>
      <w:r w:rsidR="00CA234B" w:rsidRPr="00795698">
        <w:rPr>
          <w:rFonts w:ascii="Garamond" w:hAnsi="Garamond"/>
          <w:b w:val="0"/>
          <w:i/>
          <w:color w:val="auto"/>
        </w:rPr>
        <w:t>s</w:t>
      </w:r>
      <w:r w:rsidRPr="00795698">
        <w:rPr>
          <w:rFonts w:ascii="Garamond" w:hAnsi="Garamond"/>
          <w:b w:val="0"/>
          <w:i/>
          <w:color w:val="auto"/>
        </w:rPr>
        <w:t xml:space="preserve">pecifik 5.3: Komunikimi strategjik dhe </w:t>
      </w:r>
      <w:r w:rsidR="00C62D65" w:rsidRPr="00795698">
        <w:rPr>
          <w:rFonts w:ascii="Garamond" w:hAnsi="Garamond"/>
          <w:b w:val="0"/>
          <w:i/>
          <w:color w:val="auto"/>
        </w:rPr>
        <w:t>kundër</w:t>
      </w:r>
      <w:r w:rsidRPr="00795698">
        <w:rPr>
          <w:rFonts w:ascii="Garamond" w:hAnsi="Garamond"/>
          <w:b w:val="0"/>
          <w:i/>
          <w:color w:val="auto"/>
        </w:rPr>
        <w:t>narrativa online e ekstremizmit të dhunshëm</w:t>
      </w:r>
      <w:r w:rsidR="007C064A" w:rsidRPr="00795698">
        <w:rPr>
          <w:rFonts w:ascii="Garamond" w:hAnsi="Garamond"/>
          <w:b w:val="0"/>
          <w:i/>
          <w:color w:val="auto"/>
        </w:rPr>
        <w:t xml:space="preserve"> </w:t>
      </w:r>
      <w:r w:rsidRPr="00795698">
        <w:rPr>
          <w:rFonts w:ascii="Garamond" w:hAnsi="Garamond"/>
          <w:b w:val="0"/>
          <w:i/>
          <w:color w:val="auto"/>
        </w:rPr>
        <w:t>dhe radikalizmit</w:t>
      </w:r>
      <w:bookmarkEnd w:id="79"/>
      <w:r w:rsidRPr="00795698">
        <w:rPr>
          <w:rFonts w:ascii="Garamond" w:hAnsi="Garamond"/>
          <w:b w:val="0"/>
          <w:i/>
          <w:color w:val="auto"/>
        </w:rPr>
        <w:t xml:space="preserve"> (sipas Planit të Veprimit për Parandalimin e Ekstremizmit të Dhunshëm objektivi specifik</w:t>
      </w:r>
      <w:r w:rsidR="00CA234B" w:rsidRPr="00795698">
        <w:rPr>
          <w:rFonts w:ascii="Garamond" w:hAnsi="Garamond"/>
          <w:b w:val="0"/>
          <w:i/>
          <w:color w:val="auto"/>
        </w:rPr>
        <w:t xml:space="preserve"> nr. 2.1 me masat 2.1.1-2.1.28)</w:t>
      </w:r>
    </w:p>
    <w:p w14:paraId="5FEEF952" w14:textId="77777777" w:rsidR="00893E99" w:rsidRPr="00795698" w:rsidRDefault="00893E99" w:rsidP="00893E99">
      <w:pPr>
        <w:pStyle w:val="BodyText"/>
        <w:ind w:firstLine="284"/>
        <w:rPr>
          <w:rFonts w:ascii="Garamond" w:hAnsi="Garamond"/>
        </w:rPr>
      </w:pPr>
      <w:r w:rsidRPr="00795698">
        <w:rPr>
          <w:rFonts w:ascii="Garamond" w:hAnsi="Garamond"/>
          <w:b/>
        </w:rPr>
        <w:t>Masa 5.3.1:</w:t>
      </w:r>
      <w:r w:rsidRPr="00795698">
        <w:rPr>
          <w:rFonts w:ascii="Garamond" w:hAnsi="Garamond"/>
        </w:rPr>
        <w:t xml:space="preserve"> Zhvillimi i anketimeve, mbledhja dhe shkëmbimi i të dhënave nga QKEDH për identifikimin e faktorëve të përhapjes së fenomenit radikalizmit dhe ekstremizmit të dhunshëm online në bashkëpunim me organizatat e shoqërisë civile.</w:t>
      </w:r>
    </w:p>
    <w:p w14:paraId="5FEEF953" w14:textId="77777777" w:rsidR="00893E99" w:rsidRPr="00795698" w:rsidRDefault="00893E99" w:rsidP="00893E99">
      <w:pPr>
        <w:pStyle w:val="BodyText"/>
        <w:ind w:firstLine="284"/>
        <w:rPr>
          <w:rFonts w:ascii="Garamond" w:hAnsi="Garamond"/>
        </w:rPr>
      </w:pPr>
      <w:r w:rsidRPr="00795698">
        <w:rPr>
          <w:rFonts w:ascii="Garamond" w:hAnsi="Garamond"/>
          <w:b/>
        </w:rPr>
        <w:t>Masa 5.3.2:</w:t>
      </w:r>
      <w:r w:rsidRPr="00795698">
        <w:rPr>
          <w:rFonts w:ascii="Garamond" w:hAnsi="Garamond"/>
        </w:rPr>
        <w:t xml:space="preserve"> Publikime të raporteve vjetore në faqen zyrtare të QKEDH-së.</w:t>
      </w:r>
    </w:p>
    <w:p w14:paraId="5FEEF954" w14:textId="77777777" w:rsidR="00893E99" w:rsidRPr="00795698" w:rsidRDefault="00893E99" w:rsidP="00893E99">
      <w:pPr>
        <w:pStyle w:val="BodyText"/>
        <w:ind w:firstLine="284"/>
        <w:rPr>
          <w:rFonts w:ascii="Garamond" w:hAnsi="Garamond"/>
        </w:rPr>
      </w:pPr>
      <w:r w:rsidRPr="00795698">
        <w:rPr>
          <w:rFonts w:ascii="Garamond" w:hAnsi="Garamond"/>
          <w:b/>
        </w:rPr>
        <w:t>Masa 5.3.3:</w:t>
      </w:r>
      <w:r w:rsidRPr="00795698">
        <w:rPr>
          <w:rFonts w:ascii="Garamond" w:hAnsi="Garamond"/>
        </w:rPr>
        <w:t xml:space="preserve"> Organizimi i seminareve, forumeve dhe konferencave.</w:t>
      </w:r>
    </w:p>
    <w:p w14:paraId="5FEEF955" w14:textId="77777777" w:rsidR="00893E99" w:rsidRPr="00795698" w:rsidRDefault="00893E99" w:rsidP="00893E99">
      <w:pPr>
        <w:pStyle w:val="BodyText"/>
        <w:ind w:firstLine="284"/>
        <w:rPr>
          <w:rFonts w:ascii="Garamond" w:hAnsi="Garamond"/>
        </w:rPr>
      </w:pPr>
      <w:r w:rsidRPr="00795698">
        <w:rPr>
          <w:rFonts w:ascii="Garamond" w:hAnsi="Garamond"/>
          <w:b/>
        </w:rPr>
        <w:t>Masa 5.3.4:</w:t>
      </w:r>
      <w:r w:rsidRPr="00795698">
        <w:rPr>
          <w:rFonts w:ascii="Garamond" w:hAnsi="Garamond"/>
        </w:rPr>
        <w:t xml:space="preserve"> Zhvillimi i trajnimeve me gazetarët. </w:t>
      </w:r>
    </w:p>
    <w:p w14:paraId="5FEEF956" w14:textId="1BFDFF3B" w:rsidR="00893E99" w:rsidRPr="00795698" w:rsidRDefault="00893E99" w:rsidP="00893E99">
      <w:pPr>
        <w:pStyle w:val="BodyText"/>
        <w:ind w:firstLine="284"/>
        <w:rPr>
          <w:rFonts w:ascii="Garamond" w:hAnsi="Garamond"/>
        </w:rPr>
      </w:pPr>
      <w:r w:rsidRPr="00795698">
        <w:rPr>
          <w:rFonts w:ascii="Garamond" w:hAnsi="Garamond"/>
          <w:b/>
        </w:rPr>
        <w:t>Masa 5.3.5:</w:t>
      </w:r>
      <w:r w:rsidRPr="00795698">
        <w:rPr>
          <w:rFonts w:ascii="Garamond" w:hAnsi="Garamond"/>
        </w:rPr>
        <w:t xml:space="preserve"> Zhvillimi i tryezave të </w:t>
      </w:r>
      <w:r w:rsidR="00CA234B" w:rsidRPr="00795698">
        <w:rPr>
          <w:rFonts w:ascii="Garamond" w:hAnsi="Garamond"/>
        </w:rPr>
        <w:t>rrumbullakëta</w:t>
      </w:r>
      <w:r w:rsidRPr="00795698">
        <w:rPr>
          <w:rFonts w:ascii="Garamond" w:hAnsi="Garamond"/>
        </w:rPr>
        <w:t xml:space="preserve"> të diskutimit.</w:t>
      </w:r>
    </w:p>
    <w:p w14:paraId="5FEEF957" w14:textId="77777777" w:rsidR="00893E99" w:rsidRPr="00795698" w:rsidRDefault="00893E99" w:rsidP="00893E99">
      <w:pPr>
        <w:pStyle w:val="BodyText"/>
        <w:ind w:firstLine="284"/>
        <w:rPr>
          <w:rFonts w:ascii="Garamond" w:hAnsi="Garamond"/>
        </w:rPr>
      </w:pPr>
      <w:r w:rsidRPr="00795698">
        <w:rPr>
          <w:rFonts w:ascii="Garamond" w:hAnsi="Garamond"/>
          <w:b/>
        </w:rPr>
        <w:t>Masa 5.3.6:</w:t>
      </w:r>
      <w:r w:rsidRPr="00795698">
        <w:rPr>
          <w:rFonts w:ascii="Garamond" w:hAnsi="Garamond"/>
        </w:rPr>
        <w:t xml:space="preserve"> Kryerja e vizitave në terren.</w:t>
      </w:r>
    </w:p>
    <w:p w14:paraId="5FEEF958" w14:textId="77777777" w:rsidR="00893E99" w:rsidRPr="00795698" w:rsidRDefault="00893E99" w:rsidP="00893E99">
      <w:pPr>
        <w:pStyle w:val="BodyText"/>
        <w:ind w:firstLine="284"/>
        <w:rPr>
          <w:rFonts w:ascii="Garamond" w:hAnsi="Garamond"/>
        </w:rPr>
      </w:pPr>
      <w:r w:rsidRPr="00795698">
        <w:rPr>
          <w:rFonts w:ascii="Garamond" w:hAnsi="Garamond"/>
          <w:b/>
        </w:rPr>
        <w:t>Masa 5.3.7:</w:t>
      </w:r>
      <w:r w:rsidRPr="00795698">
        <w:rPr>
          <w:rFonts w:ascii="Garamond" w:hAnsi="Garamond"/>
        </w:rPr>
        <w:t xml:space="preserve"> Organizimi i takimeve rajonale. </w:t>
      </w:r>
    </w:p>
    <w:p w14:paraId="5FEEF959" w14:textId="77777777" w:rsidR="00893E99" w:rsidRPr="00795698" w:rsidRDefault="00893E99" w:rsidP="00893E99">
      <w:pPr>
        <w:pStyle w:val="BodyText"/>
        <w:ind w:firstLine="284"/>
        <w:rPr>
          <w:rFonts w:ascii="Garamond" w:hAnsi="Garamond"/>
        </w:rPr>
      </w:pPr>
      <w:r w:rsidRPr="00795698">
        <w:rPr>
          <w:rFonts w:ascii="Garamond" w:hAnsi="Garamond"/>
          <w:b/>
        </w:rPr>
        <w:t>Masa 5.3.8:</w:t>
      </w:r>
      <w:r w:rsidRPr="00795698">
        <w:rPr>
          <w:rFonts w:ascii="Garamond" w:hAnsi="Garamond"/>
        </w:rPr>
        <w:t xml:space="preserve"> Organizimi i forumeve me dëgjesa publike dhe histori njerëzore.</w:t>
      </w:r>
    </w:p>
    <w:p w14:paraId="5FEEF95A" w14:textId="77777777" w:rsidR="00893E99" w:rsidRPr="00795698" w:rsidRDefault="00893E99" w:rsidP="00893E99">
      <w:pPr>
        <w:pStyle w:val="BodyText"/>
        <w:ind w:firstLine="284"/>
        <w:rPr>
          <w:rFonts w:ascii="Garamond" w:hAnsi="Garamond"/>
        </w:rPr>
      </w:pPr>
      <w:r w:rsidRPr="00795698">
        <w:rPr>
          <w:rFonts w:ascii="Garamond" w:hAnsi="Garamond"/>
          <w:b/>
        </w:rPr>
        <w:t>Masa 5.3.9:</w:t>
      </w:r>
      <w:r w:rsidRPr="00795698">
        <w:rPr>
          <w:rFonts w:ascii="Garamond" w:hAnsi="Garamond"/>
        </w:rPr>
        <w:t xml:space="preserve"> Zhvillimi i takimeve me rrjetin e koordinatorëve dhe aktorët e përfshirë për çështjet e parandalimit të radikalizmit dhe ekstremizmit të dhunshëm.</w:t>
      </w:r>
    </w:p>
    <w:p w14:paraId="5FEEF95B" w14:textId="77777777" w:rsidR="00893E99" w:rsidRPr="00795698" w:rsidRDefault="00893E99" w:rsidP="00893E99">
      <w:pPr>
        <w:pStyle w:val="BodyText"/>
        <w:ind w:firstLine="284"/>
        <w:rPr>
          <w:rFonts w:ascii="Garamond" w:hAnsi="Garamond"/>
        </w:rPr>
      </w:pPr>
      <w:r w:rsidRPr="00795698">
        <w:rPr>
          <w:rFonts w:ascii="Garamond" w:hAnsi="Garamond"/>
          <w:b/>
        </w:rPr>
        <w:t>Masa 5.3.10:</w:t>
      </w:r>
      <w:r w:rsidRPr="00795698">
        <w:rPr>
          <w:rFonts w:ascii="Garamond" w:hAnsi="Garamond"/>
        </w:rPr>
        <w:t xml:space="preserve"> Organizimi i ekspozitës me imazhe (Video/Audio).</w:t>
      </w:r>
    </w:p>
    <w:p w14:paraId="5FEEF95C" w14:textId="77777777" w:rsidR="00893E99" w:rsidRPr="00795698" w:rsidRDefault="00893E99" w:rsidP="00893E99">
      <w:pPr>
        <w:pStyle w:val="BodyText"/>
        <w:ind w:firstLine="284"/>
        <w:rPr>
          <w:rFonts w:ascii="Garamond" w:hAnsi="Garamond"/>
        </w:rPr>
      </w:pPr>
      <w:r w:rsidRPr="00795698">
        <w:rPr>
          <w:rFonts w:ascii="Garamond" w:hAnsi="Garamond"/>
          <w:b/>
        </w:rPr>
        <w:t>Masa 5.3.11:</w:t>
      </w:r>
      <w:r w:rsidRPr="00795698">
        <w:rPr>
          <w:rFonts w:ascii="Garamond" w:hAnsi="Garamond"/>
        </w:rPr>
        <w:t xml:space="preserve"> Zhvillimi i aktiviteteve informuese dhe edukuese në institucionet e arsimit parauniversitar.</w:t>
      </w:r>
    </w:p>
    <w:p w14:paraId="5FEEF95D" w14:textId="77777777" w:rsidR="00893E99" w:rsidRPr="00795698" w:rsidRDefault="00893E99" w:rsidP="00893E99">
      <w:pPr>
        <w:pStyle w:val="BodyText"/>
        <w:ind w:firstLine="284"/>
        <w:rPr>
          <w:rFonts w:ascii="Garamond" w:hAnsi="Garamond"/>
        </w:rPr>
      </w:pPr>
      <w:r w:rsidRPr="00795698">
        <w:rPr>
          <w:rFonts w:ascii="Garamond" w:hAnsi="Garamond"/>
          <w:b/>
        </w:rPr>
        <w:t>Masa 5.3.12:</w:t>
      </w:r>
      <w:r w:rsidRPr="00795698">
        <w:rPr>
          <w:rFonts w:ascii="Garamond" w:hAnsi="Garamond"/>
        </w:rPr>
        <w:t xml:space="preserve"> Zhvillimi i sesioneve informuese, të parë në këndvështrimin gjinor, me pjesëmarrje të prindërve/komunitetit/nxënësve për njohjen e shenjave të hershme të ekstremizmit dhe radikalizmit.</w:t>
      </w:r>
    </w:p>
    <w:p w14:paraId="5FEEF95E" w14:textId="77777777" w:rsidR="00893E99" w:rsidRPr="00795698" w:rsidRDefault="00893E99" w:rsidP="00893E99">
      <w:pPr>
        <w:pStyle w:val="BodyText"/>
        <w:ind w:firstLine="284"/>
        <w:rPr>
          <w:rFonts w:ascii="Garamond" w:hAnsi="Garamond"/>
        </w:rPr>
      </w:pPr>
      <w:r w:rsidRPr="00795698">
        <w:rPr>
          <w:rFonts w:ascii="Garamond" w:hAnsi="Garamond"/>
          <w:b/>
        </w:rPr>
        <w:t>Masa 5.3.13:</w:t>
      </w:r>
      <w:r w:rsidRPr="00795698">
        <w:rPr>
          <w:rFonts w:ascii="Garamond" w:hAnsi="Garamond"/>
        </w:rPr>
        <w:t xml:space="preserve"> Zhvillimi i sesioneve informuese/ndërgjegjësuese me qasje multisektoriale duke përfshirë aktorë të institucioneve të ndryshme në nivel lokal/rajonal në varësi të MSHMS-së, me qëllim njohjen e shenjave të hershme të radikalizmit dhe ekstremizmit të dhunshëm.</w:t>
      </w:r>
    </w:p>
    <w:p w14:paraId="5FEEF95F" w14:textId="77777777" w:rsidR="00893E99" w:rsidRPr="00795698" w:rsidRDefault="00893E99" w:rsidP="00893E99">
      <w:pPr>
        <w:pStyle w:val="BodyText"/>
        <w:ind w:firstLine="284"/>
        <w:rPr>
          <w:rFonts w:ascii="Garamond" w:hAnsi="Garamond"/>
        </w:rPr>
      </w:pPr>
      <w:r w:rsidRPr="00795698">
        <w:rPr>
          <w:rFonts w:ascii="Garamond" w:hAnsi="Garamond"/>
          <w:b/>
        </w:rPr>
        <w:t>Masa 5.3.14:</w:t>
      </w:r>
      <w:r w:rsidRPr="00795698">
        <w:rPr>
          <w:rFonts w:ascii="Garamond" w:hAnsi="Garamond"/>
        </w:rPr>
        <w:t xml:space="preserve"> Zhvillimi i leksioneve të hapura në auditorët e universiteteve në kuadër të marrëveshjes me Rektoratin e Universitetit të Tiranës.</w:t>
      </w:r>
    </w:p>
    <w:p w14:paraId="5FEEF960" w14:textId="77777777" w:rsidR="00893E99" w:rsidRPr="00795698" w:rsidRDefault="00893E99" w:rsidP="00893E99">
      <w:pPr>
        <w:pStyle w:val="BodyText"/>
        <w:ind w:firstLine="284"/>
        <w:rPr>
          <w:rFonts w:ascii="Garamond" w:hAnsi="Garamond"/>
        </w:rPr>
      </w:pPr>
      <w:r w:rsidRPr="00795698">
        <w:rPr>
          <w:rFonts w:ascii="Garamond" w:hAnsi="Garamond"/>
          <w:b/>
        </w:rPr>
        <w:t>Masa 5.3.15:</w:t>
      </w:r>
      <w:r w:rsidRPr="00795698">
        <w:rPr>
          <w:rFonts w:ascii="Garamond" w:hAnsi="Garamond"/>
        </w:rPr>
        <w:t xml:space="preserve"> Përfshirja në mënyre aktive e nxënësve me rrezik radikalizimi të ciklit parauniversitar në aktivitete ekstrakurrikulare dhe shkollore ku trajtohen, thellohen në mënyre kreative tematikat e parandalimit të radikalizmit dhe luftimit të ekstremizmit të dhunshëm. </w:t>
      </w:r>
    </w:p>
    <w:p w14:paraId="5FEEF961" w14:textId="77777777" w:rsidR="00893E99" w:rsidRPr="00795698" w:rsidRDefault="00893E99" w:rsidP="00893E99">
      <w:pPr>
        <w:pStyle w:val="BodyText"/>
        <w:ind w:firstLine="284"/>
        <w:rPr>
          <w:rFonts w:ascii="Garamond" w:hAnsi="Garamond"/>
        </w:rPr>
      </w:pPr>
      <w:r w:rsidRPr="00795698">
        <w:rPr>
          <w:rFonts w:ascii="Garamond" w:hAnsi="Garamond"/>
          <w:b/>
        </w:rPr>
        <w:t>Masa 5.3.16:</w:t>
      </w:r>
      <w:r w:rsidRPr="00795698">
        <w:rPr>
          <w:rFonts w:ascii="Garamond" w:hAnsi="Garamond"/>
        </w:rPr>
        <w:t xml:space="preserve"> Promovimi i “LINJËS SË KUQE” dhe raportimit për përmbajtje të paligjshme dhe propagandim të akteve të dhunës.</w:t>
      </w:r>
    </w:p>
    <w:p w14:paraId="5FEEF962" w14:textId="77777777" w:rsidR="00893E99" w:rsidRPr="00795698" w:rsidRDefault="00893E99" w:rsidP="00893E99">
      <w:pPr>
        <w:pStyle w:val="BodyText"/>
        <w:ind w:firstLine="284"/>
        <w:rPr>
          <w:rFonts w:ascii="Garamond" w:hAnsi="Garamond"/>
        </w:rPr>
      </w:pPr>
      <w:r w:rsidRPr="00795698">
        <w:rPr>
          <w:rFonts w:ascii="Garamond" w:hAnsi="Garamond"/>
          <w:b/>
        </w:rPr>
        <w:t>Masa 5.3.17:</w:t>
      </w:r>
      <w:r w:rsidRPr="00795698">
        <w:rPr>
          <w:rFonts w:ascii="Garamond" w:hAnsi="Garamond"/>
        </w:rPr>
        <w:t xml:space="preserve"> Informimi dhe ndërgjegjësimi i personave që trajtohen në sistemin e burgjeve dhe shërbimin e provës në lidhje me ekstremizmin e dhunshëm dhe radikalizmin që çon në terrorizëm.</w:t>
      </w:r>
    </w:p>
    <w:p w14:paraId="5FEEF963" w14:textId="77777777" w:rsidR="00893E99" w:rsidRPr="00795698" w:rsidRDefault="00893E99" w:rsidP="00893E99">
      <w:pPr>
        <w:pStyle w:val="BodyText"/>
        <w:ind w:firstLine="284"/>
        <w:rPr>
          <w:rFonts w:ascii="Garamond" w:hAnsi="Garamond"/>
        </w:rPr>
      </w:pPr>
      <w:r w:rsidRPr="00795698">
        <w:rPr>
          <w:rFonts w:ascii="Garamond" w:hAnsi="Garamond"/>
          <w:b/>
        </w:rPr>
        <w:t>Masa 5.3.18:</w:t>
      </w:r>
      <w:r w:rsidRPr="00795698">
        <w:rPr>
          <w:rFonts w:ascii="Garamond" w:hAnsi="Garamond"/>
        </w:rPr>
        <w:t xml:space="preserve"> Ndërgjegjësimi i personelit të FARSH për rrezikun e ekstremizmit të dhunshëm, shenjat e hershme të radikalizimit, dhe kategoritë që janë më të rrezikuara nga ky fenomen.</w:t>
      </w:r>
    </w:p>
    <w:p w14:paraId="5FEEF964" w14:textId="32882B33" w:rsidR="00893E99" w:rsidRPr="00795698" w:rsidRDefault="00893E99" w:rsidP="00893E99">
      <w:pPr>
        <w:pStyle w:val="BodyText"/>
        <w:ind w:firstLine="284"/>
        <w:rPr>
          <w:rFonts w:ascii="Garamond" w:hAnsi="Garamond"/>
        </w:rPr>
      </w:pPr>
      <w:r w:rsidRPr="00795698">
        <w:rPr>
          <w:rFonts w:ascii="Garamond" w:hAnsi="Garamond"/>
          <w:b/>
        </w:rPr>
        <w:lastRenderedPageBreak/>
        <w:t>Masa 5.3.19:</w:t>
      </w:r>
      <w:r w:rsidRPr="00795698">
        <w:rPr>
          <w:rFonts w:ascii="Garamond" w:hAnsi="Garamond"/>
        </w:rPr>
        <w:t xml:space="preserve"> Zhvillimi i sesioneve informuese dhe trajnuese me drejtuesit e institucioneve arsimore parauniversitare, mësuesit, psikologun, oficerin e sigurisë në shkollë ose punonjësin social të shkollës për ndërgjegjësim dhe aftësim për parandalimin e ekstremizmit të dhunshëm dhe identifikimin e shenjave të hershme të ekstremizmit dhe radikalizimit te nxënësit.</w:t>
      </w:r>
    </w:p>
    <w:p w14:paraId="5FEEF965" w14:textId="2BA00F22" w:rsidR="00893E99" w:rsidRPr="00795698" w:rsidRDefault="00893E99" w:rsidP="00893E99">
      <w:pPr>
        <w:pStyle w:val="BodyText"/>
        <w:ind w:firstLine="284"/>
        <w:rPr>
          <w:rFonts w:ascii="Garamond" w:hAnsi="Garamond"/>
        </w:rPr>
      </w:pPr>
      <w:r w:rsidRPr="00795698">
        <w:rPr>
          <w:rFonts w:ascii="Garamond" w:hAnsi="Garamond"/>
          <w:b/>
        </w:rPr>
        <w:t>Masa 5.3.20:</w:t>
      </w:r>
      <w:r w:rsidRPr="00795698">
        <w:rPr>
          <w:rFonts w:ascii="Garamond" w:hAnsi="Garamond"/>
        </w:rPr>
        <w:t xml:space="preserve"> Sensibilizimi i bizneseve dhe komunitetit në tërësi me qëllim që të jenë më të hapur dhe </w:t>
      </w:r>
      <w:r w:rsidR="00B4110E" w:rsidRPr="00795698">
        <w:rPr>
          <w:rFonts w:ascii="Garamond" w:hAnsi="Garamond"/>
        </w:rPr>
        <w:t>jo</w:t>
      </w:r>
      <w:r w:rsidRPr="00795698">
        <w:rPr>
          <w:rFonts w:ascii="Garamond" w:hAnsi="Garamond"/>
        </w:rPr>
        <w:t>paragjykues ndaj personave të radikalizuar dhe individëve të kthyer nga vendet e konfliktit në lidhje me çështje të punësimit.</w:t>
      </w:r>
    </w:p>
    <w:p w14:paraId="5FEEF966" w14:textId="77777777" w:rsidR="00893E99" w:rsidRPr="00795698" w:rsidRDefault="00893E99" w:rsidP="00893E99">
      <w:pPr>
        <w:pStyle w:val="BodyText"/>
        <w:ind w:firstLine="284"/>
        <w:rPr>
          <w:rFonts w:ascii="Garamond" w:hAnsi="Garamond"/>
        </w:rPr>
      </w:pPr>
      <w:r w:rsidRPr="00795698">
        <w:rPr>
          <w:rFonts w:ascii="Garamond" w:hAnsi="Garamond"/>
          <w:b/>
        </w:rPr>
        <w:t>Masa 5.3.21:</w:t>
      </w:r>
      <w:r w:rsidRPr="00795698">
        <w:rPr>
          <w:rFonts w:ascii="Garamond" w:hAnsi="Garamond"/>
        </w:rPr>
        <w:t xml:space="preserve"> Komunikim ndërinstitucional për ofrimin e një sërë shërbimesh sociale, shëndetësore (fizike dhe psikologjike), arsimore parauniversitare (arsimi formal dhe joformal), zhvillim profesional.</w:t>
      </w:r>
    </w:p>
    <w:p w14:paraId="5FEEF967" w14:textId="7E65666A" w:rsidR="00893E99" w:rsidRPr="00795698" w:rsidRDefault="00893E99" w:rsidP="00893E99">
      <w:pPr>
        <w:pStyle w:val="BodyText"/>
        <w:ind w:firstLine="284"/>
        <w:rPr>
          <w:rFonts w:ascii="Garamond" w:hAnsi="Garamond"/>
        </w:rPr>
      </w:pPr>
      <w:r w:rsidRPr="00795698">
        <w:rPr>
          <w:rFonts w:ascii="Garamond" w:hAnsi="Garamond"/>
          <w:b/>
        </w:rPr>
        <w:t>Masa 5.3.22:</w:t>
      </w:r>
      <w:r w:rsidRPr="00795698">
        <w:rPr>
          <w:rFonts w:ascii="Garamond" w:hAnsi="Garamond"/>
        </w:rPr>
        <w:t xml:space="preserve"> Mbulimi në mediumet tradicionale: </w:t>
      </w:r>
      <w:r w:rsidR="00CA234B" w:rsidRPr="00795698">
        <w:rPr>
          <w:rFonts w:ascii="Garamond" w:hAnsi="Garamond"/>
        </w:rPr>
        <w:t>televizionet dhe radio</w:t>
      </w:r>
      <w:r w:rsidRPr="00795698">
        <w:rPr>
          <w:rFonts w:ascii="Garamond" w:hAnsi="Garamond"/>
        </w:rPr>
        <w:t>.</w:t>
      </w:r>
    </w:p>
    <w:p w14:paraId="5FEEF968" w14:textId="53684F36" w:rsidR="00893E99" w:rsidRPr="00795698" w:rsidRDefault="00893E99" w:rsidP="00893E99">
      <w:pPr>
        <w:pStyle w:val="BodyText"/>
        <w:ind w:firstLine="284"/>
        <w:rPr>
          <w:rFonts w:ascii="Garamond" w:hAnsi="Garamond"/>
        </w:rPr>
      </w:pPr>
      <w:r w:rsidRPr="00795698">
        <w:rPr>
          <w:rFonts w:ascii="Garamond" w:hAnsi="Garamond"/>
          <w:b/>
        </w:rPr>
        <w:t>Masa 5.3.23:</w:t>
      </w:r>
      <w:r w:rsidRPr="00795698">
        <w:rPr>
          <w:rFonts w:ascii="Garamond" w:hAnsi="Garamond"/>
        </w:rPr>
        <w:t xml:space="preserve"> Mbulimi në mediumet e tjera tradicionale dhe online: </w:t>
      </w:r>
      <w:r w:rsidR="00CA234B" w:rsidRPr="00795698">
        <w:rPr>
          <w:rFonts w:ascii="Garamond" w:hAnsi="Garamond"/>
        </w:rPr>
        <w:t>g</w:t>
      </w:r>
      <w:r w:rsidRPr="00795698">
        <w:rPr>
          <w:rFonts w:ascii="Garamond" w:hAnsi="Garamond"/>
        </w:rPr>
        <w:t>azetat, revistat dhe mediat (portalet) online.</w:t>
      </w:r>
    </w:p>
    <w:p w14:paraId="5FEEF969" w14:textId="77777777" w:rsidR="00893E99" w:rsidRPr="00795698" w:rsidRDefault="00893E99" w:rsidP="00893E99">
      <w:pPr>
        <w:pStyle w:val="BodyText"/>
        <w:ind w:firstLine="284"/>
        <w:rPr>
          <w:rFonts w:ascii="Garamond" w:hAnsi="Garamond"/>
        </w:rPr>
      </w:pPr>
      <w:r w:rsidRPr="00795698">
        <w:rPr>
          <w:rFonts w:ascii="Garamond" w:hAnsi="Garamond"/>
          <w:b/>
        </w:rPr>
        <w:t>Masa 5.3.24:</w:t>
      </w:r>
      <w:r w:rsidRPr="00795698">
        <w:rPr>
          <w:rFonts w:ascii="Garamond" w:hAnsi="Garamond"/>
        </w:rPr>
        <w:t xml:space="preserve"> Zhvillimi i fushatave ndërgjegjësuese dhe kundër narrativave në rrjetet sociale.</w:t>
      </w:r>
    </w:p>
    <w:p w14:paraId="5FEEF96A" w14:textId="0BF2637D" w:rsidR="00893E99" w:rsidRPr="00795698" w:rsidRDefault="00893E99" w:rsidP="00893E99">
      <w:pPr>
        <w:pStyle w:val="BodyText"/>
        <w:ind w:firstLine="284"/>
        <w:rPr>
          <w:rFonts w:ascii="Garamond" w:hAnsi="Garamond"/>
        </w:rPr>
      </w:pPr>
      <w:r w:rsidRPr="00795698">
        <w:rPr>
          <w:rFonts w:ascii="Garamond" w:hAnsi="Garamond"/>
          <w:b/>
        </w:rPr>
        <w:t>Masa 5.3.25:</w:t>
      </w:r>
      <w:r w:rsidRPr="00795698">
        <w:rPr>
          <w:rFonts w:ascii="Garamond" w:hAnsi="Garamond"/>
        </w:rPr>
        <w:t xml:space="preserve"> Ndërtimi i një faqe online si landing page i integruar në </w:t>
      </w:r>
      <w:r w:rsidR="00CA234B" w:rsidRPr="00795698">
        <w:rPr>
          <w:rFonts w:ascii="Garamond" w:hAnsi="Garamond"/>
        </w:rPr>
        <w:t>w</w:t>
      </w:r>
      <w:r w:rsidRPr="00795698">
        <w:rPr>
          <w:rFonts w:ascii="Garamond" w:hAnsi="Garamond"/>
        </w:rPr>
        <w:t>ebsitet e aktorëve kryesore.</w:t>
      </w:r>
    </w:p>
    <w:p w14:paraId="5FEEF96B" w14:textId="77777777" w:rsidR="00893E99" w:rsidRPr="00795698" w:rsidRDefault="00893E99" w:rsidP="00893E99">
      <w:pPr>
        <w:pStyle w:val="BodyText"/>
        <w:ind w:firstLine="284"/>
        <w:rPr>
          <w:rFonts w:ascii="Garamond" w:hAnsi="Garamond"/>
        </w:rPr>
      </w:pPr>
      <w:r w:rsidRPr="00795698">
        <w:rPr>
          <w:rFonts w:ascii="Garamond" w:hAnsi="Garamond"/>
          <w:b/>
        </w:rPr>
        <w:t>Masa 5.3.26:</w:t>
      </w:r>
      <w:r w:rsidRPr="00795698">
        <w:rPr>
          <w:rFonts w:ascii="Garamond" w:hAnsi="Garamond"/>
        </w:rPr>
        <w:t xml:space="preserve"> Realizimi dhe prodhimi i produkteve me përmbajtjes audiovizuale.</w:t>
      </w:r>
    </w:p>
    <w:p w14:paraId="5FEEF96C" w14:textId="77777777" w:rsidR="00893E99" w:rsidRPr="00795698" w:rsidRDefault="00893E99" w:rsidP="00893E99">
      <w:pPr>
        <w:pStyle w:val="BodyText"/>
        <w:ind w:firstLine="284"/>
        <w:rPr>
          <w:rFonts w:ascii="Garamond" w:hAnsi="Garamond"/>
        </w:rPr>
      </w:pPr>
      <w:r w:rsidRPr="00795698">
        <w:rPr>
          <w:rFonts w:ascii="Garamond" w:hAnsi="Garamond"/>
          <w:b/>
        </w:rPr>
        <w:t>Masa 5.3.27:</w:t>
      </w:r>
      <w:r w:rsidRPr="00795698">
        <w:rPr>
          <w:rFonts w:ascii="Garamond" w:hAnsi="Garamond"/>
        </w:rPr>
        <w:t xml:space="preserve"> Dizenjimi, realizimi dhe prodhimi i produkteve me përmbajtje vizuale.</w:t>
      </w:r>
    </w:p>
    <w:p w14:paraId="5FEEF96D" w14:textId="0A0220C5" w:rsidR="00893E99" w:rsidRPr="00795698" w:rsidRDefault="00893E99" w:rsidP="00893E99">
      <w:pPr>
        <w:pStyle w:val="BodyText"/>
        <w:ind w:firstLine="284"/>
        <w:rPr>
          <w:rFonts w:ascii="Garamond" w:hAnsi="Garamond"/>
        </w:rPr>
      </w:pPr>
      <w:r w:rsidRPr="00795698">
        <w:rPr>
          <w:rFonts w:ascii="Garamond" w:hAnsi="Garamond"/>
          <w:b/>
        </w:rPr>
        <w:t>Masa 5.3.28:</w:t>
      </w:r>
      <w:r w:rsidRPr="00795698">
        <w:rPr>
          <w:rFonts w:ascii="Garamond" w:hAnsi="Garamond"/>
        </w:rPr>
        <w:t xml:space="preserve"> Ngritja e strukturës për të monitoruar mediat sociale lidhur me format e</w:t>
      </w:r>
      <w:r w:rsidR="007C064A" w:rsidRPr="00795698">
        <w:rPr>
          <w:rFonts w:ascii="Garamond" w:hAnsi="Garamond"/>
        </w:rPr>
        <w:t xml:space="preserve"> </w:t>
      </w:r>
      <w:r w:rsidRPr="00795698">
        <w:rPr>
          <w:rFonts w:ascii="Garamond" w:hAnsi="Garamond"/>
        </w:rPr>
        <w:t>shprehjes së ekstremizmit të dhunshëm, radikalizmit që çon në veprime të dhunshme, indoktrinimit, propagandës, rekrutimit dhe analiza e tyre për përgatitjen dhe zhvillimin e kundërnarrativës dhe mesazheve pozitive.</w:t>
      </w:r>
    </w:p>
    <w:p w14:paraId="5FEEF96E" w14:textId="77777777" w:rsidR="00893E99" w:rsidRPr="00795698" w:rsidRDefault="00893E99" w:rsidP="00893E99">
      <w:pPr>
        <w:ind w:firstLine="284"/>
        <w:jc w:val="both"/>
        <w:rPr>
          <w:rFonts w:ascii="Garamond" w:hAnsi="Garamond"/>
          <w:b/>
          <w:bCs/>
        </w:rPr>
      </w:pPr>
      <w:r w:rsidRPr="00795698">
        <w:rPr>
          <w:rFonts w:ascii="Garamond" w:hAnsi="Garamond"/>
          <w:b/>
          <w:bCs/>
        </w:rPr>
        <w:t xml:space="preserve">Indikatorë të matshëm: </w:t>
      </w:r>
    </w:p>
    <w:p w14:paraId="5FEEF96F" w14:textId="77777777" w:rsidR="00893E99" w:rsidRPr="00795698" w:rsidRDefault="002D53A5" w:rsidP="002D53A5">
      <w:pPr>
        <w:pStyle w:val="TEKSTIIIII"/>
        <w:rPr>
          <w:lang w:val="sq-AL"/>
        </w:rPr>
      </w:pPr>
      <w:r w:rsidRPr="00795698">
        <w:rPr>
          <w:rFonts w:eastAsia="Calibri"/>
          <w:lang w:val="sq-AL"/>
        </w:rPr>
        <w:t xml:space="preserve">- </w:t>
      </w:r>
      <w:r w:rsidR="00893E99" w:rsidRPr="00795698">
        <w:rPr>
          <w:rFonts w:eastAsia="Calibri"/>
          <w:lang w:val="sq-AL"/>
        </w:rPr>
        <w:t>Faqja online si landing page i integruar në websitet e aktorëve kryesore ka përfunduar dhe është funksionale.</w:t>
      </w:r>
    </w:p>
    <w:p w14:paraId="5FEEF970" w14:textId="1C8A94AE" w:rsidR="00893E99" w:rsidRPr="00795698" w:rsidRDefault="00893E99" w:rsidP="00893E99">
      <w:pPr>
        <w:pStyle w:val="BodyText"/>
        <w:ind w:firstLine="284"/>
        <w:rPr>
          <w:rFonts w:ascii="Garamond" w:hAnsi="Garamond"/>
          <w:b/>
          <w:bCs/>
        </w:rPr>
      </w:pPr>
      <w:r w:rsidRPr="00795698">
        <w:rPr>
          <w:rFonts w:ascii="Garamond" w:hAnsi="Garamond"/>
          <w:b/>
          <w:bCs/>
        </w:rPr>
        <w:t>Rezultate të pritshme:</w:t>
      </w:r>
      <w:r w:rsidR="007C064A" w:rsidRPr="00795698">
        <w:rPr>
          <w:rFonts w:ascii="Garamond" w:hAnsi="Garamond"/>
          <w:b/>
          <w:bCs/>
        </w:rPr>
        <w:t xml:space="preserve"> </w:t>
      </w:r>
    </w:p>
    <w:p w14:paraId="5FEEF971" w14:textId="55C1E1D9" w:rsidR="00893E99" w:rsidRPr="00795698" w:rsidRDefault="00893E99" w:rsidP="00893E99">
      <w:pPr>
        <w:pStyle w:val="BodyText"/>
        <w:ind w:firstLine="284"/>
        <w:rPr>
          <w:rFonts w:ascii="Garamond" w:hAnsi="Garamond"/>
        </w:rPr>
      </w:pPr>
      <w:r w:rsidRPr="00795698">
        <w:rPr>
          <w:rFonts w:ascii="Garamond" w:hAnsi="Garamond"/>
        </w:rPr>
        <w:t xml:space="preserve">Integrimi përmes një “landing page” të mesazheve dhe rubrikave kryesore të </w:t>
      </w:r>
      <w:r w:rsidR="00CA234B" w:rsidRPr="00795698">
        <w:rPr>
          <w:rFonts w:ascii="Garamond" w:hAnsi="Garamond"/>
        </w:rPr>
        <w:t>w</w:t>
      </w:r>
      <w:r w:rsidRPr="00795698">
        <w:rPr>
          <w:rFonts w:ascii="Garamond" w:hAnsi="Garamond"/>
        </w:rPr>
        <w:t xml:space="preserve">ebsite, si dhe të rubrikës së denoncimit, të CVE në faqet e Ministrive dhe Agjencive të tjera shtetërore, përfshirë bashkitë e vendit, dizenjimi, arkitektura dhe përmbajtja si një </w:t>
      </w:r>
      <w:r w:rsidR="00CA234B" w:rsidRPr="00795698">
        <w:rPr>
          <w:rFonts w:ascii="Garamond" w:hAnsi="Garamond"/>
        </w:rPr>
        <w:t>platformë</w:t>
      </w:r>
      <w:r w:rsidRPr="00795698">
        <w:rPr>
          <w:rFonts w:ascii="Garamond" w:hAnsi="Garamond"/>
        </w:rPr>
        <w:t xml:space="preserve"> e integruar pritëse e informacionit dhe trafikut ardhur përmes kanaleve të tjera të komunikimit. </w:t>
      </w:r>
    </w:p>
    <w:p w14:paraId="5FEEF972" w14:textId="4F3A55E2" w:rsidR="00893E99" w:rsidRPr="00795698" w:rsidRDefault="00893E99" w:rsidP="00893E99">
      <w:pPr>
        <w:pStyle w:val="Heading1"/>
        <w:spacing w:before="0"/>
        <w:ind w:firstLine="284"/>
        <w:jc w:val="both"/>
        <w:rPr>
          <w:rFonts w:ascii="Garamond" w:hAnsi="Garamond"/>
          <w:b w:val="0"/>
          <w:color w:val="000000" w:themeColor="text1"/>
          <w:sz w:val="24"/>
          <w:szCs w:val="24"/>
        </w:rPr>
      </w:pPr>
      <w:bookmarkStart w:id="80" w:name="_Toc108644291"/>
      <w:r w:rsidRPr="00795698">
        <w:rPr>
          <w:rFonts w:ascii="Garamond" w:hAnsi="Garamond"/>
          <w:b w:val="0"/>
          <w:color w:val="000000" w:themeColor="text1"/>
          <w:sz w:val="24"/>
          <w:szCs w:val="24"/>
        </w:rPr>
        <w:t>QASJA 2: HETIMI I VEPRAVE TË TERRORIZMIT, ZBULIMI DHE GODITJA E TERRORISTËVE/GRUPEVE TERRORISTE DUKE ELEMINUAR KËRCËNIMET E TERRORIZMIT</w:t>
      </w:r>
      <w:bookmarkEnd w:id="80"/>
    </w:p>
    <w:p w14:paraId="5FEEF973" w14:textId="5D4EB822" w:rsidR="00893E99" w:rsidRPr="00795698" w:rsidRDefault="00893E99" w:rsidP="00893E99">
      <w:pPr>
        <w:pStyle w:val="Heading2"/>
        <w:spacing w:before="0"/>
        <w:ind w:firstLine="284"/>
        <w:jc w:val="both"/>
        <w:rPr>
          <w:rFonts w:ascii="Garamond" w:hAnsi="Garamond"/>
          <w:color w:val="000000" w:themeColor="text1"/>
          <w:sz w:val="24"/>
          <w:szCs w:val="24"/>
        </w:rPr>
      </w:pPr>
      <w:bookmarkStart w:id="81" w:name="_Toc108644292"/>
      <w:r w:rsidRPr="00795698">
        <w:rPr>
          <w:rFonts w:ascii="Garamond" w:hAnsi="Garamond"/>
          <w:b w:val="0"/>
          <w:color w:val="000000" w:themeColor="text1"/>
          <w:sz w:val="24"/>
          <w:szCs w:val="24"/>
        </w:rPr>
        <w:t>QËLLIMI I POLITIKËS 6: IDENTIFIKIMI, HETIMI, ZBULIMI</w:t>
      </w:r>
      <w:r w:rsidR="007C064A" w:rsidRPr="00795698">
        <w:rPr>
          <w:rFonts w:ascii="Garamond" w:hAnsi="Garamond"/>
          <w:b w:val="0"/>
          <w:color w:val="000000" w:themeColor="text1"/>
          <w:sz w:val="24"/>
          <w:szCs w:val="24"/>
        </w:rPr>
        <w:t xml:space="preserve"> </w:t>
      </w:r>
      <w:r w:rsidRPr="00795698">
        <w:rPr>
          <w:rFonts w:ascii="Garamond" w:hAnsi="Garamond"/>
          <w:b w:val="0"/>
          <w:color w:val="000000" w:themeColor="text1"/>
          <w:sz w:val="24"/>
          <w:szCs w:val="24"/>
        </w:rPr>
        <w:t>E VEPRAVE PENALE NË FUSHËN E TERRORIZMIT DHE FINANCIMIT TË TIJ DHE GODITJA E INDIVIDËVE GRUPEVE TERRORISTE</w:t>
      </w:r>
      <w:bookmarkEnd w:id="81"/>
    </w:p>
    <w:p w14:paraId="5FEEF974" w14:textId="77777777" w:rsidR="00893E99" w:rsidRPr="00795698" w:rsidRDefault="00893E99" w:rsidP="00893E99">
      <w:pPr>
        <w:pStyle w:val="ListParagraph"/>
        <w:ind w:left="0" w:firstLine="284"/>
        <w:jc w:val="both"/>
        <w:rPr>
          <w:rFonts w:ascii="Garamond" w:hAnsi="Garamond"/>
          <w:bCs/>
        </w:rPr>
      </w:pPr>
      <w:r w:rsidRPr="00795698">
        <w:rPr>
          <w:rFonts w:ascii="Garamond" w:hAnsi="Garamond"/>
          <w:bCs/>
        </w:rPr>
        <w:t>Kjo do të arrihet nëpërmjet hetimit dhe zbulimit të veprave penale në fushën e terrorizmit dhe financimit të tij duke respektuar të drejtat dhe liritë e njeriut.</w:t>
      </w:r>
    </w:p>
    <w:p w14:paraId="5FEEF975" w14:textId="76CD3A4B" w:rsidR="00893E99" w:rsidRPr="00795698" w:rsidRDefault="00893E99" w:rsidP="00893E99">
      <w:pPr>
        <w:pStyle w:val="ListParagraph"/>
        <w:ind w:left="0" w:firstLine="284"/>
        <w:jc w:val="both"/>
        <w:rPr>
          <w:rFonts w:ascii="Garamond" w:hAnsi="Garamond"/>
          <w:bCs/>
        </w:rPr>
      </w:pPr>
      <w:r w:rsidRPr="00795698">
        <w:rPr>
          <w:rFonts w:ascii="Garamond" w:hAnsi="Garamond"/>
          <w:bCs/>
        </w:rPr>
        <w:t xml:space="preserve">Bashkëpunimit dhe koordinimit me agjencitë inteligjente e </w:t>
      </w:r>
      <w:r w:rsidR="00C62D65" w:rsidRPr="00795698">
        <w:rPr>
          <w:rFonts w:ascii="Garamond" w:hAnsi="Garamond"/>
          <w:bCs/>
        </w:rPr>
        <w:t>ligj</w:t>
      </w:r>
      <w:r w:rsidRPr="00795698">
        <w:rPr>
          <w:rFonts w:ascii="Garamond" w:hAnsi="Garamond"/>
          <w:bCs/>
        </w:rPr>
        <w:t>zbatuese</w:t>
      </w:r>
      <w:r w:rsidR="007C064A" w:rsidRPr="00795698">
        <w:rPr>
          <w:rFonts w:ascii="Garamond" w:hAnsi="Garamond"/>
          <w:bCs/>
        </w:rPr>
        <w:t xml:space="preserve"> </w:t>
      </w:r>
      <w:r w:rsidRPr="00795698">
        <w:rPr>
          <w:rFonts w:ascii="Garamond" w:hAnsi="Garamond"/>
          <w:bCs/>
        </w:rPr>
        <w:t>SHISH, AISM, Prokurorinë, DPPPP-FIU, DP Burgjeve, dhe CVE si dhe institucione që kanë detyrime në luftën kundër terrorizmit</w:t>
      </w:r>
    </w:p>
    <w:p w14:paraId="5FEEF976" w14:textId="11EE9DD6" w:rsidR="00893E99" w:rsidRPr="00795698" w:rsidRDefault="00893E99" w:rsidP="00893E99">
      <w:pPr>
        <w:pStyle w:val="ListParagraph"/>
        <w:ind w:left="0" w:firstLine="284"/>
        <w:jc w:val="both"/>
        <w:rPr>
          <w:rFonts w:ascii="Garamond" w:hAnsi="Garamond"/>
          <w:bCs/>
        </w:rPr>
      </w:pPr>
      <w:r w:rsidRPr="00795698">
        <w:rPr>
          <w:rFonts w:ascii="Garamond" w:hAnsi="Garamond"/>
          <w:bCs/>
        </w:rPr>
        <w:t>Përmirësimit dhe rritjes sipas nevojës e kapaciteteve njerëzore, profesionale</w:t>
      </w:r>
      <w:r w:rsidR="007C064A" w:rsidRPr="00795698">
        <w:rPr>
          <w:rFonts w:ascii="Garamond" w:hAnsi="Garamond"/>
          <w:bCs/>
        </w:rPr>
        <w:t xml:space="preserve"> </w:t>
      </w:r>
      <w:r w:rsidRPr="00795698">
        <w:rPr>
          <w:rFonts w:ascii="Garamond" w:hAnsi="Garamond"/>
          <w:bCs/>
        </w:rPr>
        <w:t>e logjistike të</w:t>
      </w:r>
      <w:r w:rsidR="007C064A" w:rsidRPr="00795698">
        <w:rPr>
          <w:rFonts w:ascii="Garamond" w:hAnsi="Garamond"/>
          <w:bCs/>
        </w:rPr>
        <w:t xml:space="preserve"> </w:t>
      </w:r>
      <w:r w:rsidRPr="00795698">
        <w:rPr>
          <w:rFonts w:ascii="Garamond" w:hAnsi="Garamond"/>
          <w:bCs/>
        </w:rPr>
        <w:t>Drejtorisë së Antiterrorit.</w:t>
      </w:r>
    </w:p>
    <w:p w14:paraId="5FEEF977" w14:textId="77777777" w:rsidR="00893E99" w:rsidRPr="00795698" w:rsidRDefault="00893E99" w:rsidP="00893E99">
      <w:pPr>
        <w:pStyle w:val="Heading3"/>
        <w:spacing w:before="0"/>
        <w:ind w:firstLine="284"/>
        <w:rPr>
          <w:rFonts w:ascii="Garamond" w:hAnsi="Garamond"/>
          <w:b w:val="0"/>
          <w:i/>
          <w:color w:val="auto"/>
        </w:rPr>
      </w:pPr>
      <w:bookmarkStart w:id="82" w:name="_Toc108644293"/>
      <w:r w:rsidRPr="00795698">
        <w:rPr>
          <w:rFonts w:ascii="Garamond" w:hAnsi="Garamond"/>
          <w:b w:val="0"/>
          <w:i/>
          <w:color w:val="auto"/>
        </w:rPr>
        <w:t>Objektivi specifik 6.1: Hetimi i terrorizmit dhe burimeve të tij</w:t>
      </w:r>
      <w:bookmarkEnd w:id="82"/>
    </w:p>
    <w:p w14:paraId="5FEEF978" w14:textId="77777777" w:rsidR="00893E99" w:rsidRPr="00795698" w:rsidRDefault="00893E99" w:rsidP="00893E99">
      <w:pPr>
        <w:ind w:firstLine="284"/>
        <w:jc w:val="both"/>
        <w:rPr>
          <w:rFonts w:ascii="Garamond" w:hAnsi="Garamond"/>
          <w:bCs/>
        </w:rPr>
      </w:pPr>
      <w:bookmarkStart w:id="83" w:name="_Hlk59676252"/>
      <w:r w:rsidRPr="00795698">
        <w:rPr>
          <w:rFonts w:ascii="Garamond" w:hAnsi="Garamond"/>
          <w:b/>
        </w:rPr>
        <w:t xml:space="preserve">Masa 6.1.1: </w:t>
      </w:r>
      <w:r w:rsidRPr="00795698">
        <w:rPr>
          <w:rFonts w:ascii="Garamond" w:hAnsi="Garamond"/>
          <w:bCs/>
        </w:rPr>
        <w:t>Përgatitja dhe përqasja e legjislacionit sipas standardeve të BE, në lidhje me luftën kundër terrorizmit dhe ekstremizmit të dhunshëm bazuar në mangësitë e konstatuara nga analizimi në kuadër të kapitullit 24 dhe 31.</w:t>
      </w:r>
    </w:p>
    <w:bookmarkEnd w:id="83"/>
    <w:p w14:paraId="5FEEF979" w14:textId="77777777" w:rsidR="00893E99" w:rsidRPr="00795698" w:rsidRDefault="00893E99" w:rsidP="00893E99">
      <w:pPr>
        <w:ind w:firstLine="284"/>
        <w:jc w:val="both"/>
        <w:rPr>
          <w:rFonts w:ascii="Garamond" w:hAnsi="Garamond"/>
          <w:bCs/>
        </w:rPr>
      </w:pPr>
      <w:r w:rsidRPr="00795698">
        <w:rPr>
          <w:rFonts w:ascii="Garamond" w:hAnsi="Garamond"/>
          <w:b/>
        </w:rPr>
        <w:lastRenderedPageBreak/>
        <w:t xml:space="preserve">Masa 6.1.2: </w:t>
      </w:r>
      <w:r w:rsidRPr="00795698">
        <w:rPr>
          <w:rFonts w:ascii="Garamond" w:hAnsi="Garamond"/>
          <w:bCs/>
        </w:rPr>
        <w:t>Rritja e numrit të hetimeve proaktive ndaj individëve/grupeve të dyshuar për veprimtari terroriste dhe financim të tij, nëpërmjet medodave speciale të hetimit</w:t>
      </w:r>
    </w:p>
    <w:p w14:paraId="5FEEF97A" w14:textId="03DB695C" w:rsidR="00893E99" w:rsidRPr="00795698" w:rsidRDefault="00893E99" w:rsidP="00893E99">
      <w:pPr>
        <w:ind w:firstLine="284"/>
        <w:jc w:val="both"/>
        <w:rPr>
          <w:rFonts w:ascii="Garamond" w:hAnsi="Garamond"/>
          <w:b/>
        </w:rPr>
      </w:pPr>
      <w:r w:rsidRPr="00795698">
        <w:rPr>
          <w:rFonts w:ascii="Garamond" w:hAnsi="Garamond"/>
          <w:b/>
        </w:rPr>
        <w:t xml:space="preserve"> Masa 6.1.3: </w:t>
      </w:r>
      <w:r w:rsidRPr="00795698">
        <w:rPr>
          <w:rFonts w:ascii="Garamond" w:hAnsi="Garamond"/>
          <w:bCs/>
        </w:rPr>
        <w:t>Rritja e numrit të hetimeve paralele për financimin e terrorizmit për çdo rast referimi për vepra me</w:t>
      </w:r>
      <w:r w:rsidR="007C064A" w:rsidRPr="00795698">
        <w:rPr>
          <w:rFonts w:ascii="Garamond" w:hAnsi="Garamond"/>
          <w:bCs/>
        </w:rPr>
        <w:t xml:space="preserve"> </w:t>
      </w:r>
      <w:r w:rsidRPr="00795698">
        <w:rPr>
          <w:rFonts w:ascii="Garamond" w:hAnsi="Garamond"/>
          <w:bCs/>
        </w:rPr>
        <w:t>qëllime terroriste sipas rekomandimit të FAFT/ICRG dhe Moneyval.</w:t>
      </w:r>
    </w:p>
    <w:p w14:paraId="5FEEF97B" w14:textId="77777777" w:rsidR="00893E99" w:rsidRPr="00795698" w:rsidRDefault="00893E99" w:rsidP="00893E99">
      <w:pPr>
        <w:ind w:firstLine="284"/>
        <w:jc w:val="both"/>
        <w:rPr>
          <w:rFonts w:ascii="Garamond" w:hAnsi="Garamond"/>
          <w:b/>
        </w:rPr>
      </w:pPr>
      <w:r w:rsidRPr="00795698">
        <w:rPr>
          <w:rFonts w:ascii="Garamond" w:hAnsi="Garamond"/>
          <w:b/>
        </w:rPr>
        <w:t xml:space="preserve">Masa 6.1.4: </w:t>
      </w:r>
      <w:r w:rsidRPr="00795698">
        <w:rPr>
          <w:rFonts w:ascii="Garamond" w:hAnsi="Garamond"/>
          <w:bCs/>
        </w:rPr>
        <w:t>Rritja e numrit të hetimeve dhe operacioneve të përbashkëta me institucionet homologe/partnere ndërkombëtare.</w:t>
      </w:r>
    </w:p>
    <w:p w14:paraId="5FEEF97C" w14:textId="77777777" w:rsidR="00893E99" w:rsidRPr="00795698" w:rsidRDefault="00893E99" w:rsidP="00893E99">
      <w:pPr>
        <w:ind w:firstLine="284"/>
        <w:jc w:val="both"/>
        <w:rPr>
          <w:rFonts w:ascii="Garamond" w:hAnsi="Garamond"/>
          <w:b/>
        </w:rPr>
      </w:pPr>
      <w:r w:rsidRPr="00795698">
        <w:rPr>
          <w:rFonts w:ascii="Garamond" w:hAnsi="Garamond"/>
          <w:b/>
        </w:rPr>
        <w:t xml:space="preserve">Masa 6.1.5: </w:t>
      </w:r>
      <w:r w:rsidRPr="00795698">
        <w:rPr>
          <w:rFonts w:ascii="Garamond" w:hAnsi="Garamond"/>
          <w:bCs/>
        </w:rPr>
        <w:t>Kryerja e hetimeve të përbashkëta me agjencitë ligjzbatuese lidhur me individë/grupe kriminalee të krimit të organizuar që mund të përfshihen edhe në aktivitete terroriste në Shqipëri, vendet e BE-së dhe më gjerë.</w:t>
      </w:r>
    </w:p>
    <w:p w14:paraId="5FEEF97D" w14:textId="269F09C7" w:rsidR="00893E99" w:rsidRPr="00795698" w:rsidRDefault="00893E99" w:rsidP="00893E99">
      <w:pPr>
        <w:ind w:firstLine="284"/>
        <w:jc w:val="both"/>
        <w:rPr>
          <w:rFonts w:ascii="Garamond" w:hAnsi="Garamond"/>
          <w:b/>
        </w:rPr>
      </w:pPr>
      <w:r w:rsidRPr="00795698">
        <w:rPr>
          <w:rFonts w:ascii="Garamond" w:hAnsi="Garamond"/>
          <w:b/>
        </w:rPr>
        <w:t xml:space="preserve">Masa 6.1.6: </w:t>
      </w:r>
      <w:r w:rsidRPr="00795698">
        <w:rPr>
          <w:rFonts w:ascii="Garamond" w:hAnsi="Garamond"/>
          <w:bCs/>
        </w:rPr>
        <w:t>Shkëmbimi informacionit me homologët e partnerët ndërkombëtar për shtetas shqiptarë e të huaj, pjesë e</w:t>
      </w:r>
      <w:r w:rsidR="007C064A" w:rsidRPr="00795698">
        <w:rPr>
          <w:rFonts w:ascii="Garamond" w:hAnsi="Garamond"/>
          <w:bCs/>
        </w:rPr>
        <w:t xml:space="preserve"> </w:t>
      </w:r>
      <w:r w:rsidRPr="00795698">
        <w:rPr>
          <w:rFonts w:ascii="Garamond" w:hAnsi="Garamond"/>
          <w:bCs/>
        </w:rPr>
        <w:t>grupeve</w:t>
      </w:r>
      <w:r w:rsidR="007C064A" w:rsidRPr="00795698">
        <w:rPr>
          <w:rFonts w:ascii="Garamond" w:hAnsi="Garamond"/>
          <w:bCs/>
        </w:rPr>
        <w:t xml:space="preserve"> </w:t>
      </w:r>
      <w:r w:rsidRPr="00795698">
        <w:rPr>
          <w:rFonts w:ascii="Garamond" w:hAnsi="Garamond"/>
          <w:bCs/>
        </w:rPr>
        <w:t>të krimit të organizuar që mund të përfshihen edhe në aktivitete terroriste në Shqipëri, vendet e BE-së dhe më gjerë.</w:t>
      </w:r>
    </w:p>
    <w:p w14:paraId="5FEEF97E" w14:textId="77777777" w:rsidR="00893E99" w:rsidRPr="00795698" w:rsidRDefault="00893E99" w:rsidP="00893E99">
      <w:pPr>
        <w:ind w:firstLine="284"/>
        <w:jc w:val="both"/>
        <w:rPr>
          <w:rFonts w:ascii="Garamond" w:hAnsi="Garamond"/>
          <w:b/>
        </w:rPr>
      </w:pPr>
      <w:r w:rsidRPr="00795698">
        <w:rPr>
          <w:rFonts w:ascii="Garamond" w:hAnsi="Garamond"/>
          <w:b/>
        </w:rPr>
        <w:t xml:space="preserve">Masa 6.1.7: </w:t>
      </w:r>
      <w:r w:rsidRPr="00795698">
        <w:rPr>
          <w:rFonts w:ascii="Garamond" w:hAnsi="Garamond"/>
          <w:bCs/>
        </w:rPr>
        <w:t>Zbatimi i praktikave më të mira të vendeve të BE –së për hetimin e financimit të terrorizmit, si dhe kërkesave që rrjedhin nga rezolutat e KS të OKB dhe instrumentet e tjerë ndërkombëtarë në këtë fushë.</w:t>
      </w:r>
    </w:p>
    <w:p w14:paraId="5FEEF97F" w14:textId="77777777" w:rsidR="00893E99" w:rsidRPr="00795698" w:rsidRDefault="00893E99" w:rsidP="00893E99">
      <w:pPr>
        <w:ind w:firstLine="284"/>
        <w:jc w:val="both"/>
        <w:rPr>
          <w:rFonts w:ascii="Garamond" w:hAnsi="Garamond"/>
          <w:b/>
        </w:rPr>
      </w:pPr>
      <w:r w:rsidRPr="00795698">
        <w:rPr>
          <w:rFonts w:ascii="Garamond" w:hAnsi="Garamond"/>
          <w:b/>
        </w:rPr>
        <w:t xml:space="preserve">Masa 6.1.8: </w:t>
      </w:r>
      <w:r w:rsidRPr="00795698">
        <w:rPr>
          <w:rFonts w:ascii="Garamond" w:hAnsi="Garamond"/>
          <w:bCs/>
        </w:rPr>
        <w:t>Ndjekja penale e LHT dhe individëve të dyshuar për terrorizëm dhe financimin të tij.</w:t>
      </w:r>
    </w:p>
    <w:p w14:paraId="5FEEF980" w14:textId="77777777" w:rsidR="00893E99" w:rsidRPr="00795698" w:rsidRDefault="00893E99" w:rsidP="00893E99">
      <w:pPr>
        <w:ind w:firstLine="284"/>
        <w:jc w:val="both"/>
        <w:rPr>
          <w:rFonts w:ascii="Garamond" w:hAnsi="Garamond"/>
          <w:b/>
        </w:rPr>
      </w:pPr>
      <w:r w:rsidRPr="00795698">
        <w:rPr>
          <w:rFonts w:ascii="Garamond" w:hAnsi="Garamond"/>
          <w:b/>
        </w:rPr>
        <w:t>Indikatorë të matshëm:</w:t>
      </w:r>
    </w:p>
    <w:p w14:paraId="5FEEF981"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eficiencës së hetimeve në fushën e terrorizmit</w:t>
      </w:r>
    </w:p>
    <w:p w14:paraId="5FEEF982"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përputhshmërisë së legjislacionit të brendshëm me legjislacionin e BE për luftën kundër terrorizmit në kuadër të kapitullit 24</w:t>
      </w:r>
    </w:p>
    <w:p w14:paraId="5FEEF983"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hetimit për financimin e terrorizmit paralel me hetimin për krime në fushën e pastrimit të parave</w:t>
      </w:r>
    </w:p>
    <w:p w14:paraId="5FEEF984" w14:textId="77777777" w:rsidR="00893E99" w:rsidRPr="00795698" w:rsidRDefault="00893E99" w:rsidP="00893E99">
      <w:pPr>
        <w:ind w:firstLine="284"/>
        <w:jc w:val="both"/>
        <w:rPr>
          <w:rFonts w:ascii="Garamond" w:hAnsi="Garamond"/>
          <w:b/>
        </w:rPr>
      </w:pPr>
      <w:r w:rsidRPr="00795698">
        <w:rPr>
          <w:rFonts w:ascii="Garamond" w:hAnsi="Garamond"/>
          <w:b/>
        </w:rPr>
        <w:t>Rezultate të pritshme:</w:t>
      </w:r>
    </w:p>
    <w:p w14:paraId="5FEEF985" w14:textId="77777777" w:rsidR="00893E99" w:rsidRPr="00795698" w:rsidRDefault="002D53A5" w:rsidP="002D53A5">
      <w:pPr>
        <w:pStyle w:val="TEKSTIIIII"/>
        <w:rPr>
          <w:lang w:val="sq-AL"/>
        </w:rPr>
      </w:pPr>
      <w:r w:rsidRPr="00795698">
        <w:rPr>
          <w:lang w:val="sq-AL"/>
        </w:rPr>
        <w:t xml:space="preserve">- </w:t>
      </w:r>
      <w:r w:rsidR="00893E99" w:rsidRPr="00795698">
        <w:rPr>
          <w:lang w:val="sq-AL"/>
        </w:rPr>
        <w:t>Realizimi i hetimeve proaktive ndaj individëve/grupeve të dyshuar, për veprimtari terroriste dhe financim të tij</w:t>
      </w:r>
    </w:p>
    <w:p w14:paraId="5FEEF986" w14:textId="77777777" w:rsidR="00893E99" w:rsidRPr="00795698" w:rsidRDefault="002D53A5" w:rsidP="002D53A5">
      <w:pPr>
        <w:pStyle w:val="TEKSTIIIII"/>
        <w:rPr>
          <w:lang w:val="sq-AL"/>
        </w:rPr>
      </w:pPr>
      <w:r w:rsidRPr="00795698">
        <w:rPr>
          <w:lang w:val="sq-AL"/>
        </w:rPr>
        <w:t xml:space="preserve">- </w:t>
      </w:r>
      <w:r w:rsidR="00893E99" w:rsidRPr="00795698">
        <w:rPr>
          <w:lang w:val="sq-AL"/>
        </w:rPr>
        <w:t>Referime për terrorizmin dhe financimin e terrorizmit</w:t>
      </w:r>
    </w:p>
    <w:p w14:paraId="5FEEF987" w14:textId="3E6A6764" w:rsidR="00893E99" w:rsidRPr="00795698" w:rsidRDefault="002D53A5" w:rsidP="002D53A5">
      <w:pPr>
        <w:pStyle w:val="TEKSTIIIII"/>
        <w:rPr>
          <w:lang w:val="sq-AL"/>
        </w:rPr>
      </w:pPr>
      <w:r w:rsidRPr="00795698">
        <w:rPr>
          <w:lang w:val="sq-AL"/>
        </w:rPr>
        <w:t xml:space="preserve">- </w:t>
      </w:r>
      <w:r w:rsidR="00893E99" w:rsidRPr="00795698">
        <w:rPr>
          <w:lang w:val="sq-AL"/>
        </w:rPr>
        <w:t>Rritja e numrit të hetimeve paralele për financimin e terrorizmit për çdo rast referimi për vepra me</w:t>
      </w:r>
      <w:r w:rsidR="007C064A" w:rsidRPr="00795698">
        <w:rPr>
          <w:lang w:val="sq-AL"/>
        </w:rPr>
        <w:t xml:space="preserve"> </w:t>
      </w:r>
      <w:r w:rsidR="00893E99" w:rsidRPr="00795698">
        <w:rPr>
          <w:lang w:val="sq-AL"/>
        </w:rPr>
        <w:t>qëllime terroriste sipas rekomandimit të FAFT/ICRG dhe Moneyval</w:t>
      </w:r>
    </w:p>
    <w:p w14:paraId="5FEEF988" w14:textId="77777777" w:rsidR="00893E99" w:rsidRPr="00795698" w:rsidRDefault="002D53A5" w:rsidP="002D53A5">
      <w:pPr>
        <w:pStyle w:val="TEKSTIIIII"/>
        <w:rPr>
          <w:lang w:val="sq-AL"/>
        </w:rPr>
      </w:pPr>
      <w:bookmarkStart w:id="84" w:name="_Hlk59676608"/>
      <w:r w:rsidRPr="00795698">
        <w:rPr>
          <w:lang w:val="sq-AL"/>
        </w:rPr>
        <w:t xml:space="preserve">- </w:t>
      </w:r>
      <w:r w:rsidR="00893E99" w:rsidRPr="00795698">
        <w:rPr>
          <w:lang w:val="sq-AL"/>
        </w:rPr>
        <w:t xml:space="preserve">Rritja e numrit të </w:t>
      </w:r>
      <w:bookmarkEnd w:id="84"/>
      <w:r w:rsidR="00893E99" w:rsidRPr="00795698">
        <w:rPr>
          <w:lang w:val="sq-AL"/>
        </w:rPr>
        <w:t xml:space="preserve">hetimeve dhe operacioneve të përbashkëta me institucionet homologe/partnere ndërkombëtare </w:t>
      </w:r>
    </w:p>
    <w:p w14:paraId="5FEEF989" w14:textId="7F7B556D" w:rsidR="00893E99" w:rsidRPr="00795698" w:rsidRDefault="002D53A5" w:rsidP="002D53A5">
      <w:pPr>
        <w:pStyle w:val="TEKSTIIIII"/>
        <w:rPr>
          <w:lang w:val="sq-AL"/>
        </w:rPr>
      </w:pPr>
      <w:r w:rsidRPr="00795698">
        <w:rPr>
          <w:lang w:val="sq-AL"/>
        </w:rPr>
        <w:t xml:space="preserve">- </w:t>
      </w:r>
      <w:r w:rsidR="00893E99" w:rsidRPr="00795698">
        <w:rPr>
          <w:lang w:val="sq-AL"/>
        </w:rPr>
        <w:t>Rritja e numrit të rasteve të parandaluara si pasojë e identifikimit të individëve pjesë e organizatave kriminale ose grupeve të krimit të organizuar që mund të përfshihen edhe në aktivitet terroriste në shqipëri dhe</w:t>
      </w:r>
      <w:r w:rsidR="007C064A" w:rsidRPr="00795698">
        <w:rPr>
          <w:lang w:val="sq-AL"/>
        </w:rPr>
        <w:t xml:space="preserve"> </w:t>
      </w:r>
      <w:r w:rsidR="00893E99" w:rsidRPr="00795698">
        <w:rPr>
          <w:lang w:val="sq-AL"/>
        </w:rPr>
        <w:t>vendet e BE-së dhe më gjerë</w:t>
      </w:r>
    </w:p>
    <w:p w14:paraId="5FEEF98A" w14:textId="77777777" w:rsidR="00893E99" w:rsidRPr="00795698" w:rsidRDefault="002D53A5" w:rsidP="002D53A5">
      <w:pPr>
        <w:pStyle w:val="TEKSTIIIII"/>
        <w:rPr>
          <w:lang w:val="sq-AL"/>
        </w:rPr>
      </w:pPr>
      <w:r w:rsidRPr="00795698">
        <w:rPr>
          <w:lang w:val="sq-AL"/>
        </w:rPr>
        <w:t xml:space="preserve">- </w:t>
      </w:r>
      <w:r w:rsidR="00893E99" w:rsidRPr="00795698">
        <w:rPr>
          <w:lang w:val="sq-AL"/>
        </w:rPr>
        <w:t>Ndjekja penale e LHT dhe individëve të dyshuar për terrorizëm</w:t>
      </w:r>
    </w:p>
    <w:p w14:paraId="5FEEF98B" w14:textId="0308D5C9" w:rsidR="00893E99" w:rsidRPr="00795698" w:rsidRDefault="00893E99" w:rsidP="00893E99">
      <w:pPr>
        <w:pStyle w:val="Heading3"/>
        <w:spacing w:before="0"/>
        <w:ind w:firstLine="284"/>
        <w:jc w:val="both"/>
        <w:rPr>
          <w:rFonts w:ascii="Garamond" w:hAnsi="Garamond"/>
          <w:b w:val="0"/>
          <w:i/>
          <w:color w:val="auto"/>
        </w:rPr>
      </w:pPr>
      <w:bookmarkStart w:id="85" w:name="_Toc108644294"/>
      <w:r w:rsidRPr="00795698">
        <w:rPr>
          <w:rFonts w:ascii="Garamond" w:hAnsi="Garamond"/>
          <w:b w:val="0"/>
          <w:i/>
          <w:color w:val="auto"/>
        </w:rPr>
        <w:t>Objektivi specifik 6.2: Bashkëpunimi dhe koordinimi me agjencitë inteligjente e ligjzbatuese dhe institucione që kanë detyrime në luftën kundër terrorizmit</w:t>
      </w:r>
      <w:bookmarkEnd w:id="85"/>
    </w:p>
    <w:p w14:paraId="5FEEF98C" w14:textId="77777777" w:rsidR="00893E99" w:rsidRPr="00795698" w:rsidRDefault="00893E99" w:rsidP="00893E99">
      <w:pPr>
        <w:pStyle w:val="BodyText"/>
        <w:ind w:firstLine="284"/>
        <w:rPr>
          <w:rFonts w:ascii="Garamond" w:hAnsi="Garamond"/>
          <w:b/>
        </w:rPr>
      </w:pPr>
      <w:r w:rsidRPr="00795698">
        <w:rPr>
          <w:rFonts w:ascii="Garamond" w:hAnsi="Garamond"/>
          <w:b/>
        </w:rPr>
        <w:t xml:space="preserve">Masa 6.2.1: </w:t>
      </w:r>
      <w:r w:rsidRPr="00795698">
        <w:rPr>
          <w:rFonts w:ascii="Garamond" w:hAnsi="Garamond"/>
        </w:rPr>
        <w:t>Kryerja e analizave të përbashkëta midis institucioneve të gjurmimit, hetimit lidhur me grupe kriminale të hetuara e gjykuara për terrorizëm, në funksion të marrjes së masave parandaluese</w:t>
      </w:r>
    </w:p>
    <w:p w14:paraId="5FEEF98D" w14:textId="2441057F" w:rsidR="00893E99" w:rsidRPr="00795698" w:rsidRDefault="00893E99" w:rsidP="00893E99">
      <w:pPr>
        <w:pStyle w:val="BodyText"/>
        <w:ind w:firstLine="284"/>
        <w:rPr>
          <w:rFonts w:ascii="Garamond" w:hAnsi="Garamond"/>
          <w:b/>
        </w:rPr>
      </w:pPr>
      <w:r w:rsidRPr="00795698">
        <w:rPr>
          <w:rFonts w:ascii="Garamond" w:hAnsi="Garamond"/>
          <w:b/>
        </w:rPr>
        <w:t xml:space="preserve">Masa 6.2.2: </w:t>
      </w:r>
      <w:r w:rsidRPr="00795698">
        <w:rPr>
          <w:rFonts w:ascii="Garamond" w:hAnsi="Garamond"/>
        </w:rPr>
        <w:t>Shkëmbimi i informacioneve dhe analizave të përbashkëta ndërmjet Drejtorisë së Antiterrorit dhe DPPPP, DPT, DPD</w:t>
      </w:r>
      <w:r w:rsidR="00D10A07" w:rsidRPr="00795698">
        <w:rPr>
          <w:rFonts w:ascii="Garamond" w:hAnsi="Garamond"/>
        </w:rPr>
        <w:t>,</w:t>
      </w:r>
      <w:r w:rsidRPr="00795698">
        <w:rPr>
          <w:rFonts w:ascii="Garamond" w:hAnsi="Garamond"/>
        </w:rPr>
        <w:t xml:space="preserve"> dhe institucioneve të tjera ligj zbatuese në vend, për hetimet e veprave penale në fushën</w:t>
      </w:r>
      <w:r w:rsidR="007C064A" w:rsidRPr="00795698">
        <w:rPr>
          <w:rFonts w:ascii="Garamond" w:hAnsi="Garamond"/>
        </w:rPr>
        <w:t xml:space="preserve"> </w:t>
      </w:r>
      <w:r w:rsidRPr="00795698">
        <w:rPr>
          <w:rFonts w:ascii="Garamond" w:hAnsi="Garamond"/>
        </w:rPr>
        <w:t>e luftës kundër terrorizmit dhe financimit të tij.</w:t>
      </w:r>
    </w:p>
    <w:p w14:paraId="5FEEF98E" w14:textId="77777777" w:rsidR="00893E99" w:rsidRPr="00795698" w:rsidRDefault="00893E99" w:rsidP="00893E99">
      <w:pPr>
        <w:pStyle w:val="BodyText"/>
        <w:ind w:firstLine="284"/>
        <w:rPr>
          <w:rFonts w:ascii="Garamond" w:hAnsi="Garamond"/>
          <w:b/>
        </w:rPr>
      </w:pPr>
      <w:r w:rsidRPr="00795698">
        <w:rPr>
          <w:rFonts w:ascii="Garamond" w:hAnsi="Garamond"/>
          <w:b/>
        </w:rPr>
        <w:t xml:space="preserve">Indikatorë të matshëm: </w:t>
      </w:r>
    </w:p>
    <w:p w14:paraId="5FEEF98F" w14:textId="77777777" w:rsidR="00893E99" w:rsidRPr="00795698" w:rsidRDefault="002D53A5" w:rsidP="002D53A5">
      <w:pPr>
        <w:pStyle w:val="TEKSTIIIII"/>
        <w:rPr>
          <w:b/>
          <w:lang w:val="sq-AL"/>
        </w:rPr>
      </w:pPr>
      <w:r w:rsidRPr="00795698">
        <w:rPr>
          <w:lang w:val="sq-AL"/>
        </w:rPr>
        <w:t xml:space="preserve">- </w:t>
      </w:r>
      <w:r w:rsidR="00893E99" w:rsidRPr="00795698">
        <w:rPr>
          <w:lang w:val="sq-AL"/>
        </w:rPr>
        <w:t>Indeksi i rritjes së efektivitetit të hetimit, gjurmimit lidhur me grupe kriminale të hetuara e gjykuara për terrorizëm.</w:t>
      </w:r>
    </w:p>
    <w:p w14:paraId="5FEEF990" w14:textId="77777777" w:rsidR="00893E99" w:rsidRPr="00795698" w:rsidRDefault="00893E99" w:rsidP="00893E99">
      <w:pPr>
        <w:pStyle w:val="BodyText"/>
        <w:ind w:firstLine="284"/>
        <w:rPr>
          <w:rFonts w:ascii="Garamond" w:hAnsi="Garamond"/>
          <w:b/>
        </w:rPr>
      </w:pPr>
      <w:r w:rsidRPr="00795698">
        <w:rPr>
          <w:rFonts w:ascii="Garamond" w:hAnsi="Garamond"/>
          <w:b/>
        </w:rPr>
        <w:t xml:space="preserve">Rezultate të pritshme: </w:t>
      </w:r>
    </w:p>
    <w:p w14:paraId="5FEEF991" w14:textId="228B3BD9" w:rsidR="00893E99" w:rsidRPr="00795698" w:rsidRDefault="002D53A5" w:rsidP="002D53A5">
      <w:pPr>
        <w:pStyle w:val="TEKSTIIIII"/>
        <w:rPr>
          <w:lang w:val="sq-AL"/>
        </w:rPr>
      </w:pPr>
      <w:r w:rsidRPr="00795698">
        <w:rPr>
          <w:lang w:val="sq-AL"/>
        </w:rPr>
        <w:t xml:space="preserve">- </w:t>
      </w:r>
      <w:r w:rsidR="00893E99" w:rsidRPr="00795698">
        <w:rPr>
          <w:lang w:val="sq-AL"/>
        </w:rPr>
        <w:t>Rritja e numrit të informacioneve të shkëmbyera</w:t>
      </w:r>
      <w:r w:rsidR="007C064A" w:rsidRPr="00795698">
        <w:rPr>
          <w:lang w:val="sq-AL"/>
        </w:rPr>
        <w:t xml:space="preserve"> </w:t>
      </w:r>
      <w:r w:rsidR="00893E99" w:rsidRPr="00795698">
        <w:rPr>
          <w:lang w:val="sq-AL"/>
        </w:rPr>
        <w:t>mes këtyre agjencive.</w:t>
      </w:r>
    </w:p>
    <w:p w14:paraId="5FEEF992" w14:textId="77777777" w:rsidR="00893E99" w:rsidRPr="00795698" w:rsidRDefault="002D53A5" w:rsidP="002D53A5">
      <w:pPr>
        <w:pStyle w:val="TEKSTIIIII"/>
        <w:rPr>
          <w:lang w:val="sq-AL"/>
        </w:rPr>
      </w:pPr>
      <w:r w:rsidRPr="00795698">
        <w:rPr>
          <w:lang w:val="sq-AL"/>
        </w:rPr>
        <w:t xml:space="preserve">- </w:t>
      </w:r>
      <w:r w:rsidR="00893E99" w:rsidRPr="00795698">
        <w:rPr>
          <w:lang w:val="sq-AL"/>
        </w:rPr>
        <w:t>Analiza të përbashkëta pune në funksion të hetimit të terrorizmit.</w:t>
      </w:r>
    </w:p>
    <w:p w14:paraId="5FEEF993" w14:textId="0370375E" w:rsidR="00893E99" w:rsidRPr="00795698" w:rsidRDefault="00893E99" w:rsidP="00893E99">
      <w:pPr>
        <w:pStyle w:val="Heading3"/>
        <w:spacing w:before="0"/>
        <w:ind w:firstLine="284"/>
        <w:jc w:val="both"/>
        <w:rPr>
          <w:rFonts w:ascii="Garamond" w:hAnsi="Garamond"/>
          <w:b w:val="0"/>
          <w:i/>
          <w:color w:val="auto"/>
        </w:rPr>
      </w:pPr>
      <w:bookmarkStart w:id="86" w:name="_Toc108644295"/>
      <w:r w:rsidRPr="00795698">
        <w:rPr>
          <w:rFonts w:ascii="Garamond" w:hAnsi="Garamond"/>
          <w:b w:val="0"/>
          <w:i/>
          <w:color w:val="auto"/>
        </w:rPr>
        <w:lastRenderedPageBreak/>
        <w:t>Objektivi specifik 6.3 Përmirësimi dhe rritja e kapaciteteve njerëzore, profesionale</w:t>
      </w:r>
      <w:r w:rsidR="007C064A" w:rsidRPr="00795698">
        <w:rPr>
          <w:rFonts w:ascii="Garamond" w:hAnsi="Garamond"/>
          <w:b w:val="0"/>
          <w:i/>
          <w:color w:val="auto"/>
        </w:rPr>
        <w:t xml:space="preserve"> </w:t>
      </w:r>
      <w:r w:rsidRPr="00795698">
        <w:rPr>
          <w:rFonts w:ascii="Garamond" w:hAnsi="Garamond"/>
          <w:b w:val="0"/>
          <w:i/>
          <w:color w:val="auto"/>
        </w:rPr>
        <w:t>e logjistike të strukturave të antiterrorit</w:t>
      </w:r>
      <w:bookmarkEnd w:id="86"/>
    </w:p>
    <w:p w14:paraId="5FEEF994" w14:textId="4CDC7CCA" w:rsidR="00893E99" w:rsidRPr="00795698" w:rsidRDefault="00893E99" w:rsidP="00893E99">
      <w:pPr>
        <w:pStyle w:val="BodyText"/>
        <w:ind w:firstLine="284"/>
        <w:rPr>
          <w:rFonts w:ascii="Garamond" w:hAnsi="Garamond"/>
          <w:bCs/>
        </w:rPr>
      </w:pPr>
      <w:r w:rsidRPr="00795698">
        <w:rPr>
          <w:rFonts w:ascii="Garamond" w:hAnsi="Garamond"/>
          <w:b/>
          <w:bCs/>
        </w:rPr>
        <w:t>Masa 6.3.1:</w:t>
      </w:r>
      <w:r w:rsidRPr="00795698">
        <w:rPr>
          <w:rFonts w:ascii="Garamond" w:hAnsi="Garamond"/>
          <w:bCs/>
        </w:rPr>
        <w:t xml:space="preserve"> Trajnimi i vazhdueshëm me praktikat</w:t>
      </w:r>
      <w:r w:rsidR="007C064A" w:rsidRPr="00795698">
        <w:rPr>
          <w:rFonts w:ascii="Garamond" w:hAnsi="Garamond"/>
          <w:bCs/>
        </w:rPr>
        <w:t xml:space="preserve"> </w:t>
      </w:r>
      <w:r w:rsidRPr="00795698">
        <w:rPr>
          <w:rFonts w:ascii="Garamond" w:hAnsi="Garamond"/>
          <w:bCs/>
        </w:rPr>
        <w:t>e teknikat më të mira</w:t>
      </w:r>
      <w:r w:rsidR="007C064A" w:rsidRPr="00795698">
        <w:rPr>
          <w:rFonts w:ascii="Garamond" w:hAnsi="Garamond"/>
          <w:bCs/>
        </w:rPr>
        <w:t xml:space="preserve"> </w:t>
      </w:r>
      <w:r w:rsidRPr="00795698">
        <w:rPr>
          <w:rFonts w:ascii="Garamond" w:hAnsi="Garamond"/>
          <w:bCs/>
        </w:rPr>
        <w:t>bashkëkohore të strukturave të Drejtorisë së Antiterrorit.</w:t>
      </w:r>
    </w:p>
    <w:p w14:paraId="5FEEF995"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96" w14:textId="242FB680" w:rsidR="00893E99" w:rsidRPr="00795698" w:rsidRDefault="002D53A5" w:rsidP="002D53A5">
      <w:pPr>
        <w:pStyle w:val="TEKSTIIIII"/>
        <w:rPr>
          <w:lang w:val="sq-AL"/>
        </w:rPr>
      </w:pPr>
      <w:r w:rsidRPr="00795698">
        <w:rPr>
          <w:lang w:val="sq-AL"/>
        </w:rPr>
        <w:t xml:space="preserve">- </w:t>
      </w:r>
      <w:r w:rsidR="00893E99" w:rsidRPr="00795698">
        <w:rPr>
          <w:lang w:val="sq-AL"/>
        </w:rPr>
        <w:t>Numri i trajnimeve të strukturave të Drejtorisë së Antiterrorit mbi praktikat</w:t>
      </w:r>
      <w:r w:rsidR="007C064A" w:rsidRPr="00795698">
        <w:rPr>
          <w:lang w:val="sq-AL"/>
        </w:rPr>
        <w:t xml:space="preserve"> </w:t>
      </w:r>
      <w:r w:rsidR="00893E99" w:rsidRPr="00795698">
        <w:rPr>
          <w:lang w:val="sq-AL"/>
        </w:rPr>
        <w:t>e teknikat më të mira</w:t>
      </w:r>
      <w:r w:rsidR="007C064A" w:rsidRPr="00795698">
        <w:rPr>
          <w:lang w:val="sq-AL"/>
        </w:rPr>
        <w:t xml:space="preserve"> </w:t>
      </w:r>
      <w:r w:rsidR="00893E99" w:rsidRPr="00795698">
        <w:rPr>
          <w:lang w:val="sq-AL"/>
        </w:rPr>
        <w:t>bashkëkohore.</w:t>
      </w:r>
    </w:p>
    <w:p w14:paraId="5FEEF997" w14:textId="77777777" w:rsidR="00893E99" w:rsidRPr="00795698" w:rsidRDefault="00893E99" w:rsidP="00893E99">
      <w:pPr>
        <w:pStyle w:val="BodyText"/>
        <w:ind w:firstLine="284"/>
        <w:rPr>
          <w:rFonts w:ascii="Garamond" w:hAnsi="Garamond"/>
          <w:b/>
        </w:rPr>
      </w:pPr>
      <w:r w:rsidRPr="00795698">
        <w:rPr>
          <w:rFonts w:ascii="Garamond" w:hAnsi="Garamond"/>
          <w:b/>
        </w:rPr>
        <w:t xml:space="preserve">Rezultate të pritshme: </w:t>
      </w:r>
    </w:p>
    <w:p w14:paraId="5FEEF998" w14:textId="77777777" w:rsidR="00893E99" w:rsidRPr="00795698" w:rsidRDefault="002D53A5" w:rsidP="002D53A5">
      <w:pPr>
        <w:pStyle w:val="TEKSTIIIII"/>
        <w:rPr>
          <w:lang w:val="sq-AL"/>
        </w:rPr>
      </w:pPr>
      <w:r w:rsidRPr="00795698">
        <w:rPr>
          <w:lang w:val="sq-AL"/>
        </w:rPr>
        <w:t xml:space="preserve">- </w:t>
      </w:r>
      <w:r w:rsidR="00893E99" w:rsidRPr="00795698">
        <w:rPr>
          <w:lang w:val="sq-AL"/>
        </w:rPr>
        <w:t>Rritja e nivelit të ekspertizës dhe kapaciteteve operacionale-hetimore.</w:t>
      </w:r>
    </w:p>
    <w:p w14:paraId="5FEEF999" w14:textId="40FB4AC5"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87" w:name="_Toc108644296"/>
      <w:r w:rsidRPr="00795698">
        <w:rPr>
          <w:rFonts w:ascii="Garamond" w:hAnsi="Garamond"/>
          <w:b w:val="0"/>
          <w:color w:val="000000" w:themeColor="text1"/>
          <w:sz w:val="24"/>
          <w:szCs w:val="24"/>
        </w:rPr>
        <w:t>QËLLIMI I POLITIKËS 7: PËRMIRËSIMI I SISTEMEVE TË MBLEDHJES, RUAJTJES, ANALIZIMIT DHE SHPËRNDARJES SË INFORMACIONIT</w:t>
      </w:r>
      <w:bookmarkEnd w:id="87"/>
      <w:r w:rsidRPr="00795698">
        <w:rPr>
          <w:rFonts w:ascii="Garamond" w:hAnsi="Garamond"/>
          <w:b w:val="0"/>
          <w:color w:val="000000" w:themeColor="text1"/>
          <w:sz w:val="24"/>
          <w:szCs w:val="24"/>
        </w:rPr>
        <w:t xml:space="preserve"> </w:t>
      </w:r>
    </w:p>
    <w:p w14:paraId="5FEEF99A" w14:textId="43916C14" w:rsidR="00893E99" w:rsidRPr="00795698" w:rsidRDefault="00893E99" w:rsidP="00893E99">
      <w:pPr>
        <w:pStyle w:val="Heading3"/>
        <w:spacing w:before="0"/>
        <w:ind w:firstLine="284"/>
        <w:jc w:val="both"/>
        <w:rPr>
          <w:rFonts w:ascii="Garamond" w:hAnsi="Garamond"/>
          <w:b w:val="0"/>
          <w:i/>
          <w:color w:val="auto"/>
        </w:rPr>
      </w:pPr>
      <w:bookmarkStart w:id="88" w:name="_Toc108644297"/>
      <w:r w:rsidRPr="00795698">
        <w:rPr>
          <w:rFonts w:ascii="Garamond" w:hAnsi="Garamond"/>
          <w:b w:val="0"/>
          <w:i/>
          <w:color w:val="auto"/>
        </w:rPr>
        <w:t xml:space="preserve">Objektivi specifik 7.1: Krijimi i një sistemi të </w:t>
      </w:r>
      <w:r w:rsidR="006249E3" w:rsidRPr="00795698">
        <w:rPr>
          <w:rFonts w:ascii="Garamond" w:hAnsi="Garamond"/>
          <w:b w:val="0"/>
          <w:i/>
          <w:color w:val="auto"/>
        </w:rPr>
        <w:t>sigurt</w:t>
      </w:r>
      <w:r w:rsidRPr="00795698">
        <w:rPr>
          <w:rFonts w:ascii="Garamond" w:hAnsi="Garamond"/>
          <w:b w:val="0"/>
          <w:i/>
          <w:color w:val="auto"/>
        </w:rPr>
        <w:t xml:space="preserve"> të komunikimit për transmetimin e informacionit ndërmjet strukturave të përfshira në luftën kundër terrorizmit</w:t>
      </w:r>
      <w:bookmarkEnd w:id="88"/>
    </w:p>
    <w:p w14:paraId="5FEEF99B" w14:textId="20C50270" w:rsidR="00893E99" w:rsidRPr="00795698" w:rsidRDefault="00893E99" w:rsidP="00893E99">
      <w:pPr>
        <w:ind w:firstLine="284"/>
        <w:jc w:val="both"/>
        <w:rPr>
          <w:rFonts w:ascii="Garamond" w:hAnsi="Garamond"/>
        </w:rPr>
      </w:pPr>
      <w:r w:rsidRPr="00795698">
        <w:rPr>
          <w:rFonts w:ascii="Garamond" w:hAnsi="Garamond"/>
          <w:b/>
        </w:rPr>
        <w:t xml:space="preserve">Masa 7.1.1: </w:t>
      </w:r>
      <w:r w:rsidRPr="00795698">
        <w:rPr>
          <w:rFonts w:ascii="Garamond" w:hAnsi="Garamond"/>
        </w:rPr>
        <w:t xml:space="preserve">Përmirësimi i </w:t>
      </w:r>
      <w:r w:rsidR="00CA234B" w:rsidRPr="00795698">
        <w:rPr>
          <w:rFonts w:ascii="Garamond" w:hAnsi="Garamond"/>
        </w:rPr>
        <w:t>standardeve</w:t>
      </w:r>
      <w:r w:rsidRPr="00795698">
        <w:rPr>
          <w:rFonts w:ascii="Garamond" w:hAnsi="Garamond"/>
        </w:rPr>
        <w:t xml:space="preserve"> të sigurisë (fizike, informacionit dhe sigurisë së rrjeteve të komunikimit dhe shkëmbimit të informacionit)</w:t>
      </w:r>
    </w:p>
    <w:p w14:paraId="5FEEF99C"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9D" w14:textId="1F84FA09"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sigurisë së transmetimit</w:t>
      </w:r>
      <w:r w:rsidR="007C064A" w:rsidRPr="00795698">
        <w:rPr>
          <w:lang w:val="sq-AL"/>
        </w:rPr>
        <w:t xml:space="preserve"> </w:t>
      </w:r>
      <w:r w:rsidR="00893E99" w:rsidRPr="00795698">
        <w:rPr>
          <w:lang w:val="sq-AL"/>
        </w:rPr>
        <w:t>të informacionit ndërmjet strukturave të përfshira në luftën kundër terrorizmit</w:t>
      </w:r>
    </w:p>
    <w:p w14:paraId="5FEEF99E" w14:textId="01790770" w:rsidR="00893E99" w:rsidRPr="00795698" w:rsidRDefault="00893E99" w:rsidP="00893E99">
      <w:pPr>
        <w:pStyle w:val="Heading3"/>
        <w:spacing w:before="0"/>
        <w:ind w:firstLine="284"/>
        <w:jc w:val="both"/>
        <w:rPr>
          <w:rFonts w:ascii="Garamond" w:hAnsi="Garamond"/>
          <w:b w:val="0"/>
          <w:i/>
          <w:color w:val="auto"/>
        </w:rPr>
      </w:pPr>
      <w:bookmarkStart w:id="89" w:name="_Toc108644298"/>
      <w:r w:rsidRPr="00795698">
        <w:rPr>
          <w:rFonts w:ascii="Garamond" w:hAnsi="Garamond"/>
          <w:b w:val="0"/>
          <w:i/>
          <w:color w:val="auto"/>
        </w:rPr>
        <w:t>Objektivi specifik 7.2: Vlerësimi periodik i nivelit të rrezikut/kërcënimit të faktorëve dhe fenomeneve që prodhojnë radikalizëm apo ekstremizëm</w:t>
      </w:r>
      <w:bookmarkEnd w:id="89"/>
    </w:p>
    <w:p w14:paraId="5FEEF99F" w14:textId="77777777" w:rsidR="00893E99" w:rsidRPr="00795698" w:rsidRDefault="00893E99" w:rsidP="00893E99">
      <w:pPr>
        <w:ind w:firstLine="284"/>
        <w:jc w:val="both"/>
        <w:rPr>
          <w:rFonts w:ascii="Garamond" w:hAnsi="Garamond"/>
        </w:rPr>
      </w:pPr>
      <w:r w:rsidRPr="00795698">
        <w:rPr>
          <w:rFonts w:ascii="Garamond" w:hAnsi="Garamond"/>
          <w:b/>
        </w:rPr>
        <w:t xml:space="preserve">Masa 7.2.1: </w:t>
      </w:r>
      <w:r w:rsidRPr="00795698">
        <w:rPr>
          <w:rFonts w:ascii="Garamond" w:hAnsi="Garamond"/>
        </w:rPr>
        <w:t>Hartimi i raporteve periodike të vlerësimit të nivelit të rrezikut/kërcënimit të faktorëve dhe fenomeneve që prodhojnë radikalizëm apo ekstremizëm.</w:t>
      </w:r>
    </w:p>
    <w:p w14:paraId="5FEEF9A0" w14:textId="28C50131" w:rsidR="00893E99" w:rsidRPr="00795698" w:rsidRDefault="00893E99" w:rsidP="00893E99">
      <w:pPr>
        <w:ind w:firstLine="284"/>
        <w:jc w:val="both"/>
        <w:rPr>
          <w:rFonts w:ascii="Garamond" w:hAnsi="Garamond"/>
          <w:b/>
        </w:rPr>
      </w:pPr>
      <w:r w:rsidRPr="00795698">
        <w:rPr>
          <w:rFonts w:ascii="Garamond" w:hAnsi="Garamond"/>
          <w:b/>
        </w:rPr>
        <w:t xml:space="preserve">Masa 7.2.2: </w:t>
      </w:r>
      <w:r w:rsidRPr="00795698">
        <w:rPr>
          <w:rFonts w:ascii="Garamond" w:hAnsi="Garamond"/>
        </w:rPr>
        <w:t>Vënia në funksion të sistemit të përbashkët të të dhënave dhe gjenerimi i raporteve me vlerë vendi</w:t>
      </w:r>
      <w:r w:rsidR="00CA234B" w:rsidRPr="00795698">
        <w:rPr>
          <w:rFonts w:ascii="Garamond" w:hAnsi="Garamond"/>
        </w:rPr>
        <w:t>m</w:t>
      </w:r>
      <w:r w:rsidRPr="00795698">
        <w:rPr>
          <w:rFonts w:ascii="Garamond" w:hAnsi="Garamond"/>
        </w:rPr>
        <w:t xml:space="preserve">marrëse. </w:t>
      </w:r>
    </w:p>
    <w:p w14:paraId="5FEEF9A1"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A2"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cilësisë së analizimit të informacionit</w:t>
      </w:r>
    </w:p>
    <w:p w14:paraId="5FEEF9A3" w14:textId="60F71F3E" w:rsidR="00893E99" w:rsidRPr="00795698" w:rsidRDefault="00893E99" w:rsidP="00893E99">
      <w:pPr>
        <w:pStyle w:val="Heading3"/>
        <w:spacing w:before="0"/>
        <w:ind w:firstLine="284"/>
        <w:jc w:val="both"/>
        <w:rPr>
          <w:rFonts w:ascii="Garamond" w:hAnsi="Garamond"/>
          <w:b w:val="0"/>
          <w:i/>
          <w:color w:val="auto"/>
        </w:rPr>
      </w:pPr>
      <w:bookmarkStart w:id="90" w:name="_Toc108644299"/>
      <w:r w:rsidRPr="00795698">
        <w:rPr>
          <w:rFonts w:ascii="Garamond" w:hAnsi="Garamond"/>
          <w:b w:val="0"/>
          <w:i/>
          <w:color w:val="auto"/>
        </w:rPr>
        <w:t>Objektivi specifik 7.3 Bashkëpunimi dhe shkëmbimi i informacionit me agjencitë inteligjente dhe ligjzbatuese në vend dhe ato të huaja me përgjegjësi në luftën kundër terrorizmit për përcaktimin e nivelit të kërcënimit terrorist në rrafshin ndërkombëtar modus operandi dhe ndikimit të tij në Shqipëri</w:t>
      </w:r>
      <w:bookmarkEnd w:id="90"/>
    </w:p>
    <w:p w14:paraId="5FEEF9A4" w14:textId="77777777" w:rsidR="00893E99" w:rsidRPr="00795698" w:rsidRDefault="00893E99" w:rsidP="00893E99">
      <w:pPr>
        <w:ind w:firstLine="284"/>
        <w:jc w:val="both"/>
        <w:rPr>
          <w:rFonts w:ascii="Garamond" w:hAnsi="Garamond"/>
        </w:rPr>
      </w:pPr>
      <w:r w:rsidRPr="00795698">
        <w:rPr>
          <w:rFonts w:ascii="Garamond" w:hAnsi="Garamond"/>
          <w:b/>
        </w:rPr>
        <w:t>Masa 7.3.1:</w:t>
      </w:r>
      <w:r w:rsidRPr="00795698">
        <w:rPr>
          <w:rFonts w:ascii="Garamond" w:hAnsi="Garamond"/>
        </w:rPr>
        <w:t xml:space="preserve"> Shkëmbimi i ndërsjelltë i informacioneve me agjencitë homologe ndërkombëtare mbi modus operandi të terroristëve dhe grupeve terroriste</w:t>
      </w:r>
    </w:p>
    <w:p w14:paraId="5FEEF9A5" w14:textId="77777777" w:rsidR="00893E99" w:rsidRPr="00795698" w:rsidRDefault="00893E99" w:rsidP="00893E99">
      <w:pPr>
        <w:tabs>
          <w:tab w:val="left" w:pos="1276"/>
        </w:tabs>
        <w:ind w:firstLine="284"/>
        <w:jc w:val="both"/>
        <w:rPr>
          <w:rFonts w:ascii="Garamond" w:hAnsi="Garamond"/>
        </w:rPr>
      </w:pPr>
      <w:r w:rsidRPr="00795698">
        <w:rPr>
          <w:rFonts w:ascii="Garamond" w:hAnsi="Garamond"/>
          <w:b/>
        </w:rPr>
        <w:t>Masa 7.3.2:</w:t>
      </w:r>
      <w:r w:rsidRPr="00795698">
        <w:rPr>
          <w:rFonts w:ascii="Garamond" w:hAnsi="Garamond"/>
        </w:rPr>
        <w:t xml:space="preserve"> Mundësimi i aksesit në raporte apo studime të vendeve të rajonit apo ndërkombëtare për zhvillimet e terrorizmit mbi bazën e marrëveshjeve të bashkëpunimit</w:t>
      </w:r>
    </w:p>
    <w:p w14:paraId="5FEEF9A6" w14:textId="77777777" w:rsidR="00893E99" w:rsidRPr="00795698" w:rsidRDefault="00893E99" w:rsidP="00893E99">
      <w:pPr>
        <w:ind w:firstLine="284"/>
        <w:jc w:val="both"/>
        <w:rPr>
          <w:rFonts w:ascii="Garamond" w:hAnsi="Garamond"/>
        </w:rPr>
      </w:pPr>
      <w:r w:rsidRPr="00795698">
        <w:rPr>
          <w:rFonts w:ascii="Garamond" w:hAnsi="Garamond"/>
          <w:b/>
        </w:rPr>
        <w:t>Masa 7.3.3:</w:t>
      </w:r>
      <w:r w:rsidRPr="00795698">
        <w:rPr>
          <w:rFonts w:ascii="Garamond" w:hAnsi="Garamond"/>
        </w:rPr>
        <w:t xml:space="preserve"> Pjesëmarrje në takime, konferenca ose vizita studimore mbi dinamikat dhe format e reja të kërcënimeve terroriste</w:t>
      </w:r>
    </w:p>
    <w:p w14:paraId="5FEEF9A7"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A8"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aksesit në raporte/vlerësime burimeve dhe programe të organizatave</w:t>
      </w:r>
      <w:r w:rsidRPr="00795698">
        <w:rPr>
          <w:lang w:val="sq-AL"/>
        </w:rPr>
        <w:t xml:space="preserve"> </w:t>
      </w:r>
      <w:r w:rsidR="00893E99" w:rsidRPr="00795698">
        <w:rPr>
          <w:lang w:val="sq-AL"/>
        </w:rPr>
        <w:t>ndërkombëtare ose të vendeve të rajonit apo ndërkombëtare për modus operandi të kërcënimit terrorist ndërkombëtar</w:t>
      </w:r>
    </w:p>
    <w:p w14:paraId="5FEEF9A9" w14:textId="3987C608" w:rsidR="00893E99" w:rsidRPr="00795698" w:rsidRDefault="00893E99" w:rsidP="00893E99">
      <w:pPr>
        <w:pStyle w:val="Heading3"/>
        <w:spacing w:before="0"/>
        <w:ind w:firstLine="284"/>
        <w:jc w:val="both"/>
        <w:rPr>
          <w:rFonts w:ascii="Garamond" w:hAnsi="Garamond"/>
          <w:b w:val="0"/>
          <w:i/>
          <w:color w:val="auto"/>
        </w:rPr>
      </w:pPr>
      <w:bookmarkStart w:id="91" w:name="_Toc108644300"/>
      <w:r w:rsidRPr="00795698">
        <w:rPr>
          <w:rFonts w:ascii="Garamond" w:hAnsi="Garamond"/>
          <w:b w:val="0"/>
          <w:i/>
          <w:color w:val="auto"/>
        </w:rPr>
        <w:t>Objektivi specifik 7.4: Sigurimi i informacionit për terrorizmin, ekstremizmin e dhunshëm dhe radikalizimin, sabotazhin dhe Armët e Dëmtimit në Masë dhe informimi i institucioneve vendi</w:t>
      </w:r>
      <w:r w:rsidR="00CA234B" w:rsidRPr="00795698">
        <w:rPr>
          <w:rFonts w:ascii="Garamond" w:hAnsi="Garamond"/>
          <w:b w:val="0"/>
          <w:i/>
          <w:color w:val="auto"/>
        </w:rPr>
        <w:t>m</w:t>
      </w:r>
      <w:r w:rsidRPr="00795698">
        <w:rPr>
          <w:rFonts w:ascii="Garamond" w:hAnsi="Garamond"/>
          <w:b w:val="0"/>
          <w:i/>
          <w:color w:val="auto"/>
        </w:rPr>
        <w:t>marrëse, politikëbërëse, institucioneve dhe strukturave të tjera kompetente/përgjegjëse shtetërore dhe të zbatimit të ligjit</w:t>
      </w:r>
      <w:bookmarkEnd w:id="91"/>
    </w:p>
    <w:p w14:paraId="5FEEF9AA" w14:textId="77777777" w:rsidR="00893E99" w:rsidRPr="00795698" w:rsidRDefault="00893E99" w:rsidP="00893E99">
      <w:pPr>
        <w:ind w:firstLine="284"/>
        <w:jc w:val="both"/>
        <w:rPr>
          <w:rFonts w:ascii="Garamond" w:hAnsi="Garamond"/>
          <w:b/>
        </w:rPr>
      </w:pPr>
      <w:r w:rsidRPr="00795698">
        <w:rPr>
          <w:rFonts w:ascii="Garamond" w:hAnsi="Garamond"/>
          <w:b/>
        </w:rPr>
        <w:t xml:space="preserve">Masa 7.4.1: </w:t>
      </w:r>
      <w:r w:rsidRPr="00795698">
        <w:rPr>
          <w:rFonts w:ascii="Garamond" w:hAnsi="Garamond"/>
        </w:rPr>
        <w:t>Shkëmbimi i informacionit, përdorimi i burimeve dhe programeve të organizatave ndërkombëtare për zbulimin terrorizmit, ekstremizmit të dhunshëm dhe radikalizimit, sabotazhit dhe trafikimit të Armëve e Dëmtimit në Masë</w:t>
      </w:r>
    </w:p>
    <w:p w14:paraId="5FEEF9AB" w14:textId="584A4467" w:rsidR="00893E99" w:rsidRPr="00795698" w:rsidRDefault="00893E99" w:rsidP="00893E99">
      <w:pPr>
        <w:ind w:firstLine="284"/>
        <w:jc w:val="both"/>
        <w:rPr>
          <w:rFonts w:ascii="Garamond" w:hAnsi="Garamond"/>
        </w:rPr>
      </w:pPr>
      <w:r w:rsidRPr="00795698">
        <w:rPr>
          <w:rFonts w:ascii="Garamond" w:hAnsi="Garamond"/>
          <w:b/>
        </w:rPr>
        <w:t xml:space="preserve">Masa 7.4.2: </w:t>
      </w:r>
      <w:r w:rsidRPr="00795698">
        <w:rPr>
          <w:rFonts w:ascii="Garamond" w:hAnsi="Garamond"/>
        </w:rPr>
        <w:t>Informimi i strukturave vendi</w:t>
      </w:r>
      <w:r w:rsidR="00CA234B" w:rsidRPr="00795698">
        <w:rPr>
          <w:rFonts w:ascii="Garamond" w:hAnsi="Garamond"/>
        </w:rPr>
        <w:t>m</w:t>
      </w:r>
      <w:r w:rsidRPr="00795698">
        <w:rPr>
          <w:rFonts w:ascii="Garamond" w:hAnsi="Garamond"/>
        </w:rPr>
        <w:t>marrëse</w:t>
      </w:r>
      <w:r w:rsidR="007C064A" w:rsidRPr="00795698">
        <w:rPr>
          <w:rFonts w:ascii="Garamond" w:hAnsi="Garamond"/>
        </w:rPr>
        <w:t xml:space="preserve"> </w:t>
      </w:r>
      <w:r w:rsidRPr="00795698">
        <w:rPr>
          <w:rFonts w:ascii="Garamond" w:hAnsi="Garamond"/>
        </w:rPr>
        <w:t>mbi problematikat e raporteve të riskut ose zhvillimeve aktuale/të pritshme kombëtare ose të huaja në fushën e terrorizmit</w:t>
      </w:r>
    </w:p>
    <w:p w14:paraId="5FEEF9AC" w14:textId="0C8DDDEF" w:rsidR="00893E99" w:rsidRPr="00795698" w:rsidRDefault="00893E99" w:rsidP="00893E99">
      <w:pPr>
        <w:ind w:firstLine="284"/>
        <w:jc w:val="both"/>
        <w:rPr>
          <w:rFonts w:ascii="Garamond" w:hAnsi="Garamond"/>
        </w:rPr>
      </w:pPr>
      <w:r w:rsidRPr="00795698">
        <w:rPr>
          <w:rFonts w:ascii="Garamond" w:hAnsi="Garamond"/>
          <w:b/>
        </w:rPr>
        <w:lastRenderedPageBreak/>
        <w:t>Masa 7.4.3:</w:t>
      </w:r>
      <w:r w:rsidRPr="00795698">
        <w:rPr>
          <w:rFonts w:ascii="Garamond" w:hAnsi="Garamond"/>
        </w:rPr>
        <w:t xml:space="preserve"> Propozimi i zgjidhjeve dhe metodave bazuar në ekspertizën mbi zhvillimet dhe metodat bashkë</w:t>
      </w:r>
      <w:r w:rsidR="00CA234B" w:rsidRPr="00795698">
        <w:rPr>
          <w:rFonts w:ascii="Garamond" w:hAnsi="Garamond"/>
        </w:rPr>
        <w:t>ko</w:t>
      </w:r>
      <w:r w:rsidRPr="00795698">
        <w:rPr>
          <w:rFonts w:ascii="Garamond" w:hAnsi="Garamond"/>
        </w:rPr>
        <w:t>hore të inteligjencës</w:t>
      </w:r>
    </w:p>
    <w:p w14:paraId="5FEEF9AD"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AE" w14:textId="32A3FDBF"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shpejtësisë së shkëmbimit të informacionit me efekte vendim</w:t>
      </w:r>
      <w:r w:rsidR="00CA234B" w:rsidRPr="00795698">
        <w:rPr>
          <w:lang w:val="sq-AL"/>
        </w:rPr>
        <w:t>m</w:t>
      </w:r>
      <w:r w:rsidR="00893E99" w:rsidRPr="00795698">
        <w:rPr>
          <w:lang w:val="sq-AL"/>
        </w:rPr>
        <w:t>arrëse</w:t>
      </w:r>
    </w:p>
    <w:p w14:paraId="5FEEF9AF" w14:textId="77777777" w:rsidR="00893E99" w:rsidRPr="00795698" w:rsidRDefault="00893E99" w:rsidP="00893E99">
      <w:pPr>
        <w:pStyle w:val="Heading3"/>
        <w:spacing w:before="0"/>
        <w:ind w:firstLine="284"/>
        <w:jc w:val="both"/>
        <w:rPr>
          <w:rFonts w:ascii="Garamond" w:hAnsi="Garamond"/>
          <w:b w:val="0"/>
          <w:i/>
          <w:color w:val="auto"/>
        </w:rPr>
      </w:pPr>
      <w:bookmarkStart w:id="92" w:name="_Toc108644301"/>
      <w:r w:rsidRPr="00795698">
        <w:rPr>
          <w:rFonts w:ascii="Garamond" w:hAnsi="Garamond"/>
          <w:b w:val="0"/>
          <w:i/>
          <w:color w:val="auto"/>
        </w:rPr>
        <w:t>Objektivi specifik 7.5: Konsolidimi dhe forcimi i bashkëpunimit me: strukturat e specializuara të Policisë së Shtetit; institucionet e sistemit të sigurisë kombëtare; shërbimet inteligjente të vendeve aleate dhe partnere</w:t>
      </w:r>
      <w:bookmarkEnd w:id="92"/>
    </w:p>
    <w:p w14:paraId="5FEEF9B0" w14:textId="2CAC6E65" w:rsidR="00893E99" w:rsidRPr="00795698" w:rsidRDefault="00893E99" w:rsidP="00893E99">
      <w:pPr>
        <w:ind w:firstLine="284"/>
        <w:jc w:val="both"/>
        <w:rPr>
          <w:rFonts w:ascii="Garamond" w:hAnsi="Garamond"/>
          <w:b/>
        </w:rPr>
      </w:pPr>
      <w:r w:rsidRPr="00795698">
        <w:rPr>
          <w:rFonts w:ascii="Garamond" w:hAnsi="Garamond"/>
          <w:b/>
        </w:rPr>
        <w:t xml:space="preserve">Masa 7.5.1: </w:t>
      </w:r>
      <w:r w:rsidRPr="00795698">
        <w:rPr>
          <w:rFonts w:ascii="Garamond" w:hAnsi="Garamond"/>
        </w:rPr>
        <w:t>Identifikimi i nevojave</w:t>
      </w:r>
      <w:r w:rsidR="007C064A" w:rsidRPr="00795698">
        <w:rPr>
          <w:rFonts w:ascii="Garamond" w:hAnsi="Garamond"/>
        </w:rPr>
        <w:t xml:space="preserve"> </w:t>
      </w:r>
      <w:r w:rsidRPr="00795698">
        <w:rPr>
          <w:rFonts w:ascii="Garamond" w:hAnsi="Garamond"/>
        </w:rPr>
        <w:t>për marrëveshje dy ose shumëpalëshe për rritjen e bashkëpunimit në fushën e hetimit</w:t>
      </w:r>
      <w:r w:rsidR="007C064A" w:rsidRPr="00795698">
        <w:rPr>
          <w:rFonts w:ascii="Garamond" w:hAnsi="Garamond"/>
        </w:rPr>
        <w:t xml:space="preserve"> </w:t>
      </w:r>
      <w:r w:rsidRPr="00795698">
        <w:rPr>
          <w:rFonts w:ascii="Garamond" w:hAnsi="Garamond"/>
        </w:rPr>
        <w:t>të terrorizmit dhe financimit të tij</w:t>
      </w:r>
    </w:p>
    <w:p w14:paraId="5FEEF9B1" w14:textId="77777777" w:rsidR="00893E99" w:rsidRPr="00795698" w:rsidRDefault="00893E99" w:rsidP="00893E99">
      <w:pPr>
        <w:ind w:firstLine="284"/>
        <w:jc w:val="both"/>
        <w:rPr>
          <w:rFonts w:ascii="Garamond" w:hAnsi="Garamond"/>
        </w:rPr>
      </w:pPr>
      <w:r w:rsidRPr="00795698">
        <w:rPr>
          <w:rFonts w:ascii="Garamond" w:hAnsi="Garamond"/>
          <w:b/>
        </w:rPr>
        <w:t xml:space="preserve">Masa 7.5.2: </w:t>
      </w:r>
      <w:r w:rsidRPr="00795698">
        <w:rPr>
          <w:rFonts w:ascii="Garamond" w:hAnsi="Garamond"/>
        </w:rPr>
        <w:t>Krijimi i rrjetit të pikave të përbashkëta të kontaktit dhe sistemeve elektronike të sigurta për shkëmbime dinamike të informacionit në funksion të hetimeve kombëtare dhe ndërkombëtare për terrorizmin.</w:t>
      </w:r>
    </w:p>
    <w:p w14:paraId="5FEEF9B2" w14:textId="43DDB106" w:rsidR="00893E99" w:rsidRPr="00795698" w:rsidRDefault="00893E99" w:rsidP="00893E99">
      <w:pPr>
        <w:ind w:firstLine="284"/>
        <w:jc w:val="both"/>
        <w:rPr>
          <w:rFonts w:ascii="Garamond" w:hAnsi="Garamond"/>
          <w:bCs/>
          <w:color w:val="000000" w:themeColor="text1"/>
        </w:rPr>
      </w:pPr>
      <w:bookmarkStart w:id="93" w:name="_Toc108644302"/>
      <w:bookmarkStart w:id="94" w:name="_Hlk58543544"/>
      <w:r w:rsidRPr="00795698">
        <w:rPr>
          <w:rFonts w:ascii="Garamond" w:hAnsi="Garamond"/>
          <w:color w:val="000000" w:themeColor="text1"/>
        </w:rPr>
        <w:t>QASJA 3: REAGIMI, REHABILITIMI DHE RIINTEGRIMI</w:t>
      </w:r>
      <w:bookmarkEnd w:id="93"/>
    </w:p>
    <w:p w14:paraId="5FEEF9B3" w14:textId="7F09B64F" w:rsidR="00893E99" w:rsidRPr="00795698" w:rsidRDefault="00893E99" w:rsidP="00893E99">
      <w:pPr>
        <w:pStyle w:val="Heading2"/>
        <w:spacing w:before="0"/>
        <w:ind w:firstLine="284"/>
        <w:jc w:val="both"/>
        <w:rPr>
          <w:rFonts w:ascii="Garamond" w:hAnsi="Garamond"/>
          <w:color w:val="000000" w:themeColor="text1"/>
          <w:sz w:val="24"/>
          <w:szCs w:val="24"/>
        </w:rPr>
      </w:pPr>
      <w:bookmarkStart w:id="95" w:name="_Toc108644303"/>
      <w:bookmarkEnd w:id="94"/>
      <w:r w:rsidRPr="00795698">
        <w:rPr>
          <w:rFonts w:ascii="Garamond" w:hAnsi="Garamond"/>
          <w:b w:val="0"/>
          <w:color w:val="000000" w:themeColor="text1"/>
          <w:sz w:val="24"/>
          <w:szCs w:val="24"/>
        </w:rPr>
        <w:t>QËLLIMI I POLITIKËS 8: REAGIM NËPËRMJET FORCIMIT TË KAPACITETEVE TË INSTITUCIONEVE PËRKATË</w:t>
      </w:r>
      <w:r w:rsidR="00CA234B" w:rsidRPr="00795698">
        <w:rPr>
          <w:rFonts w:ascii="Garamond" w:hAnsi="Garamond"/>
          <w:b w:val="0"/>
          <w:color w:val="000000" w:themeColor="text1"/>
          <w:sz w:val="24"/>
          <w:szCs w:val="24"/>
        </w:rPr>
        <w:t>S</w:t>
      </w:r>
      <w:r w:rsidRPr="00795698">
        <w:rPr>
          <w:rFonts w:ascii="Garamond" w:hAnsi="Garamond"/>
          <w:b w:val="0"/>
          <w:color w:val="000000" w:themeColor="text1"/>
          <w:sz w:val="24"/>
          <w:szCs w:val="24"/>
        </w:rPr>
        <w:t>E PËR T</w:t>
      </w:r>
      <w:r w:rsidR="0041767D" w:rsidRPr="00795698">
        <w:rPr>
          <w:rFonts w:ascii="Garamond" w:hAnsi="Garamond"/>
          <w:b w:val="0"/>
          <w:color w:val="000000" w:themeColor="text1"/>
          <w:sz w:val="24"/>
          <w:szCs w:val="24"/>
        </w:rPr>
        <w:t>’</w:t>
      </w:r>
      <w:r w:rsidRPr="00795698">
        <w:rPr>
          <w:rFonts w:ascii="Garamond" w:hAnsi="Garamond"/>
          <w:b w:val="0"/>
          <w:color w:val="000000" w:themeColor="text1"/>
          <w:sz w:val="24"/>
          <w:szCs w:val="24"/>
        </w:rPr>
        <w:t>IU PËRGJIGJUR SULMEVE TERRORISTE</w:t>
      </w:r>
      <w:bookmarkEnd w:id="95"/>
    </w:p>
    <w:p w14:paraId="5FEEF9B4" w14:textId="77777777" w:rsidR="00893E99" w:rsidRPr="00795698" w:rsidRDefault="00893E99" w:rsidP="00893E99">
      <w:pPr>
        <w:pStyle w:val="Heading3"/>
        <w:spacing w:before="0"/>
        <w:ind w:firstLine="284"/>
        <w:jc w:val="both"/>
        <w:rPr>
          <w:rFonts w:ascii="Garamond" w:hAnsi="Garamond"/>
          <w:b w:val="0"/>
          <w:i/>
          <w:color w:val="auto"/>
        </w:rPr>
      </w:pPr>
      <w:bookmarkStart w:id="96" w:name="_Toc108644304"/>
      <w:r w:rsidRPr="00795698">
        <w:rPr>
          <w:rFonts w:ascii="Garamond" w:hAnsi="Garamond"/>
          <w:b w:val="0"/>
          <w:i/>
          <w:color w:val="auto"/>
        </w:rPr>
        <w:t>Objektivi specifik 8.1: Konsolidimi i kapaciteteve të mbrojtjes civile, në nivelin qendror dhe atë lokal</w:t>
      </w:r>
      <w:bookmarkEnd w:id="96"/>
    </w:p>
    <w:p w14:paraId="5FEEF9B5" w14:textId="77777777" w:rsidR="00893E99" w:rsidRPr="00795698" w:rsidRDefault="00893E99" w:rsidP="00893E99">
      <w:pPr>
        <w:ind w:firstLine="284"/>
        <w:jc w:val="both"/>
        <w:rPr>
          <w:rFonts w:ascii="Garamond" w:hAnsi="Garamond"/>
          <w:bCs/>
        </w:rPr>
      </w:pPr>
      <w:bookmarkStart w:id="97" w:name="_Hlk60115620"/>
      <w:r w:rsidRPr="00795698">
        <w:rPr>
          <w:rFonts w:ascii="Garamond" w:hAnsi="Garamond"/>
          <w:b/>
        </w:rPr>
        <w:t xml:space="preserve">Masa 8.1.1: </w:t>
      </w:r>
      <w:bookmarkEnd w:id="97"/>
      <w:r w:rsidRPr="00795698">
        <w:rPr>
          <w:rFonts w:ascii="Garamond" w:hAnsi="Garamond"/>
          <w:bCs/>
        </w:rPr>
        <w:t>Krijimi i kapaciteteve për përballimin e akteve terroriste brenda Republikës së Shqipërisë përmes trajnimeve në nivel kombëtar dhe ndërkombëtar të personelit të Forcave të Armatosura.</w:t>
      </w:r>
    </w:p>
    <w:p w14:paraId="5FEEF9B6"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B7" w14:textId="77777777" w:rsidR="00893E99" w:rsidRPr="00795698" w:rsidRDefault="002D53A5" w:rsidP="002D53A5">
      <w:pPr>
        <w:pStyle w:val="TEKSTIIIII"/>
        <w:rPr>
          <w:lang w:val="sq-AL"/>
        </w:rPr>
      </w:pPr>
      <w:r w:rsidRPr="00795698">
        <w:rPr>
          <w:lang w:val="sq-AL"/>
        </w:rPr>
        <w:t xml:space="preserve">- </w:t>
      </w:r>
      <w:r w:rsidR="00893E99" w:rsidRPr="00795698">
        <w:rPr>
          <w:lang w:val="sq-AL"/>
        </w:rPr>
        <w:t>Indeksi i rritjes së kapaciteteve të reaguese ndaj sulmeve të mundshme terroriste.</w:t>
      </w:r>
    </w:p>
    <w:p w14:paraId="5FEEF9B8" w14:textId="77777777"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98" w:name="_Toc108644305"/>
      <w:r w:rsidRPr="00795698">
        <w:rPr>
          <w:rFonts w:ascii="Garamond" w:hAnsi="Garamond"/>
          <w:b w:val="0"/>
          <w:color w:val="000000" w:themeColor="text1"/>
          <w:sz w:val="24"/>
          <w:szCs w:val="24"/>
        </w:rPr>
        <w:t>QËLLIMI I POLITIKËS 9: REAGIM NËPËRMJET REDUKTIMIT DHE LEHTËSIMIT TË PASOJAVE TË FENOMENEVE TË RADIKALIZMIT, EKSTREMIZMIT TË DHUNSHËM DHE TERRORIZMIT</w:t>
      </w:r>
      <w:bookmarkEnd w:id="98"/>
    </w:p>
    <w:p w14:paraId="5FEEF9B9" w14:textId="49BDEBC9" w:rsidR="00893E99" w:rsidRPr="00795698" w:rsidRDefault="00893E99" w:rsidP="00893E99">
      <w:pPr>
        <w:pStyle w:val="Heading3"/>
        <w:spacing w:before="0"/>
        <w:ind w:firstLine="284"/>
        <w:jc w:val="both"/>
        <w:rPr>
          <w:rFonts w:ascii="Garamond" w:hAnsi="Garamond"/>
          <w:b w:val="0"/>
          <w:i/>
          <w:color w:val="auto"/>
        </w:rPr>
      </w:pPr>
      <w:bookmarkStart w:id="99" w:name="_Toc108644306"/>
      <w:r w:rsidRPr="00795698">
        <w:rPr>
          <w:rFonts w:ascii="Garamond" w:hAnsi="Garamond"/>
          <w:b w:val="0"/>
          <w:i/>
          <w:color w:val="auto"/>
        </w:rPr>
        <w:t>Objektivi specifik 9.1: Ngritja e kapaciteteve për menaxhimin e</w:t>
      </w:r>
      <w:r w:rsidR="007C064A" w:rsidRPr="00795698">
        <w:rPr>
          <w:rFonts w:ascii="Garamond" w:hAnsi="Garamond"/>
          <w:b w:val="0"/>
          <w:i/>
          <w:color w:val="auto"/>
        </w:rPr>
        <w:t xml:space="preserve"> </w:t>
      </w:r>
      <w:r w:rsidRPr="00795698">
        <w:rPr>
          <w:rFonts w:ascii="Garamond" w:hAnsi="Garamond"/>
          <w:b w:val="0"/>
          <w:i/>
          <w:color w:val="auto"/>
        </w:rPr>
        <w:t>dhënies së ndihmës viktimave të</w:t>
      </w:r>
      <w:r w:rsidR="007C064A" w:rsidRPr="00795698">
        <w:rPr>
          <w:rFonts w:ascii="Garamond" w:hAnsi="Garamond"/>
          <w:b w:val="0"/>
          <w:i/>
          <w:color w:val="auto"/>
        </w:rPr>
        <w:t xml:space="preserve"> </w:t>
      </w:r>
      <w:r w:rsidRPr="00795698">
        <w:rPr>
          <w:rFonts w:ascii="Garamond" w:hAnsi="Garamond"/>
          <w:b w:val="0"/>
          <w:i/>
          <w:color w:val="auto"/>
        </w:rPr>
        <w:t>terrorizmit sipas konventës</w:t>
      </w:r>
      <w:r w:rsidR="007C064A" w:rsidRPr="00795698">
        <w:rPr>
          <w:rFonts w:ascii="Garamond" w:hAnsi="Garamond"/>
          <w:b w:val="0"/>
          <w:i/>
          <w:color w:val="auto"/>
        </w:rPr>
        <w:t xml:space="preserve"> </w:t>
      </w:r>
      <w:r w:rsidRPr="00795698">
        <w:rPr>
          <w:rFonts w:ascii="Garamond" w:hAnsi="Garamond"/>
          <w:b w:val="0"/>
          <w:i/>
          <w:color w:val="auto"/>
        </w:rPr>
        <w:t>evropiane</w:t>
      </w:r>
      <w:r w:rsidR="007C064A" w:rsidRPr="00795698">
        <w:rPr>
          <w:rFonts w:ascii="Garamond" w:hAnsi="Garamond"/>
          <w:b w:val="0"/>
          <w:i/>
          <w:color w:val="auto"/>
        </w:rPr>
        <w:t xml:space="preserve"> </w:t>
      </w:r>
      <w:r w:rsidRPr="00795698">
        <w:rPr>
          <w:rFonts w:ascii="Garamond" w:hAnsi="Garamond"/>
          <w:b w:val="0"/>
          <w:i/>
          <w:color w:val="auto"/>
        </w:rPr>
        <w:t>për kompensimin e viktimave të terrorizmit</w:t>
      </w:r>
      <w:bookmarkEnd w:id="99"/>
    </w:p>
    <w:p w14:paraId="5FEEF9BA" w14:textId="77777777" w:rsidR="00893E99" w:rsidRPr="00795698" w:rsidRDefault="00893E99" w:rsidP="00893E99">
      <w:pPr>
        <w:ind w:firstLine="284"/>
        <w:jc w:val="both"/>
        <w:rPr>
          <w:rFonts w:ascii="Garamond" w:hAnsi="Garamond"/>
          <w:bCs/>
        </w:rPr>
      </w:pPr>
      <w:r w:rsidRPr="00795698">
        <w:rPr>
          <w:rFonts w:ascii="Garamond" w:hAnsi="Garamond"/>
          <w:b/>
        </w:rPr>
        <w:t xml:space="preserve">Masa 9.1.1: </w:t>
      </w:r>
      <w:r w:rsidRPr="00795698">
        <w:rPr>
          <w:rFonts w:ascii="Garamond" w:hAnsi="Garamond"/>
          <w:bCs/>
        </w:rPr>
        <w:t>Hartimi i Planit për koordinimin ndërinstitucional në menaxhimin e krizave pas një akti terrorist.</w:t>
      </w:r>
    </w:p>
    <w:p w14:paraId="5FEEF9BB" w14:textId="77777777" w:rsidR="002D53A5" w:rsidRPr="00795698" w:rsidRDefault="002D53A5" w:rsidP="002D53A5">
      <w:pPr>
        <w:pStyle w:val="BodyText"/>
        <w:ind w:firstLine="284"/>
        <w:rPr>
          <w:rFonts w:ascii="Garamond" w:hAnsi="Garamond"/>
          <w:b/>
          <w:bCs/>
        </w:rPr>
      </w:pPr>
      <w:r w:rsidRPr="00795698">
        <w:rPr>
          <w:rFonts w:ascii="Garamond" w:hAnsi="Garamond"/>
          <w:b/>
          <w:bCs/>
        </w:rPr>
        <w:t xml:space="preserve">Indikatorë të matshëm: </w:t>
      </w:r>
    </w:p>
    <w:p w14:paraId="5FEEF9BC" w14:textId="75507A20" w:rsidR="00893E99" w:rsidRPr="00795698" w:rsidRDefault="002D53A5" w:rsidP="002D53A5">
      <w:pPr>
        <w:pStyle w:val="BodyText"/>
        <w:ind w:firstLine="284"/>
        <w:rPr>
          <w:rFonts w:ascii="Garamond" w:hAnsi="Garamond"/>
          <w:b/>
          <w:bCs/>
        </w:rPr>
      </w:pPr>
      <w:r w:rsidRPr="00795698">
        <w:rPr>
          <w:rFonts w:ascii="Garamond" w:hAnsi="Garamond"/>
          <w:b/>
          <w:bCs/>
        </w:rPr>
        <w:t xml:space="preserve">- </w:t>
      </w:r>
      <w:r w:rsidR="00893E99" w:rsidRPr="00795698">
        <w:rPr>
          <w:rFonts w:ascii="Garamond" w:hAnsi="Garamond"/>
          <w:bCs/>
        </w:rPr>
        <w:t>Indeksi i rritjes së mekanizmave</w:t>
      </w:r>
      <w:r w:rsidR="007C064A" w:rsidRPr="00795698">
        <w:rPr>
          <w:rFonts w:ascii="Garamond" w:hAnsi="Garamond"/>
          <w:bCs/>
        </w:rPr>
        <w:t xml:space="preserve"> </w:t>
      </w:r>
      <w:r w:rsidR="00893E99" w:rsidRPr="00795698">
        <w:rPr>
          <w:rFonts w:ascii="Garamond" w:hAnsi="Garamond"/>
          <w:bCs/>
        </w:rPr>
        <w:t>koordinues ndërinstitucional në menaxhimin e krizave pas një akti terrorist.</w:t>
      </w:r>
    </w:p>
    <w:p w14:paraId="5FEEF9BD" w14:textId="1D5AEA5D" w:rsidR="00893E99" w:rsidRPr="00795698" w:rsidRDefault="00893E99" w:rsidP="00893E99">
      <w:pPr>
        <w:pStyle w:val="Heading3"/>
        <w:spacing w:before="0"/>
        <w:ind w:firstLine="284"/>
        <w:jc w:val="both"/>
        <w:rPr>
          <w:rFonts w:ascii="Garamond" w:hAnsi="Garamond"/>
          <w:b w:val="0"/>
          <w:i/>
          <w:color w:val="auto"/>
        </w:rPr>
      </w:pPr>
      <w:bookmarkStart w:id="100" w:name="_Toc108644307"/>
      <w:r w:rsidRPr="00795698">
        <w:rPr>
          <w:rFonts w:ascii="Garamond" w:hAnsi="Garamond"/>
          <w:b w:val="0"/>
          <w:i/>
          <w:color w:val="auto"/>
        </w:rPr>
        <w:t xml:space="preserve">Objektivi </w:t>
      </w:r>
      <w:r w:rsidR="00CA234B" w:rsidRPr="00795698">
        <w:rPr>
          <w:rFonts w:ascii="Garamond" w:hAnsi="Garamond"/>
          <w:b w:val="0"/>
          <w:i/>
          <w:color w:val="auto"/>
        </w:rPr>
        <w:t>s</w:t>
      </w:r>
      <w:r w:rsidRPr="00795698">
        <w:rPr>
          <w:rFonts w:ascii="Garamond" w:hAnsi="Garamond"/>
          <w:b w:val="0"/>
          <w:i/>
          <w:color w:val="auto"/>
        </w:rPr>
        <w:t>pecifik 9.2: Përmirësim i infrastrukturës dhe ngritja e kapaciteteve të institucioneve publike për rehabilitimin dhe riintegrimin e personave të radikalizuar ose të kthyer nga zonat e konfliktit</w:t>
      </w:r>
      <w:bookmarkEnd w:id="100"/>
      <w:r w:rsidRPr="00795698">
        <w:rPr>
          <w:rFonts w:ascii="Garamond" w:hAnsi="Garamond"/>
          <w:b w:val="0"/>
          <w:i/>
          <w:color w:val="auto"/>
        </w:rPr>
        <w:t xml:space="preserve"> (sipas Planit të Veprimit për Parandalimin e Ekstremizmit të Dhunshëm objektivi specifik nr. 3.1 me masat 3.1.1-3.1.14)</w:t>
      </w:r>
    </w:p>
    <w:p w14:paraId="5FEEF9BE" w14:textId="77777777" w:rsidR="00893E99" w:rsidRPr="00795698" w:rsidRDefault="00893E99" w:rsidP="00893E99">
      <w:pPr>
        <w:ind w:firstLine="284"/>
        <w:jc w:val="both"/>
        <w:rPr>
          <w:rFonts w:ascii="Garamond" w:hAnsi="Garamond"/>
          <w:bCs/>
        </w:rPr>
      </w:pPr>
      <w:r w:rsidRPr="00795698">
        <w:rPr>
          <w:rFonts w:ascii="Garamond" w:hAnsi="Garamond"/>
          <w:b/>
          <w:bCs/>
        </w:rPr>
        <w:t>Masa 9.2.1:</w:t>
      </w:r>
      <w:r w:rsidRPr="00795698">
        <w:rPr>
          <w:rFonts w:ascii="Garamond" w:hAnsi="Garamond"/>
          <w:bCs/>
        </w:rPr>
        <w:t xml:space="preserve"> Koordinimi me NJVV për hartimin e protokollit të menaxhimit të rasteve të ekstremizmit të dhunshëm në nivel vendor.</w:t>
      </w:r>
    </w:p>
    <w:p w14:paraId="5FEEF9BF" w14:textId="221273AA" w:rsidR="00893E99" w:rsidRPr="00795698" w:rsidRDefault="00893E99" w:rsidP="00893E99">
      <w:pPr>
        <w:ind w:firstLine="284"/>
        <w:jc w:val="both"/>
        <w:rPr>
          <w:rFonts w:ascii="Garamond" w:hAnsi="Garamond"/>
          <w:bCs/>
        </w:rPr>
      </w:pPr>
      <w:r w:rsidRPr="00795698">
        <w:rPr>
          <w:rFonts w:ascii="Garamond" w:hAnsi="Garamond"/>
          <w:b/>
          <w:bCs/>
        </w:rPr>
        <w:t>Masa 9.2.2:</w:t>
      </w:r>
      <w:r w:rsidRPr="00795698">
        <w:rPr>
          <w:rFonts w:ascii="Garamond" w:hAnsi="Garamond"/>
          <w:bCs/>
        </w:rPr>
        <w:t xml:space="preserve"> Konsolidimi i kuadrit normativ për riorganizimin strukturor, rishikimin e</w:t>
      </w:r>
      <w:r w:rsidR="007C064A" w:rsidRPr="00795698">
        <w:rPr>
          <w:rFonts w:ascii="Garamond" w:hAnsi="Garamond"/>
          <w:bCs/>
        </w:rPr>
        <w:t xml:space="preserve"> </w:t>
      </w:r>
      <w:r w:rsidRPr="00795698">
        <w:rPr>
          <w:rFonts w:ascii="Garamond" w:hAnsi="Garamond"/>
          <w:bCs/>
        </w:rPr>
        <w:t>misionit dhe përgjegjësive të QKEDH, funksionimin dhe bashkëveprimin ndëristitucional të saj me synim rritjen e kapaciteteve dhe fuqizimin e statusit institucional dhe zgjerimin e spektrit të përgjegjësive të saj.</w:t>
      </w:r>
    </w:p>
    <w:p w14:paraId="5FEEF9C0" w14:textId="77777777" w:rsidR="00893E99" w:rsidRPr="00795698" w:rsidRDefault="00893E99" w:rsidP="00893E99">
      <w:pPr>
        <w:ind w:firstLine="284"/>
        <w:jc w:val="both"/>
        <w:rPr>
          <w:rFonts w:ascii="Garamond" w:hAnsi="Garamond"/>
          <w:bCs/>
        </w:rPr>
      </w:pPr>
      <w:r w:rsidRPr="00795698">
        <w:rPr>
          <w:rFonts w:ascii="Garamond" w:hAnsi="Garamond"/>
          <w:b/>
          <w:bCs/>
        </w:rPr>
        <w:t>Masa 9.2.3:</w:t>
      </w:r>
      <w:r w:rsidRPr="00795698">
        <w:rPr>
          <w:rFonts w:ascii="Garamond" w:hAnsi="Garamond"/>
          <w:bCs/>
        </w:rPr>
        <w:t xml:space="preserve"> Analiza dhe vlerësimi i kuadrit rregullator për parandalimin e radikalizmit online dhe ekstremizmit të dhunshëm.</w:t>
      </w:r>
    </w:p>
    <w:p w14:paraId="5FEEF9C1" w14:textId="77777777" w:rsidR="00893E99" w:rsidRPr="00795698" w:rsidRDefault="00893E99" w:rsidP="00893E99">
      <w:pPr>
        <w:ind w:firstLine="284"/>
        <w:jc w:val="both"/>
        <w:rPr>
          <w:rFonts w:ascii="Garamond" w:hAnsi="Garamond"/>
          <w:bCs/>
        </w:rPr>
      </w:pPr>
      <w:r w:rsidRPr="00795698">
        <w:rPr>
          <w:rFonts w:ascii="Garamond" w:hAnsi="Garamond"/>
          <w:b/>
          <w:bCs/>
        </w:rPr>
        <w:t>Masa 9.2.4:</w:t>
      </w:r>
      <w:r w:rsidRPr="00795698">
        <w:rPr>
          <w:rFonts w:ascii="Garamond" w:hAnsi="Garamond"/>
          <w:bCs/>
        </w:rPr>
        <w:t xml:space="preserve"> Miratimi i protokollit dhe i aktit administrativ që përcakton institucionet përgjegjëse dhe afatet kohore në zbatimin e masave në trajtim të individët e radikalizuar dhe ekstremistët e dhunshëm.</w:t>
      </w:r>
    </w:p>
    <w:p w14:paraId="5FEEF9C2" w14:textId="77777777" w:rsidR="00893E99" w:rsidRPr="00795698" w:rsidRDefault="00893E99" w:rsidP="00893E99">
      <w:pPr>
        <w:ind w:firstLine="284"/>
        <w:jc w:val="both"/>
        <w:rPr>
          <w:rFonts w:ascii="Garamond" w:hAnsi="Garamond"/>
          <w:bCs/>
        </w:rPr>
      </w:pPr>
      <w:r w:rsidRPr="00795698">
        <w:rPr>
          <w:rFonts w:ascii="Garamond" w:hAnsi="Garamond"/>
          <w:b/>
          <w:bCs/>
        </w:rPr>
        <w:t>Masa 9.2.5:</w:t>
      </w:r>
      <w:r w:rsidRPr="00795698">
        <w:rPr>
          <w:rFonts w:ascii="Garamond" w:hAnsi="Garamond"/>
          <w:bCs/>
        </w:rPr>
        <w:t xml:space="preserve"> Vendosja në funksion të QKEDH i një programi kompjuterik analitik me bazë të dhënash digjitale të dedikuar për përpunim informacioni për rastet dhe profilet që lidhen me ekstremizmin e dhunshëm në interes të analizave për rrezikun ndaj radikalizmin.</w:t>
      </w:r>
    </w:p>
    <w:p w14:paraId="5FEEF9C3" w14:textId="77777777" w:rsidR="00893E99" w:rsidRPr="00795698" w:rsidRDefault="00893E99" w:rsidP="00893E99">
      <w:pPr>
        <w:ind w:firstLine="284"/>
        <w:jc w:val="both"/>
        <w:rPr>
          <w:rFonts w:ascii="Garamond" w:hAnsi="Garamond"/>
          <w:bCs/>
        </w:rPr>
      </w:pPr>
      <w:r w:rsidRPr="00795698">
        <w:rPr>
          <w:rFonts w:ascii="Garamond" w:hAnsi="Garamond"/>
          <w:b/>
          <w:bCs/>
        </w:rPr>
        <w:lastRenderedPageBreak/>
        <w:t>Masa 9.2.6:</w:t>
      </w:r>
      <w:r w:rsidRPr="00795698">
        <w:rPr>
          <w:rFonts w:ascii="Garamond" w:hAnsi="Garamond"/>
          <w:bCs/>
        </w:rPr>
        <w:t xml:space="preserve"> Ngritja e strukturës përgjegjëse në QKEDH për përdorimin e programit kompjuterik analitik me bazë të dhënash digjitale i dedikuar për rastet e ekstremizmit të dhunshëm.</w:t>
      </w:r>
    </w:p>
    <w:p w14:paraId="5FEEF9C4" w14:textId="4F029399" w:rsidR="00893E99" w:rsidRPr="00795698" w:rsidRDefault="00893E99" w:rsidP="00893E99">
      <w:pPr>
        <w:ind w:firstLine="284"/>
        <w:jc w:val="both"/>
        <w:rPr>
          <w:rFonts w:ascii="Garamond" w:hAnsi="Garamond"/>
          <w:bCs/>
        </w:rPr>
      </w:pPr>
      <w:r w:rsidRPr="00795698">
        <w:rPr>
          <w:rFonts w:ascii="Garamond" w:hAnsi="Garamond"/>
          <w:b/>
          <w:bCs/>
        </w:rPr>
        <w:t>Masa 9.2.7:</w:t>
      </w:r>
      <w:r w:rsidRPr="00795698">
        <w:rPr>
          <w:rFonts w:ascii="Garamond" w:hAnsi="Garamond"/>
          <w:bCs/>
        </w:rPr>
        <w:t xml:space="preserve"> Ngritja e kapaciteteve të strukturës përgjegjëse për përdorimin e programit kompjuterik</w:t>
      </w:r>
      <w:r w:rsidR="007C064A" w:rsidRPr="00795698">
        <w:rPr>
          <w:rFonts w:ascii="Garamond" w:hAnsi="Garamond"/>
          <w:bCs/>
        </w:rPr>
        <w:t xml:space="preserve"> </w:t>
      </w:r>
      <w:r w:rsidRPr="00795698">
        <w:rPr>
          <w:rFonts w:ascii="Garamond" w:hAnsi="Garamond"/>
          <w:bCs/>
        </w:rPr>
        <w:t>me bazë të dhënash digjitale i dedikuar për rastet e ekstremizmit të dhunshëm.</w:t>
      </w:r>
    </w:p>
    <w:p w14:paraId="5FEEF9C5" w14:textId="77777777" w:rsidR="00893E99" w:rsidRPr="00795698" w:rsidRDefault="00893E99" w:rsidP="00893E99">
      <w:pPr>
        <w:ind w:firstLine="284"/>
        <w:jc w:val="both"/>
        <w:rPr>
          <w:rFonts w:ascii="Garamond" w:hAnsi="Garamond"/>
          <w:bCs/>
        </w:rPr>
      </w:pPr>
      <w:r w:rsidRPr="00795698">
        <w:rPr>
          <w:rFonts w:ascii="Garamond" w:hAnsi="Garamond"/>
          <w:b/>
          <w:bCs/>
        </w:rPr>
        <w:t>Masa 9.2.8:</w:t>
      </w:r>
      <w:r w:rsidRPr="00795698">
        <w:rPr>
          <w:rFonts w:ascii="Garamond" w:hAnsi="Garamond"/>
          <w:bCs/>
        </w:rPr>
        <w:t xml:space="preserve"> Trajnimi i strukturave rajonale dhe vendore të AKPA për përfshirjen e programet e nxitjes së punësimit të personave të radikalizuar ose të kthyerve nga zonat e konfliktit;</w:t>
      </w:r>
    </w:p>
    <w:p w14:paraId="5FEEF9C6" w14:textId="63BF9091" w:rsidR="00893E99" w:rsidRPr="00795698" w:rsidRDefault="00893E99" w:rsidP="00893E99">
      <w:pPr>
        <w:ind w:firstLine="284"/>
        <w:jc w:val="both"/>
        <w:rPr>
          <w:rFonts w:ascii="Garamond" w:hAnsi="Garamond"/>
          <w:bCs/>
        </w:rPr>
      </w:pPr>
      <w:r w:rsidRPr="00795698">
        <w:rPr>
          <w:rFonts w:ascii="Garamond" w:hAnsi="Garamond"/>
          <w:b/>
          <w:bCs/>
        </w:rPr>
        <w:t>Masa 9.2.9:</w:t>
      </w:r>
      <w:r w:rsidRPr="00795698">
        <w:rPr>
          <w:rFonts w:ascii="Garamond" w:hAnsi="Garamond"/>
          <w:bCs/>
        </w:rPr>
        <w:t xml:space="preserve"> Aftësimi i aktorëve të arsimit për të ndihmuar në procesin e</w:t>
      </w:r>
      <w:r w:rsidR="007C064A" w:rsidRPr="00795698">
        <w:rPr>
          <w:rFonts w:ascii="Garamond" w:hAnsi="Garamond"/>
          <w:bCs/>
        </w:rPr>
        <w:t xml:space="preserve"> </w:t>
      </w:r>
      <w:r w:rsidRPr="00795698">
        <w:rPr>
          <w:rFonts w:ascii="Garamond" w:hAnsi="Garamond"/>
          <w:bCs/>
        </w:rPr>
        <w:t>deradikalizmit dhe të riintegrimit.</w:t>
      </w:r>
    </w:p>
    <w:p w14:paraId="5FEEF9C7" w14:textId="4B8ADDA5" w:rsidR="00893E99" w:rsidRPr="00795698" w:rsidRDefault="00893E99" w:rsidP="00893E99">
      <w:pPr>
        <w:ind w:firstLine="284"/>
        <w:jc w:val="both"/>
        <w:rPr>
          <w:rFonts w:ascii="Garamond" w:hAnsi="Garamond"/>
          <w:bCs/>
        </w:rPr>
      </w:pPr>
      <w:r w:rsidRPr="00795698">
        <w:rPr>
          <w:rFonts w:ascii="Garamond" w:hAnsi="Garamond"/>
          <w:b/>
          <w:bCs/>
        </w:rPr>
        <w:t>Masa 9.2.10:</w:t>
      </w:r>
      <w:r w:rsidRPr="00795698">
        <w:rPr>
          <w:rFonts w:ascii="Garamond" w:hAnsi="Garamond"/>
          <w:bCs/>
        </w:rPr>
        <w:t xml:space="preserve"> Zhvillimi i programeve pilot të deradikalizimit dhe riintegrimit që synojnë ndërhyrjet në zonat problematike,</w:t>
      </w:r>
      <w:r w:rsidR="007C064A" w:rsidRPr="00795698">
        <w:rPr>
          <w:rFonts w:ascii="Garamond" w:hAnsi="Garamond"/>
          <w:bCs/>
        </w:rPr>
        <w:t xml:space="preserve"> </w:t>
      </w:r>
      <w:r w:rsidRPr="00795698">
        <w:rPr>
          <w:rFonts w:ascii="Garamond" w:hAnsi="Garamond"/>
          <w:bCs/>
        </w:rPr>
        <w:t>për arsimin bazë dhe të mesëm të lartë.</w:t>
      </w:r>
    </w:p>
    <w:p w14:paraId="5FEEF9C8" w14:textId="4DFF2A8E" w:rsidR="00893E99" w:rsidRPr="00795698" w:rsidRDefault="00893E99" w:rsidP="00893E99">
      <w:pPr>
        <w:ind w:firstLine="284"/>
        <w:jc w:val="both"/>
        <w:rPr>
          <w:rFonts w:ascii="Garamond" w:hAnsi="Garamond"/>
          <w:bCs/>
        </w:rPr>
      </w:pPr>
      <w:r w:rsidRPr="00795698">
        <w:rPr>
          <w:rFonts w:ascii="Garamond" w:hAnsi="Garamond"/>
          <w:b/>
          <w:bCs/>
        </w:rPr>
        <w:t>Masa 9.2.11:</w:t>
      </w:r>
      <w:r w:rsidRPr="00795698">
        <w:rPr>
          <w:rFonts w:ascii="Garamond" w:hAnsi="Garamond"/>
          <w:bCs/>
        </w:rPr>
        <w:t xml:space="preserve"> Zhvillimi dhe zbatimi i projekteve pilot të deradikalizimit dhe riintegrimit që synojnë ndërhyrjet në zonat problematike.</w:t>
      </w:r>
      <w:r w:rsidR="007C064A" w:rsidRPr="00795698">
        <w:rPr>
          <w:rFonts w:ascii="Garamond" w:hAnsi="Garamond"/>
          <w:bCs/>
        </w:rPr>
        <w:t xml:space="preserve"> </w:t>
      </w:r>
    </w:p>
    <w:p w14:paraId="5FEEF9C9" w14:textId="77777777" w:rsidR="00893E99" w:rsidRPr="00795698" w:rsidRDefault="00893E99" w:rsidP="00893E99">
      <w:pPr>
        <w:ind w:firstLine="284"/>
        <w:jc w:val="both"/>
        <w:rPr>
          <w:rFonts w:ascii="Garamond" w:hAnsi="Garamond"/>
          <w:bCs/>
        </w:rPr>
      </w:pPr>
      <w:r w:rsidRPr="00795698">
        <w:rPr>
          <w:rFonts w:ascii="Garamond" w:hAnsi="Garamond"/>
          <w:b/>
          <w:bCs/>
        </w:rPr>
        <w:t>Masa 9.2.12:</w:t>
      </w:r>
      <w:r w:rsidRPr="00795698">
        <w:rPr>
          <w:rFonts w:ascii="Garamond" w:hAnsi="Garamond"/>
          <w:bCs/>
        </w:rPr>
        <w:t xml:space="preserve"> Ngritja e kapaciteteve dhe ndërveprimit mes administratorëve socialë, NJMF, punonjësve sociale të NJVRN dhe përfaqësuesve të mekanizmit kundër dhunës në familje për identifikimin e hershëm të rasteve të radikalizimit dhe EDH dhe rritjen e bashkëpunimit për adresimin e tyre.</w:t>
      </w:r>
    </w:p>
    <w:p w14:paraId="5FEEF9CA" w14:textId="77777777" w:rsidR="00893E99" w:rsidRPr="00795698" w:rsidRDefault="00893E99" w:rsidP="00893E99">
      <w:pPr>
        <w:ind w:firstLine="284"/>
        <w:jc w:val="both"/>
        <w:rPr>
          <w:rFonts w:ascii="Garamond" w:hAnsi="Garamond"/>
          <w:bCs/>
        </w:rPr>
      </w:pPr>
      <w:r w:rsidRPr="00795698">
        <w:rPr>
          <w:rFonts w:ascii="Garamond" w:hAnsi="Garamond"/>
          <w:b/>
          <w:bCs/>
        </w:rPr>
        <w:t>Masa 9.2.13:</w:t>
      </w:r>
      <w:r w:rsidRPr="00795698">
        <w:rPr>
          <w:rFonts w:ascii="Garamond" w:hAnsi="Garamond"/>
          <w:bCs/>
        </w:rPr>
        <w:t xml:space="preserve"> Koordinimi me NJVV për raportimin pranë QKEDH të rasteve të menaxhuara nga NJVV (vlerësimi fillestar, vlerësimi i thelluar, hartimi i planit të ndërhyrjes, dhe ndjekja e zbatimit të PIN (plani individual i ndërhyrjes) për rastet që shfaqin shenjat e para të radikalizmit.</w:t>
      </w:r>
    </w:p>
    <w:p w14:paraId="5FEEF9CB" w14:textId="5A4C42B4" w:rsidR="00893E99" w:rsidRPr="00795698" w:rsidRDefault="00893E99" w:rsidP="00893E99">
      <w:pPr>
        <w:ind w:firstLine="284"/>
        <w:jc w:val="both"/>
        <w:rPr>
          <w:rFonts w:ascii="Garamond" w:hAnsi="Garamond"/>
          <w:bCs/>
        </w:rPr>
      </w:pPr>
      <w:r w:rsidRPr="00795698">
        <w:rPr>
          <w:rFonts w:ascii="Garamond" w:hAnsi="Garamond"/>
          <w:b/>
          <w:bCs/>
        </w:rPr>
        <w:t>Masa 9.2.14:</w:t>
      </w:r>
      <w:r w:rsidRPr="00795698">
        <w:rPr>
          <w:rFonts w:ascii="Garamond" w:hAnsi="Garamond"/>
          <w:bCs/>
        </w:rPr>
        <w:t xml:space="preserve"> Ofrimi i mbështetjes psiko-sociale</w:t>
      </w:r>
      <w:r w:rsidR="007C064A" w:rsidRPr="00795698">
        <w:rPr>
          <w:rFonts w:ascii="Garamond" w:hAnsi="Garamond"/>
          <w:bCs/>
        </w:rPr>
        <w:t xml:space="preserve"> </w:t>
      </w:r>
      <w:r w:rsidRPr="00795698">
        <w:rPr>
          <w:rFonts w:ascii="Garamond" w:hAnsi="Garamond"/>
          <w:bCs/>
        </w:rPr>
        <w:t>për</w:t>
      </w:r>
      <w:r w:rsidR="007C064A" w:rsidRPr="00795698">
        <w:rPr>
          <w:rFonts w:ascii="Garamond" w:hAnsi="Garamond"/>
          <w:bCs/>
        </w:rPr>
        <w:t xml:space="preserve"> </w:t>
      </w:r>
      <w:r w:rsidRPr="00795698">
        <w:rPr>
          <w:rFonts w:ascii="Garamond" w:hAnsi="Garamond"/>
          <w:bCs/>
        </w:rPr>
        <w:t>fëmijët të kthyer nga zona të luftës të cilët ndjekin arsimin parauniversitar dhe fëmijë në rrezik radikalizimi, të identifikuar si të radikalizuar.</w:t>
      </w:r>
    </w:p>
    <w:p w14:paraId="5FEEF9CC"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CD" w14:textId="77777777" w:rsidR="00893E99" w:rsidRPr="00795698" w:rsidRDefault="002D53A5" w:rsidP="002D53A5">
      <w:pPr>
        <w:pStyle w:val="TEKSTIIIII"/>
        <w:rPr>
          <w:lang w:val="sq-AL"/>
        </w:rPr>
      </w:pPr>
      <w:r w:rsidRPr="00795698">
        <w:rPr>
          <w:lang w:val="sq-AL"/>
        </w:rPr>
        <w:t xml:space="preserve">- </w:t>
      </w:r>
      <w:r w:rsidR="00893E99" w:rsidRPr="00795698">
        <w:rPr>
          <w:lang w:val="sq-AL"/>
        </w:rPr>
        <w:t>Numri i anëtarëve të strukturave rajonale dhe vendore të AKPA të trajnuar për përfshirjen në programet e nxitjes së punësimit të personave të radikalizuar ose të kthyerve nga zonat e konfliktit;</w:t>
      </w:r>
    </w:p>
    <w:p w14:paraId="5FEEF9CE" w14:textId="28144F57" w:rsidR="00893E99" w:rsidRPr="00795698" w:rsidRDefault="002D53A5" w:rsidP="002D53A5">
      <w:pPr>
        <w:pStyle w:val="TEKSTIIIII"/>
        <w:rPr>
          <w:lang w:val="sq-AL"/>
        </w:rPr>
      </w:pPr>
      <w:r w:rsidRPr="00795698">
        <w:rPr>
          <w:lang w:val="sq-AL"/>
        </w:rPr>
        <w:t xml:space="preserve">- </w:t>
      </w:r>
      <w:r w:rsidR="00893E99" w:rsidRPr="00795698">
        <w:rPr>
          <w:lang w:val="sq-AL"/>
        </w:rPr>
        <w:t>Numri i</w:t>
      </w:r>
      <w:r w:rsidR="007C064A" w:rsidRPr="00795698">
        <w:rPr>
          <w:lang w:val="sq-AL"/>
        </w:rPr>
        <w:t xml:space="preserve"> </w:t>
      </w:r>
      <w:r w:rsidR="00893E99" w:rsidRPr="00795698">
        <w:rPr>
          <w:lang w:val="sq-AL"/>
        </w:rPr>
        <w:t>aktorëve të arsimit parauniversitar, të trajnuar, për të ndihmuar në procesin e</w:t>
      </w:r>
      <w:r w:rsidR="007C064A" w:rsidRPr="00795698">
        <w:rPr>
          <w:lang w:val="sq-AL"/>
        </w:rPr>
        <w:t xml:space="preserve"> </w:t>
      </w:r>
      <w:r w:rsidR="00893E99" w:rsidRPr="00795698">
        <w:rPr>
          <w:lang w:val="sq-AL"/>
        </w:rPr>
        <w:t>deradikalizmit dhe të riintegrimit;</w:t>
      </w:r>
    </w:p>
    <w:p w14:paraId="5FEEF9CF" w14:textId="2FF8820E" w:rsidR="00893E99" w:rsidRPr="00795698" w:rsidRDefault="002D53A5" w:rsidP="002D53A5">
      <w:pPr>
        <w:pStyle w:val="TEKSTIIIII"/>
        <w:rPr>
          <w:lang w:val="sq-AL"/>
        </w:rPr>
      </w:pPr>
      <w:r w:rsidRPr="00795698">
        <w:rPr>
          <w:lang w:val="sq-AL"/>
        </w:rPr>
        <w:t xml:space="preserve">- </w:t>
      </w:r>
      <w:r w:rsidR="00893E99" w:rsidRPr="00795698">
        <w:rPr>
          <w:lang w:val="sq-AL"/>
        </w:rPr>
        <w:t>Numri i rasteve (familjeve) të</w:t>
      </w:r>
      <w:r w:rsidR="007C064A" w:rsidRPr="00795698">
        <w:rPr>
          <w:lang w:val="sq-AL"/>
        </w:rPr>
        <w:t xml:space="preserve"> </w:t>
      </w:r>
      <w:r w:rsidR="00893E99" w:rsidRPr="00795698">
        <w:rPr>
          <w:lang w:val="sq-AL"/>
        </w:rPr>
        <w:t>radikalizuara të menaxhuara;</w:t>
      </w:r>
    </w:p>
    <w:p w14:paraId="5FEEF9D0" w14:textId="77777777" w:rsidR="00893E99" w:rsidRPr="00795698" w:rsidRDefault="002D53A5" w:rsidP="002D53A5">
      <w:pPr>
        <w:pStyle w:val="TEKSTIIIII"/>
        <w:rPr>
          <w:lang w:val="sq-AL"/>
        </w:rPr>
      </w:pPr>
      <w:r w:rsidRPr="00795698">
        <w:rPr>
          <w:lang w:val="sq-AL"/>
        </w:rPr>
        <w:t xml:space="preserve">- </w:t>
      </w:r>
      <w:r w:rsidR="00893E99" w:rsidRPr="00795698">
        <w:rPr>
          <w:lang w:val="sq-AL"/>
        </w:rPr>
        <w:t>Numri i fëmijëve të kthyer nga zona të luftës dhe që ndjekin arsimin parauniversitar, të mbështetur me shërbim psiko-social.</w:t>
      </w:r>
    </w:p>
    <w:p w14:paraId="5FEEF9D1" w14:textId="77777777" w:rsidR="00893E99" w:rsidRPr="00795698" w:rsidRDefault="00893E99" w:rsidP="00893E99">
      <w:pPr>
        <w:ind w:firstLine="284"/>
        <w:jc w:val="both"/>
        <w:rPr>
          <w:rFonts w:ascii="Garamond" w:hAnsi="Garamond"/>
          <w:b/>
        </w:rPr>
      </w:pPr>
      <w:r w:rsidRPr="00795698">
        <w:rPr>
          <w:rFonts w:ascii="Garamond" w:hAnsi="Garamond"/>
          <w:b/>
        </w:rPr>
        <w:t>Rezultate të pritshme:</w:t>
      </w:r>
    </w:p>
    <w:p w14:paraId="5FEEF9D2" w14:textId="77777777" w:rsidR="00893E99" w:rsidRPr="00795698" w:rsidRDefault="002D53A5" w:rsidP="002D53A5">
      <w:pPr>
        <w:pStyle w:val="TEKSTIIIII"/>
        <w:rPr>
          <w:lang w:val="sq-AL"/>
        </w:rPr>
      </w:pPr>
      <w:r w:rsidRPr="00795698">
        <w:rPr>
          <w:lang w:val="sq-AL"/>
        </w:rPr>
        <w:t>-</w:t>
      </w:r>
      <w:r w:rsidR="00893E99" w:rsidRPr="00795698">
        <w:rPr>
          <w:lang w:val="sq-AL"/>
        </w:rPr>
        <w:t>Rritja e numrit të aktorëve shtetërorë të arsimit, që janë trajnuar;</w:t>
      </w:r>
    </w:p>
    <w:p w14:paraId="5FEEF9D3" w14:textId="47ED0E68" w:rsidR="00893E99" w:rsidRPr="00795698" w:rsidRDefault="002D53A5" w:rsidP="002D53A5">
      <w:pPr>
        <w:pStyle w:val="TEKSTIIIII"/>
        <w:rPr>
          <w:lang w:val="sq-AL"/>
        </w:rPr>
      </w:pPr>
      <w:r w:rsidRPr="00795698">
        <w:rPr>
          <w:lang w:val="sq-AL"/>
        </w:rPr>
        <w:t>-</w:t>
      </w:r>
      <w:r w:rsidR="00893E99" w:rsidRPr="00795698">
        <w:rPr>
          <w:lang w:val="sq-AL"/>
        </w:rPr>
        <w:t>Hartimi i programve dhe moduleve për të trajnuar AKPA dhe</w:t>
      </w:r>
      <w:r w:rsidR="007C064A" w:rsidRPr="00795698">
        <w:rPr>
          <w:lang w:val="sq-AL"/>
        </w:rPr>
        <w:t xml:space="preserve"> </w:t>
      </w:r>
      <w:r w:rsidR="00893E99" w:rsidRPr="00795698">
        <w:rPr>
          <w:lang w:val="sq-AL"/>
        </w:rPr>
        <w:t>programet për të mbështetur me shërbim psiko-social apo menaxhimin e rasteve;</w:t>
      </w:r>
    </w:p>
    <w:p w14:paraId="5FEEF9D4" w14:textId="489CE7B5" w:rsidR="00893E99" w:rsidRPr="00795698" w:rsidRDefault="00893E99" w:rsidP="00893E99">
      <w:pPr>
        <w:pStyle w:val="Heading3"/>
        <w:spacing w:before="0"/>
        <w:ind w:firstLine="284"/>
        <w:jc w:val="both"/>
        <w:rPr>
          <w:rFonts w:ascii="Garamond" w:hAnsi="Garamond"/>
          <w:b w:val="0"/>
          <w:i/>
          <w:color w:val="auto"/>
        </w:rPr>
      </w:pPr>
      <w:bookmarkStart w:id="101" w:name="_Toc108644308"/>
      <w:r w:rsidRPr="00795698">
        <w:rPr>
          <w:rFonts w:ascii="Garamond" w:hAnsi="Garamond"/>
          <w:b w:val="0"/>
          <w:i/>
          <w:color w:val="auto"/>
        </w:rPr>
        <w:t xml:space="preserve">Objektivi </w:t>
      </w:r>
      <w:r w:rsidR="00CA234B" w:rsidRPr="00795698">
        <w:rPr>
          <w:rFonts w:ascii="Garamond" w:hAnsi="Garamond"/>
          <w:b w:val="0"/>
          <w:i/>
          <w:color w:val="auto"/>
        </w:rPr>
        <w:t>s</w:t>
      </w:r>
      <w:r w:rsidRPr="00795698">
        <w:rPr>
          <w:rFonts w:ascii="Garamond" w:hAnsi="Garamond"/>
          <w:b w:val="0"/>
          <w:i/>
          <w:color w:val="auto"/>
        </w:rPr>
        <w:t>pecifik 9.3: Fuqizimi ekonomik i personave të radikalizuar dhe familjeve t</w:t>
      </w:r>
      <w:r w:rsidR="007265E9" w:rsidRPr="00795698">
        <w:rPr>
          <w:rFonts w:ascii="Garamond" w:hAnsi="Garamond"/>
          <w:b w:val="0"/>
          <w:i/>
          <w:color w:val="auto"/>
        </w:rPr>
        <w:t>ë</w:t>
      </w:r>
      <w:r w:rsidRPr="00795698">
        <w:rPr>
          <w:rFonts w:ascii="Garamond" w:hAnsi="Garamond"/>
          <w:b w:val="0"/>
          <w:i/>
          <w:color w:val="auto"/>
        </w:rPr>
        <w:t xml:space="preserve"> kthyera nga vendet e luftës përmes integrimit dhe harmonizimit të ndërhyrjeve për kualifikime dhe</w:t>
      </w:r>
      <w:r w:rsidR="007C064A" w:rsidRPr="00795698">
        <w:rPr>
          <w:rFonts w:ascii="Garamond" w:hAnsi="Garamond"/>
          <w:b w:val="0"/>
          <w:i/>
          <w:color w:val="auto"/>
        </w:rPr>
        <w:t xml:space="preserve"> </w:t>
      </w:r>
      <w:r w:rsidRPr="00795698">
        <w:rPr>
          <w:rFonts w:ascii="Garamond" w:hAnsi="Garamond"/>
          <w:b w:val="0"/>
          <w:i/>
          <w:color w:val="auto"/>
        </w:rPr>
        <w:t>punësim</w:t>
      </w:r>
      <w:bookmarkEnd w:id="101"/>
      <w:r w:rsidRPr="00795698">
        <w:rPr>
          <w:rFonts w:ascii="Garamond" w:hAnsi="Garamond"/>
          <w:b w:val="0"/>
          <w:i/>
          <w:color w:val="auto"/>
        </w:rPr>
        <w:t xml:space="preserve"> (sipas Planit të Veprimit për Parandalimin e Ekstremizmit të Dhunshëm objektivi specifik nr. 3.2 me masat 3.2.1-3.2.8)</w:t>
      </w:r>
    </w:p>
    <w:p w14:paraId="5FEEF9D5" w14:textId="77777777" w:rsidR="00893E99" w:rsidRPr="00795698" w:rsidRDefault="00893E99" w:rsidP="00893E99">
      <w:pPr>
        <w:ind w:firstLine="284"/>
        <w:jc w:val="both"/>
        <w:rPr>
          <w:rFonts w:ascii="Garamond" w:hAnsi="Garamond"/>
        </w:rPr>
      </w:pPr>
      <w:r w:rsidRPr="00795698">
        <w:rPr>
          <w:rFonts w:ascii="Garamond" w:hAnsi="Garamond"/>
          <w:b/>
        </w:rPr>
        <w:t>Masa 9.3.1:</w:t>
      </w:r>
      <w:r w:rsidRPr="00795698">
        <w:rPr>
          <w:rFonts w:ascii="Garamond" w:hAnsi="Garamond"/>
        </w:rPr>
        <w:t xml:space="preserve"> Identifikimi dhe referimi i personave në rrezik radikalizimi dhe ekstremizmi për regjistrimin si punëkërkues të papunë, në përputhje me legjislacionin për nxitjen e punësimit.</w:t>
      </w:r>
    </w:p>
    <w:p w14:paraId="5FEEF9D6" w14:textId="03EBD714" w:rsidR="00893E99" w:rsidRPr="00795698" w:rsidRDefault="00893E99" w:rsidP="00893E99">
      <w:pPr>
        <w:ind w:firstLine="284"/>
        <w:jc w:val="both"/>
        <w:rPr>
          <w:rFonts w:ascii="Garamond" w:hAnsi="Garamond"/>
        </w:rPr>
      </w:pPr>
      <w:r w:rsidRPr="00795698">
        <w:rPr>
          <w:rFonts w:ascii="Garamond" w:hAnsi="Garamond"/>
          <w:b/>
        </w:rPr>
        <w:t>Masa 9.3.2:</w:t>
      </w:r>
      <w:r w:rsidRPr="00795698">
        <w:rPr>
          <w:rFonts w:ascii="Garamond" w:hAnsi="Garamond"/>
        </w:rPr>
        <w:t xml:space="preserve"> “Sigurimi/monitorimi i zbatueshmërisë së programeve të integrimit social,</w:t>
      </w:r>
      <w:r w:rsidR="007C064A" w:rsidRPr="00795698">
        <w:rPr>
          <w:rFonts w:ascii="Garamond" w:hAnsi="Garamond"/>
        </w:rPr>
        <w:t xml:space="preserve"> </w:t>
      </w:r>
      <w:r w:rsidRPr="00795698">
        <w:rPr>
          <w:rFonts w:ascii="Garamond" w:hAnsi="Garamond"/>
        </w:rPr>
        <w:t>të miratuara nga ministritë e linjës, bazuar në nevojat e kategorive vulnerable, sipas legjislacionit në fuqi, për të siguruar riintegrimin e plotë të të kthyerve në komunitet”</w:t>
      </w:r>
    </w:p>
    <w:p w14:paraId="5FEEF9D7" w14:textId="5DF391EB" w:rsidR="00893E99" w:rsidRPr="00795698" w:rsidRDefault="00893E99" w:rsidP="00893E99">
      <w:pPr>
        <w:ind w:firstLine="284"/>
        <w:jc w:val="both"/>
        <w:rPr>
          <w:rFonts w:ascii="Garamond" w:hAnsi="Garamond"/>
        </w:rPr>
      </w:pPr>
      <w:r w:rsidRPr="00795698">
        <w:rPr>
          <w:rFonts w:ascii="Garamond" w:hAnsi="Garamond"/>
          <w:b/>
        </w:rPr>
        <w:t>Masa 9.3.3:</w:t>
      </w:r>
      <w:r w:rsidRPr="00795698">
        <w:rPr>
          <w:rFonts w:ascii="Garamond" w:hAnsi="Garamond"/>
        </w:rPr>
        <w:t xml:space="preserve"> Hartimi i protokolleve për përfshirjen e personave të radikalizuar në programet aktive të tregut të punës nëpërmjet shërbimeve të punësimit, programeve të nxitjes dhe programeve të formimit profesional.</w:t>
      </w:r>
      <w:r w:rsidR="007C064A" w:rsidRPr="00795698">
        <w:rPr>
          <w:rFonts w:ascii="Garamond" w:hAnsi="Garamond"/>
        </w:rPr>
        <w:t xml:space="preserve"> </w:t>
      </w:r>
    </w:p>
    <w:p w14:paraId="5FEEF9D8" w14:textId="67FB3A01" w:rsidR="00893E99" w:rsidRPr="00795698" w:rsidRDefault="00893E99" w:rsidP="00893E99">
      <w:pPr>
        <w:ind w:firstLine="284"/>
        <w:jc w:val="both"/>
        <w:rPr>
          <w:rFonts w:ascii="Garamond" w:hAnsi="Garamond"/>
        </w:rPr>
      </w:pPr>
      <w:r w:rsidRPr="00795698">
        <w:rPr>
          <w:rFonts w:ascii="Garamond" w:hAnsi="Garamond"/>
          <w:b/>
        </w:rPr>
        <w:t>Masa 9.3.4:</w:t>
      </w:r>
      <w:r w:rsidRPr="00795698">
        <w:rPr>
          <w:rFonts w:ascii="Garamond" w:hAnsi="Garamond"/>
        </w:rPr>
        <w:t xml:space="preserve"> Mbështetje e personalizuar për aplikime për punëkërkim</w:t>
      </w:r>
      <w:r w:rsidR="007C064A" w:rsidRPr="00795698">
        <w:rPr>
          <w:rFonts w:ascii="Garamond" w:hAnsi="Garamond"/>
        </w:rPr>
        <w:t xml:space="preserve"> </w:t>
      </w:r>
      <w:r w:rsidRPr="00795698">
        <w:rPr>
          <w:rFonts w:ascii="Garamond" w:hAnsi="Garamond"/>
        </w:rPr>
        <w:t>i personave të radikalizuar dhe atyre të kthyer nga zonat e konfliktit.</w:t>
      </w:r>
    </w:p>
    <w:p w14:paraId="5FEEF9D9" w14:textId="77777777" w:rsidR="00893E99" w:rsidRPr="00795698" w:rsidRDefault="00893E99" w:rsidP="00893E99">
      <w:pPr>
        <w:ind w:firstLine="284"/>
        <w:jc w:val="both"/>
        <w:rPr>
          <w:rFonts w:ascii="Garamond" w:hAnsi="Garamond"/>
        </w:rPr>
      </w:pPr>
      <w:r w:rsidRPr="00795698">
        <w:rPr>
          <w:rFonts w:ascii="Garamond" w:hAnsi="Garamond"/>
          <w:b/>
        </w:rPr>
        <w:lastRenderedPageBreak/>
        <w:t>Masa 9.3.5:</w:t>
      </w:r>
      <w:r w:rsidRPr="00795698">
        <w:rPr>
          <w:rFonts w:ascii="Garamond" w:hAnsi="Garamond"/>
        </w:rPr>
        <w:t xml:space="preserve"> Prioritizimi i personave të radikalizuar ose të kthyer nga zonat e konfliktit për përfitimin nga programi i nxitjes nëpërmjet vetëpunësimit (VKM nr. 348, datë 29.4.2020 për procedurat, kriteret dhe rregullat për zbatimin e programit të nxitjes nëpërmjet vetëpunësimit).</w:t>
      </w:r>
    </w:p>
    <w:p w14:paraId="5FEEF9DA" w14:textId="2A606274" w:rsidR="00893E99" w:rsidRPr="00795698" w:rsidRDefault="00893E99" w:rsidP="00893E99">
      <w:pPr>
        <w:ind w:firstLine="284"/>
        <w:jc w:val="both"/>
        <w:rPr>
          <w:rFonts w:ascii="Garamond" w:hAnsi="Garamond"/>
        </w:rPr>
      </w:pPr>
      <w:r w:rsidRPr="00795698">
        <w:rPr>
          <w:rFonts w:ascii="Garamond" w:hAnsi="Garamond"/>
          <w:b/>
        </w:rPr>
        <w:t>Masa 9.3.6:</w:t>
      </w:r>
      <w:r w:rsidRPr="00795698">
        <w:rPr>
          <w:rFonts w:ascii="Garamond" w:hAnsi="Garamond"/>
        </w:rPr>
        <w:t xml:space="preserve"> Organizimi</w:t>
      </w:r>
      <w:r w:rsidR="007C064A" w:rsidRPr="00795698">
        <w:rPr>
          <w:rFonts w:ascii="Garamond" w:hAnsi="Garamond"/>
        </w:rPr>
        <w:t xml:space="preserve"> </w:t>
      </w:r>
      <w:r w:rsidRPr="00795698">
        <w:rPr>
          <w:rFonts w:ascii="Garamond" w:hAnsi="Garamond"/>
        </w:rPr>
        <w:t>i trajnimeve (online/ në klasa) në lidhje me sipërmarrjen, hapjen e bizneseve dhe rritjen e biznesit të personave të radikalizuar dhe</w:t>
      </w:r>
      <w:r w:rsidR="007C064A" w:rsidRPr="00795698">
        <w:rPr>
          <w:rFonts w:ascii="Garamond" w:hAnsi="Garamond"/>
        </w:rPr>
        <w:t xml:space="preserve"> </w:t>
      </w:r>
      <w:r w:rsidRPr="00795698">
        <w:rPr>
          <w:rFonts w:ascii="Garamond" w:hAnsi="Garamond"/>
        </w:rPr>
        <w:t>të kthyer nga vendet e luftës.</w:t>
      </w:r>
    </w:p>
    <w:p w14:paraId="5FEEF9DB" w14:textId="79F1BE27" w:rsidR="00893E99" w:rsidRPr="00795698" w:rsidRDefault="00893E99" w:rsidP="00893E99">
      <w:pPr>
        <w:ind w:firstLine="284"/>
        <w:jc w:val="both"/>
        <w:rPr>
          <w:rFonts w:ascii="Garamond" w:hAnsi="Garamond"/>
        </w:rPr>
      </w:pPr>
      <w:r w:rsidRPr="00795698">
        <w:rPr>
          <w:rFonts w:ascii="Garamond" w:hAnsi="Garamond"/>
          <w:b/>
        </w:rPr>
        <w:t>Masa 9.3.7:</w:t>
      </w:r>
      <w:r w:rsidRPr="00795698">
        <w:rPr>
          <w:rFonts w:ascii="Garamond" w:hAnsi="Garamond"/>
        </w:rPr>
        <w:t xml:space="preserve"> Organizimi i trajnimeve për punonjësit e migracionit (që trajtojnë shtetasit shqiptare të kthyer dhe të huajt që punojnë) në strukturat e AKPA, për lidhjen ndërmjet radikalizimit dhe ekstremizmit të dhunshëm dhe kategorive të ndryshme të e/imigrantëve.</w:t>
      </w:r>
      <w:r w:rsidR="007C064A" w:rsidRPr="00795698">
        <w:rPr>
          <w:rFonts w:ascii="Garamond" w:hAnsi="Garamond"/>
        </w:rPr>
        <w:t xml:space="preserve"> </w:t>
      </w:r>
    </w:p>
    <w:p w14:paraId="5FEEF9DC" w14:textId="77777777" w:rsidR="00893E99" w:rsidRPr="00795698" w:rsidRDefault="00893E99" w:rsidP="00893E99">
      <w:pPr>
        <w:ind w:firstLine="284"/>
        <w:jc w:val="both"/>
        <w:rPr>
          <w:rFonts w:ascii="Garamond" w:hAnsi="Garamond"/>
        </w:rPr>
      </w:pPr>
      <w:r w:rsidRPr="00795698">
        <w:rPr>
          <w:rFonts w:ascii="Garamond" w:hAnsi="Garamond"/>
          <w:b/>
        </w:rPr>
        <w:t>Masa 9.3.8:</w:t>
      </w:r>
      <w:r w:rsidRPr="00795698">
        <w:rPr>
          <w:rFonts w:ascii="Garamond" w:hAnsi="Garamond"/>
        </w:rPr>
        <w:t xml:space="preserve"> Zhvillimi i seminareve me punonjësit e migracionit të strukturave të AKPA dhe strukturave të MB dhe QKEDH, mbi mënyrën/procedurat e bashkëpunimit kur evidentohen raste të radikalizimit apo ekstremizmit të dhunshëm apo potencialë.</w:t>
      </w:r>
    </w:p>
    <w:p w14:paraId="5FEEF9DD" w14:textId="77777777" w:rsidR="00893E99" w:rsidRPr="00795698" w:rsidRDefault="00893E99" w:rsidP="00893E99">
      <w:pPr>
        <w:ind w:firstLine="284"/>
        <w:jc w:val="both"/>
        <w:rPr>
          <w:rFonts w:ascii="Garamond" w:hAnsi="Garamond"/>
          <w:b/>
        </w:rPr>
      </w:pPr>
      <w:r w:rsidRPr="00795698">
        <w:rPr>
          <w:rFonts w:ascii="Garamond" w:hAnsi="Garamond"/>
          <w:b/>
        </w:rPr>
        <w:t>Indikatorë të matshëm:</w:t>
      </w:r>
    </w:p>
    <w:p w14:paraId="5FEEF9DE" w14:textId="327034E5" w:rsidR="00893E99" w:rsidRPr="00795698" w:rsidRDefault="002D53A5" w:rsidP="002D53A5">
      <w:pPr>
        <w:pStyle w:val="TEKSTIIIII"/>
        <w:rPr>
          <w:lang w:val="sq-AL"/>
        </w:rPr>
      </w:pPr>
      <w:r w:rsidRPr="00795698">
        <w:rPr>
          <w:lang w:val="sq-AL"/>
        </w:rPr>
        <w:t>-</w:t>
      </w:r>
      <w:r w:rsidR="00893E99" w:rsidRPr="00795698">
        <w:rPr>
          <w:lang w:val="sq-AL"/>
        </w:rPr>
        <w:t>Numri i personave të radikalizuar</w:t>
      </w:r>
      <w:r w:rsidR="007C064A" w:rsidRPr="00795698">
        <w:rPr>
          <w:lang w:val="sq-AL"/>
        </w:rPr>
        <w:t xml:space="preserve"> </w:t>
      </w:r>
      <w:r w:rsidR="00893E99" w:rsidRPr="00795698">
        <w:rPr>
          <w:lang w:val="sq-AL"/>
        </w:rPr>
        <w:t>dhe atyre të kthyer nga zonat e konfliktit</w:t>
      </w:r>
      <w:r w:rsidR="007C064A" w:rsidRPr="00795698">
        <w:rPr>
          <w:lang w:val="sq-AL"/>
        </w:rPr>
        <w:t xml:space="preserve"> </w:t>
      </w:r>
      <w:r w:rsidR="00893E99" w:rsidRPr="00795698">
        <w:rPr>
          <w:lang w:val="sq-AL"/>
        </w:rPr>
        <w:t>të cilët kanë përfituar nga mbështetje e</w:t>
      </w:r>
      <w:r w:rsidR="007C064A" w:rsidRPr="00795698">
        <w:rPr>
          <w:lang w:val="sq-AL"/>
        </w:rPr>
        <w:t xml:space="preserve"> </w:t>
      </w:r>
      <w:r w:rsidR="00893E99" w:rsidRPr="00795698">
        <w:rPr>
          <w:lang w:val="sq-AL"/>
        </w:rPr>
        <w:t>personalizuar për aplikime për punëkërkim.</w:t>
      </w:r>
    </w:p>
    <w:p w14:paraId="5FEEF9DF" w14:textId="77777777" w:rsidR="00893E99" w:rsidRPr="00795698" w:rsidRDefault="002D53A5" w:rsidP="002D53A5">
      <w:pPr>
        <w:pStyle w:val="TEKSTIIIII"/>
        <w:rPr>
          <w:lang w:val="sq-AL"/>
        </w:rPr>
      </w:pPr>
      <w:r w:rsidRPr="00795698">
        <w:rPr>
          <w:lang w:val="sq-AL"/>
        </w:rPr>
        <w:t>-</w:t>
      </w:r>
      <w:r w:rsidR="00893E99" w:rsidRPr="00795698">
        <w:rPr>
          <w:lang w:val="sq-AL"/>
        </w:rPr>
        <w:t>Numri i punonjësve të migracionit në strukturat e AKPA që mbulojnë gjithë territorin e vendit, të trajnuar për elementët njohës të personave të radikalizuar apo në risk radikalizimi apo ekstremizmi të dhunshëm.</w:t>
      </w:r>
    </w:p>
    <w:p w14:paraId="5FEEF9E0" w14:textId="77777777" w:rsidR="00893E99" w:rsidRPr="00795698" w:rsidRDefault="00893E99" w:rsidP="00893E99">
      <w:pPr>
        <w:ind w:firstLine="284"/>
        <w:jc w:val="both"/>
        <w:rPr>
          <w:rFonts w:ascii="Garamond" w:hAnsi="Garamond"/>
          <w:b/>
        </w:rPr>
      </w:pPr>
      <w:r w:rsidRPr="00795698">
        <w:rPr>
          <w:rFonts w:ascii="Garamond" w:hAnsi="Garamond"/>
          <w:b/>
        </w:rPr>
        <w:t>Rezultate të pritshme:</w:t>
      </w:r>
    </w:p>
    <w:p w14:paraId="5FEEF9E1" w14:textId="6B0FE81F" w:rsidR="00893E99" w:rsidRPr="00795698" w:rsidRDefault="002D53A5" w:rsidP="002D53A5">
      <w:pPr>
        <w:pStyle w:val="TEKSTIIIII"/>
        <w:rPr>
          <w:lang w:val="sq-AL"/>
        </w:rPr>
      </w:pPr>
      <w:r w:rsidRPr="00795698">
        <w:rPr>
          <w:lang w:val="sq-AL"/>
        </w:rPr>
        <w:t xml:space="preserve">- </w:t>
      </w:r>
      <w:r w:rsidR="00893E99" w:rsidRPr="00795698">
        <w:rPr>
          <w:lang w:val="sq-AL"/>
        </w:rPr>
        <w:t xml:space="preserve">Ofrimi i mbështetjes se </w:t>
      </w:r>
      <w:r w:rsidR="00CA234B" w:rsidRPr="00795698">
        <w:rPr>
          <w:lang w:val="sq-AL"/>
        </w:rPr>
        <w:t>personave</w:t>
      </w:r>
      <w:r w:rsidR="00893E99" w:rsidRPr="00795698">
        <w:rPr>
          <w:lang w:val="sq-AL"/>
        </w:rPr>
        <w:t xml:space="preserve"> të radikalizuar dhe të kthyer nga zonat e konfliktit për aplikime për punëkërkim.</w:t>
      </w:r>
    </w:p>
    <w:p w14:paraId="5FEEF9E2" w14:textId="472C918A" w:rsidR="00893E99" w:rsidRPr="00795698" w:rsidRDefault="00893E99" w:rsidP="00893E99">
      <w:pPr>
        <w:pStyle w:val="Heading3"/>
        <w:spacing w:before="0"/>
        <w:ind w:firstLine="284"/>
        <w:jc w:val="both"/>
        <w:rPr>
          <w:rFonts w:ascii="Garamond" w:hAnsi="Garamond"/>
          <w:b w:val="0"/>
          <w:i/>
          <w:color w:val="auto"/>
        </w:rPr>
      </w:pPr>
      <w:bookmarkStart w:id="102" w:name="_Toc108644309"/>
      <w:r w:rsidRPr="00795698">
        <w:rPr>
          <w:rFonts w:ascii="Garamond" w:hAnsi="Garamond"/>
          <w:b w:val="0"/>
          <w:i/>
          <w:color w:val="auto"/>
        </w:rPr>
        <w:t xml:space="preserve">Objektivi </w:t>
      </w:r>
      <w:r w:rsidR="00CA234B" w:rsidRPr="00795698">
        <w:rPr>
          <w:rFonts w:ascii="Garamond" w:hAnsi="Garamond"/>
          <w:b w:val="0"/>
          <w:i/>
          <w:color w:val="auto"/>
        </w:rPr>
        <w:t>s</w:t>
      </w:r>
      <w:r w:rsidRPr="00795698">
        <w:rPr>
          <w:rFonts w:ascii="Garamond" w:hAnsi="Garamond"/>
          <w:b w:val="0"/>
          <w:i/>
          <w:color w:val="auto"/>
        </w:rPr>
        <w:t>pecifik 9.4: Rritja e aksesit të personave të riintegruar</w:t>
      </w:r>
      <w:r w:rsidR="007C064A" w:rsidRPr="00795698">
        <w:rPr>
          <w:rFonts w:ascii="Garamond" w:hAnsi="Garamond"/>
          <w:b w:val="0"/>
          <w:i/>
          <w:color w:val="auto"/>
        </w:rPr>
        <w:t xml:space="preserve"> </w:t>
      </w:r>
      <w:r w:rsidRPr="00795698">
        <w:rPr>
          <w:rFonts w:ascii="Garamond" w:hAnsi="Garamond"/>
          <w:b w:val="0"/>
          <w:i/>
          <w:color w:val="auto"/>
        </w:rPr>
        <w:t>dhe të kthyer nga vendet e luftës në programet e strehimit social</w:t>
      </w:r>
      <w:bookmarkEnd w:id="102"/>
      <w:r w:rsidRPr="00795698">
        <w:rPr>
          <w:rFonts w:ascii="Garamond" w:hAnsi="Garamond"/>
          <w:b w:val="0"/>
          <w:i/>
          <w:color w:val="auto"/>
        </w:rPr>
        <w:t xml:space="preserve"> (sipas Planit të Veprimit për Parandalimin e Ekstremizmit të Dhunshëm objektivi specifik nr. 3.3 me masat 3.3.1-3.3.2)</w:t>
      </w:r>
    </w:p>
    <w:p w14:paraId="5FEEF9E3" w14:textId="77777777" w:rsidR="00893E99" w:rsidRPr="00795698" w:rsidRDefault="00893E99" w:rsidP="00893E99">
      <w:pPr>
        <w:ind w:firstLine="284"/>
        <w:jc w:val="both"/>
        <w:rPr>
          <w:rFonts w:ascii="Garamond" w:hAnsi="Garamond"/>
        </w:rPr>
      </w:pPr>
      <w:r w:rsidRPr="00795698">
        <w:rPr>
          <w:rFonts w:ascii="Garamond" w:hAnsi="Garamond"/>
          <w:b/>
        </w:rPr>
        <w:t>Masa 9.3.1:</w:t>
      </w:r>
      <w:r w:rsidRPr="00795698">
        <w:rPr>
          <w:rFonts w:ascii="Garamond" w:hAnsi="Garamond"/>
        </w:rPr>
        <w:t xml:space="preserve"> Mbështetja me programe strehimi e familjeve me individë të radikalizuar të kthyer nga vendet e konflikteve.</w:t>
      </w:r>
    </w:p>
    <w:p w14:paraId="5FEEF9E4" w14:textId="77777777" w:rsidR="00893E99" w:rsidRPr="00795698" w:rsidRDefault="00893E99" w:rsidP="00893E99">
      <w:pPr>
        <w:ind w:firstLine="284"/>
        <w:jc w:val="both"/>
        <w:rPr>
          <w:rFonts w:ascii="Garamond" w:hAnsi="Garamond"/>
        </w:rPr>
      </w:pPr>
      <w:r w:rsidRPr="00795698">
        <w:rPr>
          <w:rFonts w:ascii="Garamond" w:hAnsi="Garamond"/>
          <w:b/>
        </w:rPr>
        <w:t>Masa 9.3.2:</w:t>
      </w:r>
      <w:r w:rsidRPr="00795698">
        <w:rPr>
          <w:rFonts w:ascii="Garamond" w:hAnsi="Garamond"/>
        </w:rPr>
        <w:t xml:space="preserve"> Koordinimi me NJVV për ofrim asistence për aplikim dhe plotësimin e dokumentacionit në programet e strehimit social për personat e radikalizuar.</w:t>
      </w:r>
    </w:p>
    <w:p w14:paraId="5FEEF9E5" w14:textId="77777777" w:rsidR="00893E99" w:rsidRPr="00795698" w:rsidRDefault="00893E99" w:rsidP="00893E99">
      <w:pPr>
        <w:ind w:firstLine="284"/>
        <w:jc w:val="both"/>
        <w:rPr>
          <w:rFonts w:ascii="Garamond" w:hAnsi="Garamond"/>
          <w:b/>
        </w:rPr>
      </w:pPr>
      <w:r w:rsidRPr="00795698">
        <w:rPr>
          <w:rFonts w:ascii="Garamond" w:hAnsi="Garamond"/>
          <w:b/>
        </w:rPr>
        <w:t>Indikatorë të matshëm:</w:t>
      </w:r>
    </w:p>
    <w:p w14:paraId="5FEEF9E6" w14:textId="752C7B94" w:rsidR="00893E99" w:rsidRPr="00795698" w:rsidRDefault="002D53A5" w:rsidP="002D53A5">
      <w:pPr>
        <w:pStyle w:val="TEKSTIIIII"/>
        <w:rPr>
          <w:lang w:val="sq-AL"/>
        </w:rPr>
      </w:pPr>
      <w:r w:rsidRPr="00795698">
        <w:rPr>
          <w:lang w:val="sq-AL"/>
        </w:rPr>
        <w:t xml:space="preserve">- </w:t>
      </w:r>
      <w:r w:rsidR="00893E99" w:rsidRPr="00795698">
        <w:rPr>
          <w:lang w:val="sq-AL"/>
        </w:rPr>
        <w:t>Numri i familjeve me persona të radikalizuar dhe/ose familje të kthyera</w:t>
      </w:r>
      <w:r w:rsidR="007C064A" w:rsidRPr="00795698">
        <w:rPr>
          <w:lang w:val="sq-AL"/>
        </w:rPr>
        <w:t xml:space="preserve"> </w:t>
      </w:r>
      <w:r w:rsidR="00893E99" w:rsidRPr="00795698">
        <w:rPr>
          <w:lang w:val="sq-AL"/>
        </w:rPr>
        <w:t>nga lufta,</w:t>
      </w:r>
      <w:r w:rsidR="007C064A" w:rsidRPr="00795698">
        <w:rPr>
          <w:lang w:val="sq-AL"/>
        </w:rPr>
        <w:t xml:space="preserve"> </w:t>
      </w:r>
      <w:r w:rsidR="00893E99" w:rsidRPr="00795698">
        <w:rPr>
          <w:lang w:val="sq-AL"/>
        </w:rPr>
        <w:t>të përfshirë në skemat e strehimit</w:t>
      </w:r>
    </w:p>
    <w:p w14:paraId="5FEEF9E7" w14:textId="77777777" w:rsidR="00893E99" w:rsidRPr="00795698" w:rsidRDefault="00893E99" w:rsidP="002D53A5">
      <w:pPr>
        <w:pStyle w:val="TEKSTIIIII"/>
        <w:rPr>
          <w:lang w:val="sq-AL"/>
        </w:rPr>
      </w:pPr>
      <w:bookmarkStart w:id="103" w:name="_Toc108644310"/>
      <w:r w:rsidRPr="00795698">
        <w:rPr>
          <w:lang w:val="sq-AL"/>
        </w:rPr>
        <w:t>QËLLIMI I POLITIKËS 10: PËRGATITJA PËR MENAXHIMIN E INCIDENTEVE TERRORISTE QË PËRFSHIJNË PËRDORIMIN E MATERIALEVE KIMIKE, BIOLOGJIKE, RADIOLOGJIKE, BËRTHAMORE DHE EKSPLOZIVE (CBRNE)</w:t>
      </w:r>
      <w:bookmarkEnd w:id="103"/>
      <w:r w:rsidRPr="00795698">
        <w:rPr>
          <w:lang w:val="sq-AL"/>
        </w:rPr>
        <w:t xml:space="preserve"> </w:t>
      </w:r>
    </w:p>
    <w:p w14:paraId="5FEEF9E8" w14:textId="77777777" w:rsidR="00893E99" w:rsidRPr="00795698" w:rsidRDefault="00893E99" w:rsidP="00893E99">
      <w:pPr>
        <w:ind w:firstLine="284"/>
        <w:jc w:val="both"/>
        <w:rPr>
          <w:rFonts w:ascii="Garamond" w:hAnsi="Garamond"/>
          <w:bCs/>
        </w:rPr>
      </w:pPr>
      <w:r w:rsidRPr="00795698">
        <w:rPr>
          <w:rFonts w:ascii="Garamond" w:hAnsi="Garamond"/>
          <w:bCs/>
        </w:rPr>
        <w:t>Do të hartohet procedura dhe zbatohen programe bashkëkohore ushtrimesh për zhvillimin e aftësive në gatishmërinë, parandalimin dhe përballimin e emergjencave civile dhe fatkeqësive, duke vënë në provë të plotë sistemet, praktikat dhe procedurat. Për këtë qëllim të evidentohen praktikat më të mira, të evidentohen pikat e dobëta dhe të sanksionohen ose të përcaktohen reagimet e duhura efikase ndaj një sulmi terrorist me përdorimin e materialeve CBRNE”.</w:t>
      </w:r>
    </w:p>
    <w:p w14:paraId="5FEEF9E9" w14:textId="77777777" w:rsidR="00893E99" w:rsidRPr="00795698" w:rsidRDefault="00893E99" w:rsidP="00893E99">
      <w:pPr>
        <w:pStyle w:val="Heading3"/>
        <w:spacing w:before="0"/>
        <w:ind w:firstLine="284"/>
        <w:jc w:val="both"/>
        <w:rPr>
          <w:rFonts w:ascii="Garamond" w:hAnsi="Garamond"/>
          <w:b w:val="0"/>
          <w:i/>
          <w:color w:val="auto"/>
        </w:rPr>
      </w:pPr>
      <w:bookmarkStart w:id="104" w:name="_Toc108644311"/>
      <w:r w:rsidRPr="00795698">
        <w:rPr>
          <w:rFonts w:ascii="Garamond" w:hAnsi="Garamond"/>
          <w:b w:val="0"/>
          <w:i/>
          <w:color w:val="auto"/>
        </w:rPr>
        <w:t xml:space="preserve">Objektivi specifik 10.1: </w:t>
      </w:r>
      <w:bookmarkEnd w:id="104"/>
      <w:r w:rsidRPr="00795698">
        <w:rPr>
          <w:rFonts w:ascii="Garamond" w:hAnsi="Garamond"/>
          <w:b w:val="0"/>
          <w:i/>
          <w:color w:val="auto"/>
        </w:rPr>
        <w:t>Reagimi i shpejtë sipas protokolleve ndërkombëtare ndaj incidenteve terroriste që përfshijnë përdorimin e materialeve kimike, biologjike, radiologjike, bërthamore dhe eksplozive (CBRN)</w:t>
      </w:r>
    </w:p>
    <w:p w14:paraId="5FEEF9EA" w14:textId="58A59328" w:rsidR="00893E99" w:rsidRPr="00795698" w:rsidRDefault="00893E99" w:rsidP="00893E99">
      <w:pPr>
        <w:ind w:firstLine="284"/>
        <w:jc w:val="both"/>
        <w:rPr>
          <w:rFonts w:ascii="Garamond" w:hAnsi="Garamond"/>
          <w:bCs/>
        </w:rPr>
      </w:pPr>
      <w:r w:rsidRPr="00795698">
        <w:rPr>
          <w:rFonts w:ascii="Garamond" w:hAnsi="Garamond"/>
          <w:b/>
        </w:rPr>
        <w:t xml:space="preserve">Masa 10.1.1: </w:t>
      </w:r>
      <w:r w:rsidRPr="00795698">
        <w:rPr>
          <w:rFonts w:ascii="Garamond" w:hAnsi="Garamond"/>
          <w:bCs/>
        </w:rPr>
        <w:t>Përmirësimi i shkëmbimit të informacionit</w:t>
      </w:r>
      <w:r w:rsidR="007C064A" w:rsidRPr="00795698">
        <w:rPr>
          <w:rFonts w:ascii="Garamond" w:hAnsi="Garamond"/>
          <w:bCs/>
        </w:rPr>
        <w:t xml:space="preserve"> </w:t>
      </w:r>
      <w:r w:rsidRPr="00795698">
        <w:rPr>
          <w:rFonts w:ascii="Garamond" w:hAnsi="Garamond"/>
          <w:bCs/>
        </w:rPr>
        <w:t>në rastet e</w:t>
      </w:r>
      <w:r w:rsidR="007C064A" w:rsidRPr="00795698">
        <w:rPr>
          <w:rFonts w:ascii="Garamond" w:hAnsi="Garamond"/>
          <w:bCs/>
        </w:rPr>
        <w:t xml:space="preserve"> </w:t>
      </w:r>
      <w:r w:rsidRPr="00795698">
        <w:rPr>
          <w:rFonts w:ascii="Garamond" w:hAnsi="Garamond"/>
          <w:bCs/>
        </w:rPr>
        <w:t>emergjencave ku përfshihen</w:t>
      </w:r>
      <w:r w:rsidR="007C064A" w:rsidRPr="00795698">
        <w:rPr>
          <w:rFonts w:ascii="Garamond" w:hAnsi="Garamond"/>
          <w:bCs/>
        </w:rPr>
        <w:t xml:space="preserve"> </w:t>
      </w:r>
      <w:r w:rsidRPr="00795698">
        <w:rPr>
          <w:rFonts w:ascii="Garamond" w:hAnsi="Garamond"/>
          <w:bCs/>
        </w:rPr>
        <w:t>CBRN.</w:t>
      </w:r>
    </w:p>
    <w:p w14:paraId="5FEEF9EB" w14:textId="77777777" w:rsidR="00893E99" w:rsidRPr="00795698" w:rsidRDefault="00893E99" w:rsidP="00893E99">
      <w:pPr>
        <w:ind w:firstLine="284"/>
        <w:jc w:val="both"/>
        <w:rPr>
          <w:rFonts w:ascii="Garamond" w:hAnsi="Garamond"/>
          <w:bCs/>
        </w:rPr>
      </w:pPr>
    </w:p>
    <w:p w14:paraId="5FEEF9EC" w14:textId="77777777" w:rsidR="00893E99" w:rsidRPr="00795698" w:rsidRDefault="00893E99" w:rsidP="00893E99">
      <w:pPr>
        <w:pStyle w:val="BodyText"/>
        <w:ind w:firstLine="284"/>
        <w:rPr>
          <w:rFonts w:ascii="Garamond" w:hAnsi="Garamond"/>
          <w:b/>
          <w:bCs/>
        </w:rPr>
      </w:pPr>
      <w:r w:rsidRPr="00795698">
        <w:rPr>
          <w:rFonts w:ascii="Garamond" w:hAnsi="Garamond"/>
          <w:b/>
          <w:bCs/>
        </w:rPr>
        <w:t xml:space="preserve">Indikatorë të matshëm: </w:t>
      </w:r>
    </w:p>
    <w:p w14:paraId="5FEEF9ED" w14:textId="77777777" w:rsidR="00893E99" w:rsidRPr="00795698" w:rsidRDefault="00FA0747" w:rsidP="00FA0747">
      <w:pPr>
        <w:pStyle w:val="TEKSTIIIII"/>
        <w:rPr>
          <w:lang w:val="sq-AL"/>
        </w:rPr>
      </w:pPr>
      <w:r w:rsidRPr="00795698">
        <w:rPr>
          <w:lang w:val="sq-AL"/>
        </w:rPr>
        <w:t xml:space="preserve">- </w:t>
      </w:r>
      <w:r w:rsidR="00893E99" w:rsidRPr="00795698">
        <w:rPr>
          <w:lang w:val="sq-AL"/>
        </w:rPr>
        <w:t>Indeksi i uljes së kohës së shkëmbimit të informacionit në rastet e emergjencës ku përfshihen kimike, biologjike, radiologjike, bërthamore dhe eksplozive (CBRNE)</w:t>
      </w:r>
    </w:p>
    <w:p w14:paraId="5FEEF9EE" w14:textId="77777777" w:rsidR="00893E99" w:rsidRPr="00795698" w:rsidRDefault="00893E99" w:rsidP="00893E99">
      <w:pPr>
        <w:ind w:firstLine="284"/>
        <w:jc w:val="both"/>
        <w:rPr>
          <w:rFonts w:ascii="Garamond" w:hAnsi="Garamond"/>
          <w:color w:val="000000" w:themeColor="text1"/>
        </w:rPr>
      </w:pPr>
      <w:r w:rsidRPr="00795698">
        <w:rPr>
          <w:rFonts w:ascii="Garamond" w:hAnsi="Garamond"/>
          <w:color w:val="000000" w:themeColor="text1"/>
        </w:rPr>
        <w:t xml:space="preserve">QASJA 4: MBROJTJA </w:t>
      </w:r>
    </w:p>
    <w:p w14:paraId="5FEEF9EF" w14:textId="77777777"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105" w:name="_Toc108644312"/>
      <w:r w:rsidRPr="00795698">
        <w:rPr>
          <w:rFonts w:ascii="Garamond" w:hAnsi="Garamond"/>
          <w:b w:val="0"/>
          <w:color w:val="000000" w:themeColor="text1"/>
          <w:sz w:val="24"/>
          <w:szCs w:val="24"/>
        </w:rPr>
        <w:lastRenderedPageBreak/>
        <w:t>QËLLIMI I POLITIKËS 11: RRITJA E NIVELIT TË SIGURISË NË FUSHËN E TRANSPORTIT, TREGTISË, SHKËMBIMIT TË MALLRAVE DHE SHËRBIMEVE</w:t>
      </w:r>
      <w:bookmarkEnd w:id="105"/>
    </w:p>
    <w:p w14:paraId="5FEEF9F0" w14:textId="42822610" w:rsidR="00893E99" w:rsidRPr="00795698" w:rsidRDefault="00893E99" w:rsidP="00893E99">
      <w:pPr>
        <w:pStyle w:val="Heading3"/>
        <w:spacing w:before="0"/>
        <w:ind w:firstLine="284"/>
        <w:jc w:val="both"/>
        <w:rPr>
          <w:rFonts w:ascii="Garamond" w:hAnsi="Garamond"/>
          <w:b w:val="0"/>
          <w:i/>
          <w:color w:val="auto"/>
        </w:rPr>
      </w:pPr>
      <w:bookmarkStart w:id="106" w:name="_Toc108644313"/>
      <w:r w:rsidRPr="00795698">
        <w:rPr>
          <w:rFonts w:ascii="Garamond" w:hAnsi="Garamond"/>
          <w:b w:val="0"/>
          <w:i/>
          <w:color w:val="auto"/>
        </w:rPr>
        <w:t xml:space="preserve">Objektivi specifik 11.1: </w:t>
      </w:r>
      <w:bookmarkEnd w:id="106"/>
      <w:r w:rsidRPr="00795698">
        <w:rPr>
          <w:rFonts w:ascii="Garamond" w:hAnsi="Garamond"/>
          <w:b w:val="0"/>
          <w:i/>
          <w:color w:val="auto"/>
        </w:rPr>
        <w:t>Reduktimi i</w:t>
      </w:r>
      <w:r w:rsidR="007C064A" w:rsidRPr="00795698">
        <w:rPr>
          <w:rFonts w:ascii="Garamond" w:hAnsi="Garamond"/>
          <w:b w:val="0"/>
          <w:i/>
          <w:color w:val="auto"/>
        </w:rPr>
        <w:t xml:space="preserve"> </w:t>
      </w:r>
      <w:r w:rsidRPr="00795698">
        <w:rPr>
          <w:rFonts w:ascii="Garamond" w:hAnsi="Garamond"/>
          <w:b w:val="0"/>
          <w:i/>
          <w:color w:val="auto"/>
        </w:rPr>
        <w:t>rreziqeve që rrjedhin nga transferimet e ndaluara të mjeteve dhe materialeve që mund të përdoren për të kryer një sulm apo akt terrorist</w:t>
      </w:r>
    </w:p>
    <w:p w14:paraId="5FEEF9F1" w14:textId="77777777" w:rsidR="00893E99" w:rsidRPr="00795698" w:rsidRDefault="00893E99" w:rsidP="00893E99">
      <w:pPr>
        <w:ind w:firstLine="284"/>
        <w:jc w:val="both"/>
        <w:rPr>
          <w:rFonts w:ascii="Garamond" w:hAnsi="Garamond"/>
        </w:rPr>
      </w:pPr>
      <w:r w:rsidRPr="00795698">
        <w:rPr>
          <w:rFonts w:ascii="Garamond" w:hAnsi="Garamond"/>
          <w:b/>
          <w:bCs/>
        </w:rPr>
        <w:t>Masa 11.1.1:</w:t>
      </w:r>
      <w:r w:rsidRPr="00795698">
        <w:rPr>
          <w:rFonts w:ascii="Garamond" w:hAnsi="Garamond"/>
        </w:rPr>
        <w:t xml:space="preserve"> “Shfrytëzimi i kapaciteteve kombëtare, për zbulimin në kohë të materialeve</w:t>
      </w:r>
    </w:p>
    <w:p w14:paraId="5FEEF9F2" w14:textId="77777777" w:rsidR="00893E99" w:rsidRPr="00795698" w:rsidRDefault="00893E99" w:rsidP="00893E99">
      <w:pPr>
        <w:ind w:firstLine="284"/>
        <w:jc w:val="both"/>
        <w:rPr>
          <w:rFonts w:ascii="Garamond" w:hAnsi="Garamond"/>
        </w:rPr>
      </w:pPr>
      <w:r w:rsidRPr="00795698">
        <w:rPr>
          <w:rFonts w:ascii="Garamond" w:hAnsi="Garamond"/>
        </w:rPr>
        <w:t>të përshtatshme dhe jashtë kontrollit, për prodhimin apo përdorimin e Armëve të zjarrit, lëndëve shpërthyese, Armëve të Dëmtimit në Masë”</w:t>
      </w:r>
    </w:p>
    <w:p w14:paraId="5FEEF9F3" w14:textId="77777777" w:rsidR="00893E99" w:rsidRPr="00795698" w:rsidRDefault="00893E99" w:rsidP="00893E99">
      <w:pPr>
        <w:ind w:firstLine="284"/>
        <w:jc w:val="both"/>
        <w:rPr>
          <w:rFonts w:ascii="Garamond" w:hAnsi="Garamond"/>
        </w:rPr>
      </w:pPr>
      <w:bookmarkStart w:id="107" w:name="_Hlk60117048"/>
      <w:r w:rsidRPr="00795698">
        <w:rPr>
          <w:rFonts w:ascii="Garamond" w:hAnsi="Garamond"/>
          <w:b/>
          <w:bCs/>
        </w:rPr>
        <w:t>Masa 11.1.2:</w:t>
      </w:r>
      <w:r w:rsidRPr="00795698">
        <w:rPr>
          <w:rFonts w:ascii="Garamond" w:hAnsi="Garamond"/>
        </w:rPr>
        <w:t xml:space="preserve"> </w:t>
      </w:r>
      <w:bookmarkEnd w:id="107"/>
      <w:r w:rsidRPr="00795698">
        <w:rPr>
          <w:rFonts w:ascii="Garamond" w:hAnsi="Garamond"/>
        </w:rPr>
        <w:t>“Shfrytëzimi i kapaciteteve institucionale dhe administrative, për zbulimin e rrjeteve financiare kriminale që tentojnë përhapjen e Armëve të zjarrit, lëndëve shpërthyese, Armëve të Dëmtimit në Masë”.</w:t>
      </w:r>
    </w:p>
    <w:p w14:paraId="5FEEF9F4" w14:textId="77777777" w:rsidR="00FA0747" w:rsidRPr="00795698" w:rsidRDefault="00FA0747" w:rsidP="00FA0747">
      <w:pPr>
        <w:pStyle w:val="BodyText"/>
        <w:ind w:firstLine="284"/>
        <w:rPr>
          <w:rFonts w:ascii="Garamond" w:hAnsi="Garamond"/>
          <w:b/>
          <w:bCs/>
        </w:rPr>
      </w:pPr>
      <w:r w:rsidRPr="00795698">
        <w:rPr>
          <w:rFonts w:ascii="Garamond" w:hAnsi="Garamond"/>
          <w:b/>
          <w:bCs/>
        </w:rPr>
        <w:t xml:space="preserve">Indikatorë të matshëm: </w:t>
      </w:r>
    </w:p>
    <w:p w14:paraId="5FEEF9F5" w14:textId="77777777" w:rsidR="00893E99" w:rsidRPr="00795698" w:rsidRDefault="00FA0747" w:rsidP="00FA0747">
      <w:pPr>
        <w:pStyle w:val="BodyText"/>
        <w:ind w:firstLine="284"/>
        <w:rPr>
          <w:rFonts w:ascii="Garamond" w:hAnsi="Garamond"/>
          <w:b/>
          <w:bCs/>
        </w:rPr>
      </w:pPr>
      <w:r w:rsidRPr="00795698">
        <w:rPr>
          <w:rFonts w:ascii="Garamond" w:hAnsi="Garamond"/>
          <w:b/>
          <w:bCs/>
        </w:rPr>
        <w:t xml:space="preserve">- </w:t>
      </w:r>
      <w:r w:rsidR="00893E99" w:rsidRPr="00795698">
        <w:rPr>
          <w:rFonts w:ascii="Garamond" w:hAnsi="Garamond"/>
        </w:rPr>
        <w:t>Indeksi i rritjes së bashkëpunimit ndërinstitucional për parandalimin e akteve terroriste që rrezikojnë infrastrukturën kritike në vend</w:t>
      </w:r>
    </w:p>
    <w:p w14:paraId="5FEEF9F6" w14:textId="77777777" w:rsidR="00893E99" w:rsidRPr="00795698" w:rsidRDefault="00893E99" w:rsidP="00893E99">
      <w:pPr>
        <w:pStyle w:val="Heading3"/>
        <w:spacing w:before="0"/>
        <w:ind w:firstLine="284"/>
        <w:jc w:val="both"/>
        <w:rPr>
          <w:rFonts w:ascii="Garamond" w:hAnsi="Garamond"/>
          <w:b w:val="0"/>
          <w:i/>
          <w:color w:val="auto"/>
        </w:rPr>
      </w:pPr>
      <w:bookmarkStart w:id="108" w:name="_Toc108644314"/>
      <w:r w:rsidRPr="00795698">
        <w:rPr>
          <w:rFonts w:ascii="Garamond" w:hAnsi="Garamond"/>
          <w:b w:val="0"/>
          <w:i/>
          <w:color w:val="auto"/>
        </w:rPr>
        <w:t>Objektivi specifik 11.2: Rritja e aftësive për të zbuluar aktivitetin terrorist duke përfshirë kontrollin dhe mbrojtjen e materialeve kimike, biologjike, radiologjike, bërthamore dhe eksplozive (CBRNE)</w:t>
      </w:r>
      <w:bookmarkEnd w:id="108"/>
    </w:p>
    <w:p w14:paraId="5FEEF9F7" w14:textId="77777777" w:rsidR="00893E99" w:rsidRPr="00795698" w:rsidRDefault="00893E99" w:rsidP="00893E99">
      <w:pPr>
        <w:ind w:firstLine="284"/>
        <w:jc w:val="both"/>
        <w:rPr>
          <w:rFonts w:ascii="Garamond" w:hAnsi="Garamond"/>
          <w:bCs/>
        </w:rPr>
      </w:pPr>
      <w:r w:rsidRPr="00795698">
        <w:rPr>
          <w:rFonts w:ascii="Garamond" w:hAnsi="Garamond"/>
          <w:b/>
          <w:bCs/>
        </w:rPr>
        <w:t>Masa 11.2.1:</w:t>
      </w:r>
      <w:r w:rsidRPr="00795698">
        <w:rPr>
          <w:rFonts w:ascii="Garamond" w:hAnsi="Garamond"/>
        </w:rPr>
        <w:t xml:space="preserve"> </w:t>
      </w:r>
      <w:r w:rsidRPr="00795698">
        <w:rPr>
          <w:rFonts w:ascii="Garamond" w:hAnsi="Garamond"/>
          <w:bCs/>
        </w:rPr>
        <w:t>Mbikëqyrja e angazhimeve të Republikës së Shqipërisë në traktatet ndërkombëtare për mospërhapjen e armëve të dëmtimit në masë dhe sistemet e lëshimit të tyre, transferimin e armëve konvencionale dhe zbatimi i masave që synojnë parandalimin e përdorimit të këtyre mallrave për qëllime ushtarake.</w:t>
      </w:r>
    </w:p>
    <w:p w14:paraId="5FEEF9F8" w14:textId="77777777" w:rsidR="00FA0747" w:rsidRPr="00795698" w:rsidRDefault="00FA0747" w:rsidP="00FA0747">
      <w:pPr>
        <w:pStyle w:val="BodyText"/>
        <w:ind w:firstLine="284"/>
        <w:rPr>
          <w:rFonts w:ascii="Garamond" w:hAnsi="Garamond"/>
          <w:b/>
          <w:bCs/>
        </w:rPr>
      </w:pPr>
      <w:r w:rsidRPr="00795698">
        <w:rPr>
          <w:rFonts w:ascii="Garamond" w:hAnsi="Garamond"/>
          <w:b/>
          <w:bCs/>
        </w:rPr>
        <w:t xml:space="preserve">Indikatorë të matshëm: </w:t>
      </w:r>
    </w:p>
    <w:p w14:paraId="5FEEF9F9" w14:textId="77777777" w:rsidR="00893E99" w:rsidRPr="00795698" w:rsidRDefault="00FA0747" w:rsidP="00FA0747">
      <w:pPr>
        <w:pStyle w:val="BodyText"/>
        <w:ind w:firstLine="284"/>
        <w:rPr>
          <w:rFonts w:ascii="Garamond" w:hAnsi="Garamond"/>
          <w:b/>
          <w:bCs/>
        </w:rPr>
      </w:pPr>
      <w:r w:rsidRPr="00795698">
        <w:rPr>
          <w:rFonts w:ascii="Garamond" w:hAnsi="Garamond"/>
          <w:b/>
          <w:bCs/>
        </w:rPr>
        <w:t xml:space="preserve">- </w:t>
      </w:r>
      <w:r w:rsidR="00893E99" w:rsidRPr="00795698">
        <w:rPr>
          <w:rFonts w:ascii="Garamond" w:hAnsi="Garamond"/>
          <w:bCs/>
        </w:rPr>
        <w:t>Indeksi i përmbushjes së detyrimeve në traktatet ndërkombëtare që synojnë parandalimin e përdorimit të këtyre mallrave të ndaluara për qëllime ushtarake.</w:t>
      </w:r>
    </w:p>
    <w:p w14:paraId="5FEEF9FA" w14:textId="77777777"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109" w:name="_Toc108644315"/>
      <w:r w:rsidRPr="00795698">
        <w:rPr>
          <w:rFonts w:ascii="Garamond" w:hAnsi="Garamond"/>
          <w:b w:val="0"/>
          <w:color w:val="000000" w:themeColor="text1"/>
          <w:sz w:val="24"/>
          <w:szCs w:val="24"/>
        </w:rPr>
        <w:t>QËLLIMI I POLITIKËS 12: RRITJA E NIVELIT TË RUAJTJES DHE MBROJTJES SË INFRASTRUKTURËS KRITIKE</w:t>
      </w:r>
      <w:bookmarkEnd w:id="109"/>
    </w:p>
    <w:p w14:paraId="5FEEF9FB" w14:textId="77777777" w:rsidR="00893E99" w:rsidRPr="00795698" w:rsidRDefault="00893E99" w:rsidP="00893E99">
      <w:pPr>
        <w:pStyle w:val="Heading3"/>
        <w:spacing w:before="0"/>
        <w:ind w:firstLine="284"/>
        <w:jc w:val="both"/>
        <w:rPr>
          <w:rFonts w:ascii="Garamond" w:hAnsi="Garamond"/>
          <w:b w:val="0"/>
          <w:i/>
          <w:color w:val="auto"/>
        </w:rPr>
      </w:pPr>
      <w:bookmarkStart w:id="110" w:name="_Toc108644316"/>
      <w:bookmarkStart w:id="111" w:name="_Hlk60118626"/>
      <w:r w:rsidRPr="00795698">
        <w:rPr>
          <w:rFonts w:ascii="Garamond" w:hAnsi="Garamond"/>
          <w:b w:val="0"/>
          <w:i/>
          <w:color w:val="auto"/>
        </w:rPr>
        <w:t>Objektivi specifik 12.1: Hartimi i planeve të bashkëpunimit midis strukturave ligjzbatuese dhe institucioneve përgjegjëse që kanë në administrim infrastrukturën kritike të vendit për parandalimin e akteve të mundshme terroriste</w:t>
      </w:r>
      <w:bookmarkEnd w:id="110"/>
      <w:r w:rsidRPr="00795698">
        <w:rPr>
          <w:rFonts w:ascii="Garamond" w:hAnsi="Garamond"/>
          <w:b w:val="0"/>
          <w:i/>
          <w:color w:val="auto"/>
        </w:rPr>
        <w:t xml:space="preserve"> </w:t>
      </w:r>
    </w:p>
    <w:p w14:paraId="5FEEF9FC" w14:textId="77777777" w:rsidR="00893E99" w:rsidRPr="00795698" w:rsidRDefault="00893E99" w:rsidP="00893E99">
      <w:pPr>
        <w:ind w:firstLine="284"/>
        <w:jc w:val="both"/>
        <w:rPr>
          <w:rFonts w:ascii="Garamond" w:hAnsi="Garamond"/>
        </w:rPr>
      </w:pPr>
      <w:r w:rsidRPr="00795698">
        <w:rPr>
          <w:rFonts w:ascii="Garamond" w:hAnsi="Garamond"/>
          <w:b/>
          <w:bCs/>
        </w:rPr>
        <w:t>Masa 12.1.1:</w:t>
      </w:r>
      <w:r w:rsidRPr="00795698">
        <w:rPr>
          <w:rFonts w:ascii="Garamond" w:hAnsi="Garamond"/>
        </w:rPr>
        <w:t xml:space="preserve"> </w:t>
      </w:r>
      <w:bookmarkEnd w:id="111"/>
      <w:r w:rsidRPr="00795698">
        <w:rPr>
          <w:rFonts w:ascii="Garamond" w:hAnsi="Garamond"/>
        </w:rPr>
        <w:t>Bashkëpunimi në ndarjen e informacioneve kritike mbi aktivitete të karakterit terrorist, me agjencitë ligjzbatuese dhe të inteligjencës në vend dhe ato të vendeve partnere dhe anëtare të NATO-s.</w:t>
      </w:r>
    </w:p>
    <w:p w14:paraId="5FEEF9FD" w14:textId="77777777" w:rsidR="00FA0747" w:rsidRPr="00795698" w:rsidRDefault="00FA0747" w:rsidP="00FA0747">
      <w:pPr>
        <w:pStyle w:val="BodyText"/>
        <w:ind w:firstLine="284"/>
        <w:rPr>
          <w:rFonts w:ascii="Garamond" w:hAnsi="Garamond"/>
          <w:b/>
          <w:bCs/>
        </w:rPr>
      </w:pPr>
      <w:r w:rsidRPr="00795698">
        <w:rPr>
          <w:rFonts w:ascii="Garamond" w:hAnsi="Garamond"/>
          <w:b/>
          <w:bCs/>
        </w:rPr>
        <w:t xml:space="preserve">Indikatorë të matshëm: </w:t>
      </w:r>
    </w:p>
    <w:p w14:paraId="5FEEF9FE" w14:textId="77777777" w:rsidR="00893E99" w:rsidRPr="00795698" w:rsidRDefault="00FA0747" w:rsidP="00FA0747">
      <w:pPr>
        <w:pStyle w:val="BodyText"/>
        <w:ind w:firstLine="284"/>
        <w:rPr>
          <w:rFonts w:ascii="Garamond" w:hAnsi="Garamond"/>
          <w:b/>
          <w:bCs/>
        </w:rPr>
      </w:pPr>
      <w:r w:rsidRPr="00795698">
        <w:rPr>
          <w:rFonts w:ascii="Garamond" w:hAnsi="Garamond"/>
          <w:b/>
          <w:bCs/>
        </w:rPr>
        <w:t xml:space="preserve">- </w:t>
      </w:r>
      <w:r w:rsidR="00893E99" w:rsidRPr="00795698">
        <w:rPr>
          <w:rFonts w:ascii="Garamond" w:hAnsi="Garamond"/>
        </w:rPr>
        <w:t>Indeksi i rritjes së zbulueshmërisë materialeve të përshtatshme dhe jashtë kontrollit, për prodhimin apo përdorimin e Armëve të zjarrit, lëndëve shpërthyese, Armëve të Dëmtimit në Masë</w:t>
      </w:r>
    </w:p>
    <w:p w14:paraId="5FEEF9FF" w14:textId="34A9C618" w:rsidR="00893E99" w:rsidRPr="00795698" w:rsidRDefault="00893E99" w:rsidP="00893E99">
      <w:pPr>
        <w:pStyle w:val="Heading2"/>
        <w:spacing w:before="0"/>
        <w:ind w:firstLine="284"/>
        <w:jc w:val="both"/>
        <w:rPr>
          <w:rFonts w:ascii="Garamond" w:hAnsi="Garamond"/>
          <w:b w:val="0"/>
          <w:color w:val="000000" w:themeColor="text1"/>
          <w:sz w:val="24"/>
          <w:szCs w:val="24"/>
        </w:rPr>
      </w:pPr>
      <w:bookmarkStart w:id="112" w:name="_Toc108644317"/>
      <w:r w:rsidRPr="00795698">
        <w:rPr>
          <w:rFonts w:ascii="Garamond" w:hAnsi="Garamond"/>
          <w:b w:val="0"/>
          <w:color w:val="000000" w:themeColor="text1"/>
          <w:sz w:val="24"/>
          <w:szCs w:val="24"/>
        </w:rPr>
        <w:t>QËLLIMI I POLITIKËS 13: MBROJTJA NGA KËRCËNIMET TERRORISTE QË</w:t>
      </w:r>
      <w:r w:rsidR="005E41AA" w:rsidRPr="00795698">
        <w:rPr>
          <w:rFonts w:ascii="Garamond" w:hAnsi="Garamond"/>
          <w:b w:val="0"/>
          <w:color w:val="000000" w:themeColor="text1"/>
          <w:sz w:val="24"/>
          <w:szCs w:val="24"/>
        </w:rPr>
        <w:t xml:space="preserve"> </w:t>
      </w:r>
      <w:r w:rsidR="00CA234B" w:rsidRPr="00795698">
        <w:rPr>
          <w:rFonts w:ascii="Garamond" w:hAnsi="Garamond"/>
          <w:b w:val="0"/>
          <w:color w:val="000000" w:themeColor="text1"/>
          <w:sz w:val="24"/>
          <w:szCs w:val="24"/>
        </w:rPr>
        <w:t>CENOJ</w:t>
      </w:r>
      <w:r w:rsidRPr="00795698">
        <w:rPr>
          <w:rFonts w:ascii="Garamond" w:hAnsi="Garamond"/>
          <w:b w:val="0"/>
          <w:color w:val="000000" w:themeColor="text1"/>
          <w:sz w:val="24"/>
          <w:szCs w:val="24"/>
        </w:rPr>
        <w:t>NË VENDDISLOKIMET/INFRASTRUKTURËN, PAJISJET KRITIKE DHE SISTEMET E MBROJTJES DHE FARSH-</w:t>
      </w:r>
      <w:r w:rsidR="00CA234B" w:rsidRPr="00795698">
        <w:rPr>
          <w:rFonts w:ascii="Garamond" w:hAnsi="Garamond"/>
          <w:b w:val="0"/>
          <w:color w:val="000000" w:themeColor="text1"/>
          <w:sz w:val="24"/>
          <w:szCs w:val="24"/>
        </w:rPr>
        <w:t>së</w:t>
      </w:r>
      <w:bookmarkEnd w:id="112"/>
    </w:p>
    <w:p w14:paraId="5FEEFA00" w14:textId="1E952B92" w:rsidR="00893E99" w:rsidRPr="00795698" w:rsidRDefault="00893E99" w:rsidP="00893E99">
      <w:pPr>
        <w:pStyle w:val="Heading3"/>
        <w:spacing w:before="0"/>
        <w:ind w:firstLine="284"/>
        <w:jc w:val="both"/>
        <w:rPr>
          <w:rFonts w:ascii="Garamond" w:hAnsi="Garamond"/>
          <w:b w:val="0"/>
          <w:i/>
          <w:color w:val="auto"/>
        </w:rPr>
      </w:pPr>
      <w:bookmarkStart w:id="113" w:name="_Toc108644318"/>
      <w:r w:rsidRPr="00795698">
        <w:rPr>
          <w:rFonts w:ascii="Garamond" w:hAnsi="Garamond"/>
          <w:b w:val="0"/>
          <w:i/>
          <w:color w:val="auto"/>
        </w:rPr>
        <w:t>Objektivi specifik 13.1: Identifikimi i nevojave dhe standardeve të mbrojtjes nga kërcënimet terroriste</w:t>
      </w:r>
      <w:bookmarkEnd w:id="113"/>
    </w:p>
    <w:p w14:paraId="5FEEFA01" w14:textId="59D7A1E4" w:rsidR="00893E99" w:rsidRPr="00795698" w:rsidRDefault="00893E99" w:rsidP="00893E99">
      <w:pPr>
        <w:ind w:firstLine="284"/>
        <w:jc w:val="both"/>
        <w:rPr>
          <w:rFonts w:ascii="Garamond" w:hAnsi="Garamond"/>
        </w:rPr>
      </w:pPr>
      <w:r w:rsidRPr="00795698">
        <w:rPr>
          <w:rFonts w:ascii="Garamond" w:hAnsi="Garamond"/>
          <w:b/>
        </w:rPr>
        <w:t>Masa 13.1.1:</w:t>
      </w:r>
      <w:r w:rsidRPr="00795698">
        <w:rPr>
          <w:rFonts w:ascii="Garamond" w:hAnsi="Garamond"/>
        </w:rPr>
        <w:t xml:space="preserve"> Rishikimi i planeve të mbrojtjes të</w:t>
      </w:r>
      <w:r w:rsidR="007C064A" w:rsidRPr="00795698">
        <w:rPr>
          <w:rFonts w:ascii="Garamond" w:hAnsi="Garamond"/>
        </w:rPr>
        <w:t xml:space="preserve"> </w:t>
      </w:r>
      <w:r w:rsidRPr="00795698">
        <w:rPr>
          <w:rFonts w:ascii="Garamond" w:hAnsi="Garamond"/>
        </w:rPr>
        <w:t>venddislokimve, infrastrukturës kritike, sistemeve dhe paisjeve kritike të Ministrisë së Mbrojtjes dhe FARSH.</w:t>
      </w:r>
    </w:p>
    <w:p w14:paraId="5FEEFA02" w14:textId="77777777" w:rsidR="00FA0747" w:rsidRPr="00795698" w:rsidRDefault="00893E99" w:rsidP="00FA0747">
      <w:pPr>
        <w:pStyle w:val="BodyText"/>
        <w:ind w:firstLine="284"/>
        <w:rPr>
          <w:rFonts w:ascii="Garamond" w:hAnsi="Garamond"/>
          <w:b/>
          <w:bCs/>
        </w:rPr>
      </w:pPr>
      <w:r w:rsidRPr="00795698">
        <w:rPr>
          <w:rFonts w:ascii="Garamond" w:hAnsi="Garamond"/>
          <w:b/>
          <w:bCs/>
        </w:rPr>
        <w:t xml:space="preserve">Indikatorë të matshëm: </w:t>
      </w:r>
    </w:p>
    <w:p w14:paraId="5FEEFA03" w14:textId="553BDDE8" w:rsidR="00893E99" w:rsidRPr="00795698" w:rsidRDefault="00FA0747" w:rsidP="00FA0747">
      <w:pPr>
        <w:pStyle w:val="BodyText"/>
        <w:ind w:firstLine="284"/>
        <w:rPr>
          <w:rFonts w:ascii="Garamond" w:hAnsi="Garamond"/>
          <w:b/>
          <w:bCs/>
        </w:rPr>
      </w:pPr>
      <w:r w:rsidRPr="00795698">
        <w:rPr>
          <w:rFonts w:ascii="Garamond" w:hAnsi="Garamond"/>
          <w:b/>
          <w:bCs/>
        </w:rPr>
        <w:t xml:space="preserve">- </w:t>
      </w:r>
      <w:r w:rsidR="00893E99" w:rsidRPr="00795698">
        <w:rPr>
          <w:rFonts w:ascii="Garamond" w:hAnsi="Garamond"/>
        </w:rPr>
        <w:t>Indeksi i përputhshmërisë</w:t>
      </w:r>
      <w:r w:rsidR="007C064A" w:rsidRPr="00795698">
        <w:rPr>
          <w:rFonts w:ascii="Garamond" w:hAnsi="Garamond"/>
        </w:rPr>
        <w:t xml:space="preserve"> </w:t>
      </w:r>
      <w:r w:rsidR="00893E99" w:rsidRPr="00795698">
        <w:rPr>
          <w:rFonts w:ascii="Garamond" w:hAnsi="Garamond"/>
        </w:rPr>
        <w:t>me standardet evropiane të mbrojtjes së venddislokimeve, infrastrukturës kritike, sistemeve dhe paisjeve kritike të strukturave të mbrojtjes kombëtare.</w:t>
      </w:r>
    </w:p>
    <w:p w14:paraId="5FEEFA04" w14:textId="77777777" w:rsidR="00893E99" w:rsidRPr="00795698" w:rsidRDefault="00893E99" w:rsidP="00893E99">
      <w:pPr>
        <w:pStyle w:val="Heading3"/>
        <w:spacing w:before="0"/>
        <w:ind w:firstLine="284"/>
        <w:jc w:val="both"/>
        <w:rPr>
          <w:rFonts w:ascii="Garamond" w:hAnsi="Garamond"/>
          <w:b w:val="0"/>
          <w:i/>
          <w:color w:val="auto"/>
        </w:rPr>
      </w:pPr>
      <w:bookmarkStart w:id="114" w:name="_Toc108644319"/>
      <w:r w:rsidRPr="00795698">
        <w:rPr>
          <w:rFonts w:ascii="Garamond" w:hAnsi="Garamond"/>
          <w:b w:val="0"/>
          <w:i/>
          <w:color w:val="auto"/>
        </w:rPr>
        <w:t>Objektivi specifik 13.2: Konsolidimi i kapaciteteve informative dhe profesionale-operacionale</w:t>
      </w:r>
      <w:bookmarkStart w:id="115" w:name="_bookmark13"/>
      <w:bookmarkEnd w:id="114"/>
      <w:bookmarkEnd w:id="115"/>
    </w:p>
    <w:p w14:paraId="5FEEFA05" w14:textId="77777777" w:rsidR="00893E99" w:rsidRPr="00795698" w:rsidRDefault="00893E99" w:rsidP="00893E99">
      <w:pPr>
        <w:ind w:firstLine="284"/>
        <w:jc w:val="both"/>
        <w:rPr>
          <w:rFonts w:ascii="Garamond" w:hAnsi="Garamond"/>
        </w:rPr>
      </w:pPr>
      <w:r w:rsidRPr="00795698">
        <w:rPr>
          <w:rFonts w:ascii="Garamond" w:hAnsi="Garamond"/>
          <w:b/>
          <w:bCs/>
        </w:rPr>
        <w:t>Masa 13.2.1:</w:t>
      </w:r>
      <w:r w:rsidRPr="00795698">
        <w:rPr>
          <w:rFonts w:ascii="Garamond" w:hAnsi="Garamond"/>
        </w:rPr>
        <w:t xml:space="preserve"> Bashkëpunimi dhe shkëmbimi i informacionit të klasifikuar me strukturat ligjzbatuesë të Republikës së Shqipërisë si dhe me ato të NATO-s.</w:t>
      </w:r>
    </w:p>
    <w:p w14:paraId="5FEEFA06" w14:textId="77777777" w:rsidR="00893E99" w:rsidRPr="00795698" w:rsidRDefault="00893E99" w:rsidP="00893E99">
      <w:pPr>
        <w:ind w:firstLine="284"/>
        <w:jc w:val="both"/>
        <w:rPr>
          <w:rFonts w:ascii="Garamond" w:hAnsi="Garamond"/>
        </w:rPr>
      </w:pPr>
      <w:r w:rsidRPr="00795698">
        <w:rPr>
          <w:rFonts w:ascii="Garamond" w:hAnsi="Garamond"/>
          <w:b/>
          <w:bCs/>
        </w:rPr>
        <w:t xml:space="preserve">Masa 13.2.2: </w:t>
      </w:r>
      <w:r w:rsidRPr="00795698">
        <w:rPr>
          <w:rFonts w:ascii="Garamond" w:hAnsi="Garamond"/>
        </w:rPr>
        <w:t>Realizimi i trajnimeve të vazhdueshme me partnerët për strukturat parandaluese, reaguese dhe pjesëmarrësve në misione paqeruajtëse të FA, në luftën kundër terrorizmit.</w:t>
      </w:r>
    </w:p>
    <w:p w14:paraId="5FEEFA07" w14:textId="77777777" w:rsidR="00FA0747" w:rsidRPr="00795698" w:rsidRDefault="00FA0747" w:rsidP="00FA0747">
      <w:pPr>
        <w:pStyle w:val="BodyText"/>
        <w:ind w:firstLine="284"/>
        <w:rPr>
          <w:rFonts w:ascii="Garamond" w:hAnsi="Garamond"/>
          <w:b/>
          <w:bCs/>
        </w:rPr>
      </w:pPr>
      <w:r w:rsidRPr="00795698">
        <w:rPr>
          <w:rFonts w:ascii="Garamond" w:hAnsi="Garamond"/>
          <w:b/>
          <w:bCs/>
        </w:rPr>
        <w:t xml:space="preserve">Indikatorë të matshëm: </w:t>
      </w:r>
    </w:p>
    <w:p w14:paraId="5FEEFA08" w14:textId="102EC897" w:rsidR="00893E99" w:rsidRPr="00795698" w:rsidRDefault="00FA0747" w:rsidP="00FA0747">
      <w:pPr>
        <w:pStyle w:val="BodyText"/>
        <w:ind w:firstLine="284"/>
        <w:rPr>
          <w:rFonts w:ascii="Garamond" w:hAnsi="Garamond"/>
          <w:b/>
          <w:bCs/>
        </w:rPr>
      </w:pPr>
      <w:r w:rsidRPr="00795698">
        <w:rPr>
          <w:rFonts w:ascii="Garamond" w:hAnsi="Garamond"/>
          <w:b/>
          <w:bCs/>
        </w:rPr>
        <w:lastRenderedPageBreak/>
        <w:t xml:space="preserve">- </w:t>
      </w:r>
      <w:r w:rsidR="00893E99" w:rsidRPr="00795698">
        <w:rPr>
          <w:rFonts w:ascii="Garamond" w:hAnsi="Garamond"/>
        </w:rPr>
        <w:t>Indeksi i konsolidimit të kapaciteteve informative dhe operacionale</w:t>
      </w:r>
      <w:r w:rsidR="007C064A" w:rsidRPr="00795698">
        <w:rPr>
          <w:rFonts w:ascii="Garamond" w:hAnsi="Garamond"/>
        </w:rPr>
        <w:t xml:space="preserve"> </w:t>
      </w:r>
      <w:r w:rsidR="00893E99" w:rsidRPr="00795698">
        <w:rPr>
          <w:rFonts w:ascii="Garamond" w:hAnsi="Garamond"/>
        </w:rPr>
        <w:t>të strukturave të mbrojtjes kombëtare</w:t>
      </w:r>
    </w:p>
    <w:p w14:paraId="5FEEFA0A" w14:textId="7A1719F4" w:rsidR="00893E99" w:rsidRPr="00795698" w:rsidRDefault="00893E99" w:rsidP="00893E99">
      <w:pPr>
        <w:pStyle w:val="Heading1"/>
        <w:spacing w:before="0"/>
        <w:ind w:firstLine="284"/>
        <w:rPr>
          <w:rFonts w:ascii="Garamond" w:hAnsi="Garamond"/>
          <w:b w:val="0"/>
          <w:color w:val="000000" w:themeColor="text1"/>
          <w:sz w:val="24"/>
          <w:szCs w:val="24"/>
        </w:rPr>
      </w:pPr>
      <w:bookmarkStart w:id="116" w:name="_Toc108644320"/>
      <w:r w:rsidRPr="00795698">
        <w:rPr>
          <w:rFonts w:ascii="Garamond" w:hAnsi="Garamond"/>
          <w:b w:val="0"/>
          <w:color w:val="000000" w:themeColor="text1"/>
          <w:sz w:val="24"/>
          <w:szCs w:val="24"/>
        </w:rPr>
        <w:t>PJESA III: MASAT PRIORITARE</w:t>
      </w:r>
      <w:bookmarkEnd w:id="116"/>
      <w:r w:rsidRPr="00795698">
        <w:rPr>
          <w:rFonts w:ascii="Garamond" w:hAnsi="Garamond"/>
          <w:b w:val="0"/>
          <w:color w:val="000000" w:themeColor="text1"/>
          <w:sz w:val="24"/>
          <w:szCs w:val="24"/>
        </w:rPr>
        <w:t xml:space="preserve"> </w:t>
      </w:r>
      <w:r w:rsidRPr="00795698">
        <w:rPr>
          <w:rFonts w:ascii="Garamond" w:hAnsi="Garamond"/>
          <w:b w:val="0"/>
          <w:color w:val="000000" w:themeColor="text1"/>
          <w:sz w:val="24"/>
          <w:szCs w:val="24"/>
        </w:rPr>
        <w:tab/>
      </w:r>
    </w:p>
    <w:p w14:paraId="5FEEFA0B" w14:textId="5577CBEB" w:rsidR="00893E99" w:rsidRPr="00795698" w:rsidRDefault="00893E99" w:rsidP="00893E99">
      <w:pPr>
        <w:ind w:firstLine="284"/>
        <w:jc w:val="both"/>
        <w:rPr>
          <w:rFonts w:ascii="Garamond" w:hAnsi="Garamond"/>
          <w:color w:val="000000" w:themeColor="text1"/>
        </w:rPr>
      </w:pPr>
      <w:r w:rsidRPr="00795698">
        <w:rPr>
          <w:rFonts w:ascii="Garamond" w:hAnsi="Garamond"/>
          <w:color w:val="000000" w:themeColor="text1"/>
          <w:shd w:val="clear" w:color="auto" w:fill="FFFFFF"/>
        </w:rPr>
        <w:t xml:space="preserve">Plani i veprimit </w:t>
      </w:r>
      <w:r w:rsidR="00264E1C" w:rsidRPr="00795698">
        <w:rPr>
          <w:rFonts w:ascii="Garamond" w:hAnsi="Garamond"/>
          <w:color w:val="000000" w:themeColor="text1"/>
          <w:shd w:val="clear" w:color="auto" w:fill="FFFFFF"/>
        </w:rPr>
        <w:t>për</w:t>
      </w:r>
      <w:r w:rsidRPr="00795698">
        <w:rPr>
          <w:rFonts w:ascii="Garamond" w:hAnsi="Garamond"/>
          <w:color w:val="000000" w:themeColor="text1"/>
          <w:shd w:val="clear" w:color="auto" w:fill="FFFFFF"/>
        </w:rPr>
        <w:t xml:space="preserve"> rastet e akteve terroriste</w:t>
      </w:r>
    </w:p>
    <w:p w14:paraId="5FEEFA0C" w14:textId="77777777" w:rsidR="00893E99" w:rsidRPr="00795698" w:rsidRDefault="00893E99" w:rsidP="00FA0747">
      <w:pPr>
        <w:pStyle w:val="Heading1"/>
        <w:spacing w:before="0"/>
        <w:ind w:firstLine="284"/>
        <w:jc w:val="both"/>
        <w:rPr>
          <w:rFonts w:ascii="Garamond" w:hAnsi="Garamond"/>
          <w:b w:val="0"/>
          <w:color w:val="000000" w:themeColor="text1"/>
          <w:sz w:val="24"/>
          <w:szCs w:val="24"/>
        </w:rPr>
      </w:pPr>
      <w:bookmarkStart w:id="117" w:name="_bookmark15"/>
      <w:bookmarkStart w:id="118" w:name="_Toc108644321"/>
      <w:bookmarkEnd w:id="117"/>
      <w:r w:rsidRPr="00795698">
        <w:rPr>
          <w:rFonts w:ascii="Garamond" w:hAnsi="Garamond"/>
          <w:b w:val="0"/>
          <w:color w:val="000000" w:themeColor="text1"/>
          <w:spacing w:val="14"/>
          <w:sz w:val="24"/>
          <w:szCs w:val="24"/>
        </w:rPr>
        <w:t>P</w:t>
      </w:r>
      <w:r w:rsidRPr="00795698">
        <w:rPr>
          <w:rFonts w:ascii="Garamond" w:hAnsi="Garamond"/>
          <w:b w:val="0"/>
          <w:color w:val="000000" w:themeColor="text1"/>
          <w:sz w:val="24"/>
          <w:szCs w:val="24"/>
        </w:rPr>
        <w:t>JE</w:t>
      </w:r>
      <w:r w:rsidRPr="00795698">
        <w:rPr>
          <w:rFonts w:ascii="Garamond" w:hAnsi="Garamond"/>
          <w:b w:val="0"/>
          <w:color w:val="000000" w:themeColor="text1"/>
          <w:spacing w:val="14"/>
          <w:sz w:val="24"/>
          <w:szCs w:val="24"/>
        </w:rPr>
        <w:t>S</w:t>
      </w:r>
      <w:r w:rsidRPr="00795698">
        <w:rPr>
          <w:rFonts w:ascii="Garamond" w:hAnsi="Garamond"/>
          <w:b w:val="0"/>
          <w:color w:val="000000" w:themeColor="text1"/>
          <w:sz w:val="24"/>
          <w:szCs w:val="24"/>
        </w:rPr>
        <w:t>A</w:t>
      </w:r>
      <w:r w:rsidRPr="00795698">
        <w:rPr>
          <w:rFonts w:ascii="Garamond" w:hAnsi="Garamond"/>
          <w:b w:val="0"/>
          <w:color w:val="000000" w:themeColor="text1"/>
          <w:spacing w:val="24"/>
          <w:sz w:val="24"/>
          <w:szCs w:val="24"/>
        </w:rPr>
        <w:t xml:space="preserve"> </w:t>
      </w:r>
      <w:r w:rsidRPr="00795698">
        <w:rPr>
          <w:rFonts w:ascii="Garamond" w:hAnsi="Garamond"/>
          <w:b w:val="0"/>
          <w:color w:val="000000" w:themeColor="text1"/>
          <w:spacing w:val="13"/>
          <w:sz w:val="24"/>
          <w:szCs w:val="24"/>
        </w:rPr>
        <w:t>IV</w:t>
      </w:r>
      <w:r w:rsidRPr="00795698">
        <w:rPr>
          <w:rFonts w:ascii="Garamond" w:hAnsi="Garamond"/>
          <w:b w:val="0"/>
          <w:color w:val="000000" w:themeColor="text1"/>
          <w:sz w:val="24"/>
          <w:szCs w:val="24"/>
        </w:rPr>
        <w:t xml:space="preserve">: </w:t>
      </w:r>
      <w:r w:rsidRPr="00795698">
        <w:rPr>
          <w:rFonts w:ascii="Garamond" w:hAnsi="Garamond"/>
          <w:b w:val="0"/>
          <w:color w:val="000000" w:themeColor="text1"/>
          <w:spacing w:val="14"/>
          <w:sz w:val="24"/>
          <w:szCs w:val="24"/>
        </w:rPr>
        <w:t>Z</w:t>
      </w:r>
      <w:r w:rsidRPr="00795698">
        <w:rPr>
          <w:rFonts w:ascii="Garamond" w:hAnsi="Garamond"/>
          <w:b w:val="0"/>
          <w:color w:val="000000" w:themeColor="text1"/>
          <w:sz w:val="24"/>
          <w:szCs w:val="24"/>
        </w:rPr>
        <w:t>BA</w:t>
      </w:r>
      <w:r w:rsidRPr="00795698">
        <w:rPr>
          <w:rFonts w:ascii="Garamond" w:hAnsi="Garamond"/>
          <w:b w:val="0"/>
          <w:color w:val="000000" w:themeColor="text1"/>
          <w:spacing w:val="13"/>
          <w:sz w:val="24"/>
          <w:szCs w:val="24"/>
        </w:rPr>
        <w:t>TI</w:t>
      </w:r>
      <w:r w:rsidRPr="00795698">
        <w:rPr>
          <w:rFonts w:ascii="Garamond" w:hAnsi="Garamond"/>
          <w:b w:val="0"/>
          <w:color w:val="000000" w:themeColor="text1"/>
          <w:spacing w:val="11"/>
          <w:sz w:val="24"/>
          <w:szCs w:val="24"/>
        </w:rPr>
        <w:t>M</w:t>
      </w:r>
      <w:r w:rsidRPr="00795698">
        <w:rPr>
          <w:rFonts w:ascii="Garamond" w:hAnsi="Garamond"/>
          <w:b w:val="0"/>
          <w:color w:val="000000" w:themeColor="text1"/>
          <w:spacing w:val="13"/>
          <w:sz w:val="24"/>
          <w:szCs w:val="24"/>
        </w:rPr>
        <w:t>I</w:t>
      </w:r>
      <w:r w:rsidRPr="00795698">
        <w:rPr>
          <w:rFonts w:ascii="Garamond" w:hAnsi="Garamond"/>
          <w:b w:val="0"/>
          <w:color w:val="000000" w:themeColor="text1"/>
          <w:sz w:val="24"/>
          <w:szCs w:val="24"/>
        </w:rPr>
        <w:t>,</w:t>
      </w:r>
      <w:r w:rsidRPr="00795698">
        <w:rPr>
          <w:rFonts w:ascii="Garamond" w:hAnsi="Garamond"/>
          <w:b w:val="0"/>
          <w:color w:val="000000" w:themeColor="text1"/>
          <w:spacing w:val="13"/>
          <w:sz w:val="24"/>
          <w:szCs w:val="24"/>
        </w:rPr>
        <w:t xml:space="preserve"> </w:t>
      </w:r>
      <w:r w:rsidRPr="00795698">
        <w:rPr>
          <w:rFonts w:ascii="Garamond" w:hAnsi="Garamond"/>
          <w:b w:val="0"/>
          <w:color w:val="000000" w:themeColor="text1"/>
          <w:spacing w:val="15"/>
          <w:sz w:val="24"/>
          <w:szCs w:val="24"/>
        </w:rPr>
        <w:t>P</w:t>
      </w:r>
      <w:r w:rsidRPr="00795698">
        <w:rPr>
          <w:rFonts w:ascii="Garamond" w:hAnsi="Garamond"/>
          <w:b w:val="0"/>
          <w:color w:val="000000" w:themeColor="text1"/>
          <w:spacing w:val="14"/>
          <w:sz w:val="24"/>
          <w:szCs w:val="24"/>
        </w:rPr>
        <w:t>Ë</w:t>
      </w:r>
      <w:r w:rsidRPr="00795698">
        <w:rPr>
          <w:rFonts w:ascii="Garamond" w:hAnsi="Garamond"/>
          <w:b w:val="0"/>
          <w:color w:val="000000" w:themeColor="text1"/>
          <w:spacing w:val="10"/>
          <w:sz w:val="24"/>
          <w:szCs w:val="24"/>
        </w:rPr>
        <w:t>R</w:t>
      </w:r>
      <w:r w:rsidRPr="00795698">
        <w:rPr>
          <w:rFonts w:ascii="Garamond" w:hAnsi="Garamond"/>
          <w:b w:val="0"/>
          <w:color w:val="000000" w:themeColor="text1"/>
          <w:sz w:val="24"/>
          <w:szCs w:val="24"/>
        </w:rPr>
        <w:t>G</w:t>
      </w:r>
      <w:r w:rsidRPr="00795698">
        <w:rPr>
          <w:rFonts w:ascii="Garamond" w:hAnsi="Garamond"/>
          <w:b w:val="0"/>
          <w:color w:val="000000" w:themeColor="text1"/>
          <w:spacing w:val="14"/>
          <w:sz w:val="24"/>
          <w:szCs w:val="24"/>
        </w:rPr>
        <w:t>J</w:t>
      </w:r>
      <w:r w:rsidRPr="00795698">
        <w:rPr>
          <w:rFonts w:ascii="Garamond" w:hAnsi="Garamond"/>
          <w:b w:val="0"/>
          <w:color w:val="000000" w:themeColor="text1"/>
          <w:sz w:val="24"/>
          <w:szCs w:val="24"/>
        </w:rPr>
        <w:t>EG</w:t>
      </w:r>
      <w:r w:rsidRPr="00795698">
        <w:rPr>
          <w:rFonts w:ascii="Garamond" w:hAnsi="Garamond"/>
          <w:b w:val="0"/>
          <w:color w:val="000000" w:themeColor="text1"/>
          <w:spacing w:val="14"/>
          <w:sz w:val="24"/>
          <w:szCs w:val="24"/>
        </w:rPr>
        <w:t>J</w:t>
      </w:r>
      <w:r w:rsidRPr="00795698">
        <w:rPr>
          <w:rFonts w:ascii="Garamond" w:hAnsi="Garamond"/>
          <w:b w:val="0"/>
          <w:color w:val="000000" w:themeColor="text1"/>
          <w:sz w:val="24"/>
          <w:szCs w:val="24"/>
        </w:rPr>
        <w:t>Ë</w:t>
      </w:r>
      <w:r w:rsidRPr="00795698">
        <w:rPr>
          <w:rFonts w:ascii="Garamond" w:hAnsi="Garamond"/>
          <w:b w:val="0"/>
          <w:color w:val="000000" w:themeColor="text1"/>
          <w:spacing w:val="14"/>
          <w:sz w:val="24"/>
          <w:szCs w:val="24"/>
        </w:rPr>
        <w:t>S</w:t>
      </w:r>
      <w:r w:rsidRPr="00795698">
        <w:rPr>
          <w:rFonts w:ascii="Garamond" w:hAnsi="Garamond"/>
          <w:b w:val="0"/>
          <w:color w:val="000000" w:themeColor="text1"/>
          <w:spacing w:val="13"/>
          <w:sz w:val="24"/>
          <w:szCs w:val="24"/>
        </w:rPr>
        <w:t>I</w:t>
      </w:r>
      <w:r w:rsidRPr="00795698">
        <w:rPr>
          <w:rFonts w:ascii="Garamond" w:hAnsi="Garamond"/>
          <w:b w:val="0"/>
          <w:color w:val="000000" w:themeColor="text1"/>
          <w:sz w:val="24"/>
          <w:szCs w:val="24"/>
        </w:rPr>
        <w:t>A</w:t>
      </w:r>
      <w:r w:rsidRPr="00795698">
        <w:rPr>
          <w:rFonts w:ascii="Garamond" w:hAnsi="Garamond"/>
          <w:b w:val="0"/>
          <w:color w:val="000000" w:themeColor="text1"/>
          <w:spacing w:val="10"/>
          <w:sz w:val="24"/>
          <w:szCs w:val="24"/>
        </w:rPr>
        <w:t xml:space="preserve"> </w:t>
      </w:r>
      <w:r w:rsidRPr="00795698">
        <w:rPr>
          <w:rFonts w:ascii="Garamond" w:hAnsi="Garamond"/>
          <w:b w:val="0"/>
          <w:color w:val="000000" w:themeColor="text1"/>
          <w:sz w:val="24"/>
          <w:szCs w:val="24"/>
        </w:rPr>
        <w:t>E</w:t>
      </w:r>
      <w:r w:rsidRPr="00795698">
        <w:rPr>
          <w:rFonts w:ascii="Garamond" w:hAnsi="Garamond"/>
          <w:b w:val="0"/>
          <w:color w:val="000000" w:themeColor="text1"/>
          <w:spacing w:val="11"/>
          <w:sz w:val="24"/>
          <w:szCs w:val="24"/>
        </w:rPr>
        <w:t xml:space="preserve"> </w:t>
      </w:r>
      <w:r w:rsidRPr="00795698">
        <w:rPr>
          <w:rFonts w:ascii="Garamond" w:hAnsi="Garamond"/>
          <w:b w:val="0"/>
          <w:color w:val="000000" w:themeColor="text1"/>
          <w:spacing w:val="13"/>
          <w:sz w:val="24"/>
          <w:szCs w:val="24"/>
        </w:rPr>
        <w:t>I</w:t>
      </w:r>
      <w:r w:rsidRPr="00795698">
        <w:rPr>
          <w:rFonts w:ascii="Garamond" w:hAnsi="Garamond"/>
          <w:b w:val="0"/>
          <w:color w:val="000000" w:themeColor="text1"/>
          <w:spacing w:val="11"/>
          <w:sz w:val="24"/>
          <w:szCs w:val="24"/>
        </w:rPr>
        <w:t>N</w:t>
      </w:r>
      <w:r w:rsidRPr="00795698">
        <w:rPr>
          <w:rFonts w:ascii="Garamond" w:hAnsi="Garamond"/>
          <w:b w:val="0"/>
          <w:color w:val="000000" w:themeColor="text1"/>
          <w:spacing w:val="14"/>
          <w:sz w:val="24"/>
          <w:szCs w:val="24"/>
        </w:rPr>
        <w:t>S</w:t>
      </w:r>
      <w:r w:rsidRPr="00795698">
        <w:rPr>
          <w:rFonts w:ascii="Garamond" w:hAnsi="Garamond"/>
          <w:b w:val="0"/>
          <w:color w:val="000000" w:themeColor="text1"/>
          <w:spacing w:val="11"/>
          <w:sz w:val="24"/>
          <w:szCs w:val="24"/>
        </w:rPr>
        <w:t>T</w:t>
      </w:r>
      <w:r w:rsidRPr="00795698">
        <w:rPr>
          <w:rFonts w:ascii="Garamond" w:hAnsi="Garamond"/>
          <w:b w:val="0"/>
          <w:color w:val="000000" w:themeColor="text1"/>
          <w:spacing w:val="15"/>
          <w:sz w:val="24"/>
          <w:szCs w:val="24"/>
        </w:rPr>
        <w:t>I</w:t>
      </w:r>
      <w:r w:rsidRPr="00795698">
        <w:rPr>
          <w:rFonts w:ascii="Garamond" w:hAnsi="Garamond"/>
          <w:b w:val="0"/>
          <w:color w:val="000000" w:themeColor="text1"/>
          <w:spacing w:val="13"/>
          <w:sz w:val="24"/>
          <w:szCs w:val="24"/>
        </w:rPr>
        <w:t>T</w:t>
      </w:r>
      <w:r w:rsidRPr="00795698">
        <w:rPr>
          <w:rFonts w:ascii="Garamond" w:hAnsi="Garamond"/>
          <w:b w:val="0"/>
          <w:color w:val="000000" w:themeColor="text1"/>
          <w:spacing w:val="10"/>
          <w:sz w:val="24"/>
          <w:szCs w:val="24"/>
        </w:rPr>
        <w:t>U</w:t>
      </w:r>
      <w:r w:rsidRPr="00795698">
        <w:rPr>
          <w:rFonts w:ascii="Garamond" w:hAnsi="Garamond"/>
          <w:b w:val="0"/>
          <w:color w:val="000000" w:themeColor="text1"/>
          <w:sz w:val="24"/>
          <w:szCs w:val="24"/>
        </w:rPr>
        <w:t>C</w:t>
      </w:r>
      <w:r w:rsidRPr="00795698">
        <w:rPr>
          <w:rFonts w:ascii="Garamond" w:hAnsi="Garamond"/>
          <w:b w:val="0"/>
          <w:color w:val="000000" w:themeColor="text1"/>
          <w:spacing w:val="15"/>
          <w:sz w:val="24"/>
          <w:szCs w:val="24"/>
        </w:rPr>
        <w:t>I</w:t>
      </w:r>
      <w:r w:rsidRPr="00795698">
        <w:rPr>
          <w:rFonts w:ascii="Garamond" w:hAnsi="Garamond"/>
          <w:b w:val="0"/>
          <w:color w:val="000000" w:themeColor="text1"/>
          <w:spacing w:val="10"/>
          <w:sz w:val="24"/>
          <w:szCs w:val="24"/>
        </w:rPr>
        <w:t>O</w:t>
      </w:r>
      <w:r w:rsidRPr="00795698">
        <w:rPr>
          <w:rFonts w:ascii="Garamond" w:hAnsi="Garamond"/>
          <w:b w:val="0"/>
          <w:color w:val="000000" w:themeColor="text1"/>
          <w:spacing w:val="11"/>
          <w:sz w:val="24"/>
          <w:szCs w:val="24"/>
        </w:rPr>
        <w:t>N</w:t>
      </w:r>
      <w:r w:rsidRPr="00795698">
        <w:rPr>
          <w:rFonts w:ascii="Garamond" w:hAnsi="Garamond"/>
          <w:b w:val="0"/>
          <w:color w:val="000000" w:themeColor="text1"/>
          <w:sz w:val="24"/>
          <w:szCs w:val="24"/>
        </w:rPr>
        <w:t>EVE,</w:t>
      </w:r>
      <w:r w:rsidR="00FA0747" w:rsidRPr="00795698">
        <w:rPr>
          <w:rFonts w:ascii="Garamond" w:hAnsi="Garamond"/>
          <w:b w:val="0"/>
          <w:color w:val="000000" w:themeColor="text1"/>
          <w:spacing w:val="15"/>
          <w:sz w:val="24"/>
          <w:szCs w:val="24"/>
        </w:rPr>
        <w:t xml:space="preserve"> </w:t>
      </w:r>
      <w:r w:rsidRPr="00795698">
        <w:rPr>
          <w:rFonts w:ascii="Garamond" w:hAnsi="Garamond"/>
          <w:b w:val="0"/>
          <w:color w:val="000000" w:themeColor="text1"/>
          <w:spacing w:val="13"/>
          <w:sz w:val="24"/>
          <w:szCs w:val="24"/>
        </w:rPr>
        <w:t>LL</w:t>
      </w:r>
      <w:r w:rsidRPr="00795698">
        <w:rPr>
          <w:rFonts w:ascii="Garamond" w:hAnsi="Garamond"/>
          <w:b w:val="0"/>
          <w:color w:val="000000" w:themeColor="text1"/>
          <w:spacing w:val="10"/>
          <w:sz w:val="24"/>
          <w:szCs w:val="24"/>
        </w:rPr>
        <w:t>O</w:t>
      </w:r>
      <w:r w:rsidRPr="00795698">
        <w:rPr>
          <w:rFonts w:ascii="Garamond" w:hAnsi="Garamond"/>
          <w:b w:val="0"/>
          <w:color w:val="000000" w:themeColor="text1"/>
          <w:sz w:val="24"/>
          <w:szCs w:val="24"/>
        </w:rPr>
        <w:t>G</w:t>
      </w:r>
      <w:r w:rsidRPr="00795698">
        <w:rPr>
          <w:rFonts w:ascii="Garamond" w:hAnsi="Garamond"/>
          <w:b w:val="0"/>
          <w:color w:val="000000" w:themeColor="text1"/>
          <w:spacing w:val="14"/>
          <w:sz w:val="24"/>
          <w:szCs w:val="24"/>
        </w:rPr>
        <w:t>A</w:t>
      </w:r>
      <w:r w:rsidRPr="00795698">
        <w:rPr>
          <w:rFonts w:ascii="Garamond" w:hAnsi="Garamond"/>
          <w:b w:val="0"/>
          <w:color w:val="000000" w:themeColor="text1"/>
          <w:spacing w:val="10"/>
          <w:sz w:val="24"/>
          <w:szCs w:val="24"/>
        </w:rPr>
        <w:t>R</w:t>
      </w:r>
      <w:r w:rsidRPr="00795698">
        <w:rPr>
          <w:rFonts w:ascii="Garamond" w:hAnsi="Garamond"/>
          <w:b w:val="0"/>
          <w:color w:val="000000" w:themeColor="text1"/>
          <w:spacing w:val="15"/>
          <w:sz w:val="24"/>
          <w:szCs w:val="24"/>
        </w:rPr>
        <w:t>I</w:t>
      </w:r>
      <w:r w:rsidRPr="00795698">
        <w:rPr>
          <w:rFonts w:ascii="Garamond" w:hAnsi="Garamond"/>
          <w:b w:val="0"/>
          <w:color w:val="000000" w:themeColor="text1"/>
          <w:spacing w:val="10"/>
          <w:sz w:val="24"/>
          <w:szCs w:val="24"/>
        </w:rPr>
        <w:t>D</w:t>
      </w:r>
      <w:r w:rsidRPr="00795698">
        <w:rPr>
          <w:rFonts w:ascii="Garamond" w:hAnsi="Garamond"/>
          <w:b w:val="0"/>
          <w:color w:val="000000" w:themeColor="text1"/>
          <w:spacing w:val="20"/>
          <w:sz w:val="24"/>
          <w:szCs w:val="24"/>
        </w:rPr>
        <w:t>H</w:t>
      </w:r>
      <w:r w:rsidRPr="00795698">
        <w:rPr>
          <w:rFonts w:ascii="Garamond" w:hAnsi="Garamond"/>
          <w:b w:val="0"/>
          <w:color w:val="000000" w:themeColor="text1"/>
          <w:sz w:val="24"/>
          <w:szCs w:val="24"/>
        </w:rPr>
        <w:t>Ë</w:t>
      </w:r>
      <w:r w:rsidRPr="00795698">
        <w:rPr>
          <w:rFonts w:ascii="Garamond" w:hAnsi="Garamond"/>
          <w:b w:val="0"/>
          <w:color w:val="000000" w:themeColor="text1"/>
          <w:spacing w:val="14"/>
          <w:sz w:val="24"/>
          <w:szCs w:val="24"/>
        </w:rPr>
        <w:t>N</w:t>
      </w:r>
      <w:r w:rsidRPr="00795698">
        <w:rPr>
          <w:rFonts w:ascii="Garamond" w:hAnsi="Garamond"/>
          <w:b w:val="0"/>
          <w:color w:val="000000" w:themeColor="text1"/>
          <w:spacing w:val="13"/>
          <w:sz w:val="24"/>
          <w:szCs w:val="24"/>
        </w:rPr>
        <w:t>IA</w:t>
      </w:r>
      <w:r w:rsidRPr="00795698">
        <w:rPr>
          <w:rFonts w:ascii="Garamond" w:hAnsi="Garamond"/>
          <w:b w:val="0"/>
          <w:color w:val="000000" w:themeColor="text1"/>
          <w:sz w:val="24"/>
          <w:szCs w:val="24"/>
        </w:rPr>
        <w:t>,</w:t>
      </w:r>
      <w:r w:rsidRPr="00795698">
        <w:rPr>
          <w:rFonts w:ascii="Garamond" w:hAnsi="Garamond"/>
          <w:b w:val="0"/>
          <w:color w:val="000000" w:themeColor="text1"/>
          <w:w w:val="99"/>
          <w:sz w:val="24"/>
          <w:szCs w:val="24"/>
        </w:rPr>
        <w:t xml:space="preserve"> </w:t>
      </w:r>
      <w:r w:rsidRPr="00795698">
        <w:rPr>
          <w:rFonts w:ascii="Garamond" w:hAnsi="Garamond"/>
          <w:b w:val="0"/>
          <w:color w:val="000000" w:themeColor="text1"/>
          <w:sz w:val="24"/>
          <w:szCs w:val="24"/>
        </w:rPr>
        <w:t>RA</w:t>
      </w:r>
      <w:r w:rsidRPr="00795698">
        <w:rPr>
          <w:rFonts w:ascii="Garamond" w:hAnsi="Garamond"/>
          <w:b w:val="0"/>
          <w:color w:val="000000" w:themeColor="text1"/>
          <w:spacing w:val="14"/>
          <w:sz w:val="24"/>
          <w:szCs w:val="24"/>
        </w:rPr>
        <w:t>P</w:t>
      </w:r>
      <w:r w:rsidRPr="00795698">
        <w:rPr>
          <w:rFonts w:ascii="Garamond" w:hAnsi="Garamond"/>
          <w:b w:val="0"/>
          <w:color w:val="000000" w:themeColor="text1"/>
          <w:sz w:val="24"/>
          <w:szCs w:val="24"/>
        </w:rPr>
        <w:t>OR</w:t>
      </w:r>
      <w:r w:rsidRPr="00795698">
        <w:rPr>
          <w:rFonts w:ascii="Garamond" w:hAnsi="Garamond"/>
          <w:b w:val="0"/>
          <w:color w:val="000000" w:themeColor="text1"/>
          <w:spacing w:val="11"/>
          <w:sz w:val="24"/>
          <w:szCs w:val="24"/>
        </w:rPr>
        <w:t>T</w:t>
      </w:r>
      <w:r w:rsidRPr="00795698">
        <w:rPr>
          <w:rFonts w:ascii="Garamond" w:hAnsi="Garamond"/>
          <w:b w:val="0"/>
          <w:color w:val="000000" w:themeColor="text1"/>
          <w:spacing w:val="13"/>
          <w:sz w:val="24"/>
          <w:szCs w:val="24"/>
        </w:rPr>
        <w:t>I</w:t>
      </w:r>
      <w:r w:rsidRPr="00795698">
        <w:rPr>
          <w:rFonts w:ascii="Garamond" w:hAnsi="Garamond"/>
          <w:b w:val="0"/>
          <w:color w:val="000000" w:themeColor="text1"/>
          <w:spacing w:val="11"/>
          <w:sz w:val="24"/>
          <w:szCs w:val="24"/>
        </w:rPr>
        <w:t>M</w:t>
      </w:r>
      <w:r w:rsidRPr="00795698">
        <w:rPr>
          <w:rFonts w:ascii="Garamond" w:hAnsi="Garamond"/>
          <w:b w:val="0"/>
          <w:color w:val="000000" w:themeColor="text1"/>
          <w:sz w:val="24"/>
          <w:szCs w:val="24"/>
        </w:rPr>
        <w:t>I</w:t>
      </w:r>
      <w:r w:rsidRPr="00795698">
        <w:rPr>
          <w:rFonts w:ascii="Garamond" w:hAnsi="Garamond"/>
          <w:b w:val="0"/>
          <w:color w:val="000000" w:themeColor="text1"/>
          <w:spacing w:val="13"/>
          <w:sz w:val="24"/>
          <w:szCs w:val="24"/>
        </w:rPr>
        <w:t xml:space="preserve"> </w:t>
      </w:r>
      <w:r w:rsidRPr="00795698">
        <w:rPr>
          <w:rFonts w:ascii="Garamond" w:hAnsi="Garamond"/>
          <w:b w:val="0"/>
          <w:color w:val="000000" w:themeColor="text1"/>
          <w:spacing w:val="10"/>
          <w:sz w:val="24"/>
          <w:szCs w:val="24"/>
        </w:rPr>
        <w:t>D</w:t>
      </w:r>
      <w:r w:rsidRPr="00795698">
        <w:rPr>
          <w:rFonts w:ascii="Garamond" w:hAnsi="Garamond"/>
          <w:b w:val="0"/>
          <w:color w:val="000000" w:themeColor="text1"/>
          <w:sz w:val="24"/>
          <w:szCs w:val="24"/>
        </w:rPr>
        <w:t>HE</w:t>
      </w:r>
      <w:r w:rsidRPr="00795698">
        <w:rPr>
          <w:rFonts w:ascii="Garamond" w:hAnsi="Garamond"/>
          <w:b w:val="0"/>
          <w:color w:val="000000" w:themeColor="text1"/>
          <w:spacing w:val="15"/>
          <w:sz w:val="24"/>
          <w:szCs w:val="24"/>
        </w:rPr>
        <w:t xml:space="preserve"> </w:t>
      </w:r>
      <w:r w:rsidRPr="00795698">
        <w:rPr>
          <w:rFonts w:ascii="Garamond" w:hAnsi="Garamond"/>
          <w:b w:val="0"/>
          <w:color w:val="000000" w:themeColor="text1"/>
          <w:spacing w:val="13"/>
          <w:sz w:val="24"/>
          <w:szCs w:val="24"/>
        </w:rPr>
        <w:t>M</w:t>
      </w:r>
      <w:r w:rsidRPr="00795698">
        <w:rPr>
          <w:rFonts w:ascii="Garamond" w:hAnsi="Garamond"/>
          <w:b w:val="0"/>
          <w:color w:val="000000" w:themeColor="text1"/>
          <w:spacing w:val="10"/>
          <w:sz w:val="24"/>
          <w:szCs w:val="24"/>
        </w:rPr>
        <w:t>O</w:t>
      </w:r>
      <w:r w:rsidRPr="00795698">
        <w:rPr>
          <w:rFonts w:ascii="Garamond" w:hAnsi="Garamond"/>
          <w:b w:val="0"/>
          <w:color w:val="000000" w:themeColor="text1"/>
          <w:spacing w:val="11"/>
          <w:sz w:val="24"/>
          <w:szCs w:val="24"/>
        </w:rPr>
        <w:t>N</w:t>
      </w:r>
      <w:r w:rsidRPr="00795698">
        <w:rPr>
          <w:rFonts w:ascii="Garamond" w:hAnsi="Garamond"/>
          <w:b w:val="0"/>
          <w:color w:val="000000" w:themeColor="text1"/>
          <w:spacing w:val="15"/>
          <w:sz w:val="24"/>
          <w:szCs w:val="24"/>
        </w:rPr>
        <w:t>I</w:t>
      </w:r>
      <w:r w:rsidRPr="00795698">
        <w:rPr>
          <w:rFonts w:ascii="Garamond" w:hAnsi="Garamond"/>
          <w:b w:val="0"/>
          <w:color w:val="000000" w:themeColor="text1"/>
          <w:spacing w:val="13"/>
          <w:sz w:val="24"/>
          <w:szCs w:val="24"/>
        </w:rPr>
        <w:t>T</w:t>
      </w:r>
      <w:r w:rsidRPr="00795698">
        <w:rPr>
          <w:rFonts w:ascii="Garamond" w:hAnsi="Garamond"/>
          <w:b w:val="0"/>
          <w:color w:val="000000" w:themeColor="text1"/>
          <w:sz w:val="24"/>
          <w:szCs w:val="24"/>
        </w:rPr>
        <w:t>O</w:t>
      </w:r>
      <w:r w:rsidRPr="00795698">
        <w:rPr>
          <w:rFonts w:ascii="Garamond" w:hAnsi="Garamond"/>
          <w:b w:val="0"/>
          <w:color w:val="000000" w:themeColor="text1"/>
          <w:spacing w:val="10"/>
          <w:sz w:val="24"/>
          <w:szCs w:val="24"/>
        </w:rPr>
        <w:t>R</w:t>
      </w:r>
      <w:r w:rsidRPr="00795698">
        <w:rPr>
          <w:rFonts w:ascii="Garamond" w:hAnsi="Garamond"/>
          <w:b w:val="0"/>
          <w:color w:val="000000" w:themeColor="text1"/>
          <w:spacing w:val="13"/>
          <w:sz w:val="24"/>
          <w:szCs w:val="24"/>
        </w:rPr>
        <w:t>I</w:t>
      </w:r>
      <w:r w:rsidRPr="00795698">
        <w:rPr>
          <w:rFonts w:ascii="Garamond" w:hAnsi="Garamond"/>
          <w:b w:val="0"/>
          <w:color w:val="000000" w:themeColor="text1"/>
          <w:spacing w:val="11"/>
          <w:sz w:val="24"/>
          <w:szCs w:val="24"/>
        </w:rPr>
        <w:t>M</w:t>
      </w:r>
      <w:r w:rsidRPr="00795698">
        <w:rPr>
          <w:rFonts w:ascii="Garamond" w:hAnsi="Garamond"/>
          <w:b w:val="0"/>
          <w:color w:val="000000" w:themeColor="text1"/>
          <w:sz w:val="24"/>
          <w:szCs w:val="24"/>
        </w:rPr>
        <w:t>I</w:t>
      </w:r>
      <w:bookmarkEnd w:id="118"/>
    </w:p>
    <w:p w14:paraId="5FEEFA0D" w14:textId="77777777" w:rsidR="00893E99" w:rsidRPr="00795698" w:rsidRDefault="00893E99" w:rsidP="00893E99">
      <w:pPr>
        <w:pStyle w:val="Heading2"/>
        <w:spacing w:before="0"/>
        <w:ind w:firstLine="284"/>
        <w:rPr>
          <w:rFonts w:ascii="Garamond" w:hAnsi="Garamond"/>
          <w:color w:val="000000" w:themeColor="text1"/>
          <w:sz w:val="24"/>
          <w:szCs w:val="24"/>
        </w:rPr>
      </w:pPr>
      <w:bookmarkStart w:id="119" w:name="_Toc108644322"/>
      <w:r w:rsidRPr="00795698">
        <w:rPr>
          <w:rFonts w:ascii="Garamond" w:hAnsi="Garamond"/>
          <w:color w:val="000000" w:themeColor="text1"/>
          <w:sz w:val="24"/>
          <w:szCs w:val="24"/>
        </w:rPr>
        <w:t xml:space="preserve">4.1 </w:t>
      </w:r>
      <w:r w:rsidRPr="00795698">
        <w:rPr>
          <w:rStyle w:val="Heading2Char"/>
          <w:rFonts w:ascii="Garamond" w:hAnsi="Garamond"/>
          <w:b/>
          <w:color w:val="000000" w:themeColor="text1"/>
          <w:sz w:val="24"/>
          <w:szCs w:val="24"/>
        </w:rPr>
        <w:t>Implementimi/zbatimi i strategjisë</w:t>
      </w:r>
      <w:bookmarkEnd w:id="119"/>
      <w:r w:rsidRPr="00795698">
        <w:rPr>
          <w:rFonts w:ascii="Garamond" w:hAnsi="Garamond"/>
          <w:color w:val="000000" w:themeColor="text1"/>
          <w:sz w:val="24"/>
          <w:szCs w:val="24"/>
        </w:rPr>
        <w:t xml:space="preserve"> </w:t>
      </w:r>
    </w:p>
    <w:p w14:paraId="5FEEFA0E" w14:textId="2B6E1EB1" w:rsidR="00893E99" w:rsidRPr="00795698" w:rsidRDefault="00893E99" w:rsidP="00893E99">
      <w:pPr>
        <w:pStyle w:val="CommentText"/>
        <w:ind w:firstLine="284"/>
        <w:jc w:val="both"/>
        <w:rPr>
          <w:rFonts w:ascii="Garamond" w:hAnsi="Garamond"/>
          <w:sz w:val="24"/>
          <w:szCs w:val="24"/>
        </w:rPr>
      </w:pPr>
      <w:r w:rsidRPr="00795698">
        <w:rPr>
          <w:rFonts w:ascii="Garamond" w:hAnsi="Garamond"/>
          <w:sz w:val="24"/>
          <w:szCs w:val="24"/>
        </w:rPr>
        <w:t>Për të implementuar me efektivitet</w:t>
      </w:r>
      <w:r w:rsidR="007C064A" w:rsidRPr="00795698">
        <w:rPr>
          <w:rFonts w:ascii="Garamond" w:hAnsi="Garamond"/>
          <w:sz w:val="24"/>
          <w:szCs w:val="24"/>
        </w:rPr>
        <w:t xml:space="preserve"> </w:t>
      </w:r>
      <w:r w:rsidRPr="00795698">
        <w:rPr>
          <w:rFonts w:ascii="Garamond" w:hAnsi="Garamond"/>
          <w:sz w:val="24"/>
          <w:szCs w:val="24"/>
        </w:rPr>
        <w:t>Strategjinë do të synohet përmbushja e objektivave strategjikë, atyre specifikë dhe indikatorëve/aktiviteteve nëpërmjet zbatimit të Planit të Veprimit.</w:t>
      </w:r>
    </w:p>
    <w:p w14:paraId="5FEEFA0F" w14:textId="14F44A84" w:rsidR="00893E99" w:rsidRPr="00795698" w:rsidRDefault="00893E99" w:rsidP="00893E99">
      <w:pPr>
        <w:pStyle w:val="Heading2"/>
        <w:spacing w:before="0"/>
        <w:ind w:firstLine="284"/>
        <w:rPr>
          <w:rFonts w:ascii="Garamond" w:hAnsi="Garamond"/>
          <w:color w:val="000000" w:themeColor="text1"/>
          <w:sz w:val="24"/>
          <w:szCs w:val="24"/>
        </w:rPr>
      </w:pPr>
      <w:bookmarkStart w:id="120" w:name="_Toc108644323"/>
      <w:r w:rsidRPr="00795698">
        <w:rPr>
          <w:rFonts w:ascii="Garamond" w:hAnsi="Garamond"/>
          <w:color w:val="000000" w:themeColor="text1"/>
          <w:sz w:val="24"/>
          <w:szCs w:val="24"/>
        </w:rPr>
        <w:t>4.2</w:t>
      </w:r>
      <w:r w:rsidR="007C064A" w:rsidRPr="00795698">
        <w:rPr>
          <w:rFonts w:ascii="Garamond" w:hAnsi="Garamond"/>
          <w:color w:val="000000" w:themeColor="text1"/>
          <w:sz w:val="24"/>
          <w:szCs w:val="24"/>
        </w:rPr>
        <w:t xml:space="preserve"> </w:t>
      </w:r>
      <w:r w:rsidRPr="00795698">
        <w:rPr>
          <w:rFonts w:ascii="Garamond" w:hAnsi="Garamond"/>
          <w:color w:val="000000" w:themeColor="text1"/>
          <w:sz w:val="24"/>
          <w:szCs w:val="24"/>
        </w:rPr>
        <w:t>Përgjegjësia dhe angazhimet institucionale</w:t>
      </w:r>
      <w:bookmarkEnd w:id="120"/>
    </w:p>
    <w:p w14:paraId="5FEEFA10" w14:textId="77777777" w:rsidR="00893E99" w:rsidRPr="00795698" w:rsidRDefault="00893E99" w:rsidP="00893E99">
      <w:pPr>
        <w:pStyle w:val="NoSpacing"/>
        <w:shd w:val="clear" w:color="auto" w:fill="FFFFFF"/>
        <w:ind w:firstLine="284"/>
        <w:jc w:val="both"/>
        <w:rPr>
          <w:rFonts w:ascii="Garamond" w:hAnsi="Garamond"/>
          <w:b/>
          <w:lang w:val="sq-AL"/>
        </w:rPr>
      </w:pPr>
      <w:r w:rsidRPr="00795698">
        <w:rPr>
          <w:rFonts w:ascii="Garamond" w:hAnsi="Garamond"/>
          <w:b/>
          <w:lang w:val="sq-AL"/>
        </w:rPr>
        <w:t xml:space="preserve">Ministria përgjegjëse për rendin dhe sigurinë publike: </w:t>
      </w:r>
    </w:p>
    <w:p w14:paraId="5FEEFA11" w14:textId="03E0A9AD" w:rsidR="00893E99" w:rsidRPr="00795698" w:rsidRDefault="00795698" w:rsidP="00FA0747">
      <w:pPr>
        <w:pStyle w:val="NoSpacing"/>
        <w:shd w:val="clear" w:color="auto" w:fill="FFFFFF"/>
        <w:ind w:firstLine="284"/>
        <w:jc w:val="both"/>
        <w:rPr>
          <w:rFonts w:ascii="Garamond" w:hAnsi="Garamond"/>
          <w:lang w:val="sq-AL"/>
        </w:rPr>
      </w:pPr>
      <w:r w:rsidRPr="00795698">
        <w:rPr>
          <w:lang w:val="sq-AL"/>
        </w:rPr>
        <w:t xml:space="preserve">- </w:t>
      </w:r>
      <w:r w:rsidR="00893E99" w:rsidRPr="00795698">
        <w:rPr>
          <w:rFonts w:ascii="Garamond" w:hAnsi="Garamond"/>
          <w:lang w:val="sq-AL"/>
        </w:rPr>
        <w:t>Të marrë përgjegjësinë e hartimit të nismave për koordinim, si dhe bashkëveprim midis institucioneve të ndryshme të përmendura në këtë strategji lidhur me strategjinë ndërsektoriale të parandalimit të ekstremizmit dhe luftës kundër terrorizmit.</w:t>
      </w:r>
    </w:p>
    <w:p w14:paraId="5FEEFA12" w14:textId="26C8D1BB" w:rsidR="00893E99" w:rsidRPr="00795698" w:rsidRDefault="00FA0747" w:rsidP="00FA0747">
      <w:pPr>
        <w:pStyle w:val="TEKSTIIIII"/>
        <w:rPr>
          <w:lang w:val="sq-AL"/>
        </w:rPr>
      </w:pPr>
      <w:r w:rsidRPr="00795698">
        <w:rPr>
          <w:lang w:val="sq-AL"/>
        </w:rPr>
        <w:t xml:space="preserve">- </w:t>
      </w:r>
      <w:r w:rsidR="00893E99" w:rsidRPr="00795698">
        <w:rPr>
          <w:lang w:val="sq-AL"/>
        </w:rPr>
        <w:t>Të grumbullojë planet e veprimit apo programet e punës të të gjithë institucioneve të tjera dhe t</w:t>
      </w:r>
      <w:r w:rsidR="0041767D" w:rsidRPr="00795698">
        <w:rPr>
          <w:lang w:val="sq-AL"/>
        </w:rPr>
        <w:t>’</w:t>
      </w:r>
      <w:r w:rsidR="00893E99" w:rsidRPr="00795698">
        <w:rPr>
          <w:lang w:val="sq-AL"/>
        </w:rPr>
        <w:t>i bëjë pjesë të kësaj strategjie. Për këtë, të administrohet një dosje të veçantë sipas standardeve, e c</w:t>
      </w:r>
      <w:r w:rsidRPr="00795698">
        <w:rPr>
          <w:lang w:val="sq-AL"/>
        </w:rPr>
        <w:t xml:space="preserve">ila të mbahet nga Drejtoria e </w:t>
      </w:r>
      <w:r w:rsidR="00893E99" w:rsidRPr="00795698">
        <w:rPr>
          <w:lang w:val="sq-AL"/>
        </w:rPr>
        <w:t>Antiterrorit.</w:t>
      </w:r>
    </w:p>
    <w:p w14:paraId="5FEEFA13" w14:textId="24B8A59D" w:rsidR="00893E99" w:rsidRPr="00795698" w:rsidRDefault="00FA0747" w:rsidP="00FA0747">
      <w:pPr>
        <w:pStyle w:val="TEKSTIIIII"/>
        <w:rPr>
          <w:lang w:val="sq-AL"/>
        </w:rPr>
      </w:pPr>
      <w:r w:rsidRPr="00795698">
        <w:rPr>
          <w:lang w:val="sq-AL"/>
        </w:rPr>
        <w:t xml:space="preserve">- </w:t>
      </w:r>
      <w:r w:rsidR="00893E99" w:rsidRPr="00795698">
        <w:rPr>
          <w:lang w:val="sq-AL"/>
        </w:rPr>
        <w:t xml:space="preserve">Të ndjekë dhe marrë iniciativën për ripunimin e </w:t>
      </w:r>
      <w:r w:rsidR="001E6107" w:rsidRPr="00795698">
        <w:rPr>
          <w:lang w:val="sq-AL"/>
        </w:rPr>
        <w:t>përshtatjen</w:t>
      </w:r>
      <w:r w:rsidR="00893E99" w:rsidRPr="00795698">
        <w:rPr>
          <w:lang w:val="sq-AL"/>
        </w:rPr>
        <w:t xml:space="preserve"> e strategjive të tjera sektoriale me politikat dhe objektivat e parashikuara në këtë strategji.</w:t>
      </w:r>
    </w:p>
    <w:p w14:paraId="5FEEFA14" w14:textId="77777777" w:rsidR="00893E99" w:rsidRPr="00795698" w:rsidRDefault="00FA0747" w:rsidP="00FA0747">
      <w:pPr>
        <w:pStyle w:val="TEKSTIIIII"/>
        <w:rPr>
          <w:color w:val="auto"/>
          <w:lang w:val="sq-AL"/>
        </w:rPr>
      </w:pPr>
      <w:r w:rsidRPr="00795698">
        <w:rPr>
          <w:color w:val="auto"/>
          <w:lang w:val="sq-AL"/>
        </w:rPr>
        <w:t xml:space="preserve">- </w:t>
      </w:r>
      <w:r w:rsidR="00893E99" w:rsidRPr="00795698">
        <w:rPr>
          <w:color w:val="auto"/>
          <w:lang w:val="sq-AL"/>
        </w:rPr>
        <w:t xml:space="preserve">Të mundësojë ngritjen e kapaciteteve me burime njerëzore e logjistike të mirë trajnuara për parandalimin e ekstremizmit dhe luftës kundër terrorizmit me qëllim parandalimin dhe goditjen e këtyre dukurive në Shqipëri. </w:t>
      </w:r>
    </w:p>
    <w:p w14:paraId="5FEEFA15" w14:textId="114C6527" w:rsidR="00893E99" w:rsidRPr="00795698" w:rsidRDefault="00893E99" w:rsidP="00893E99">
      <w:pPr>
        <w:pStyle w:val="Default"/>
        <w:shd w:val="clear" w:color="auto" w:fill="FFFFFF"/>
        <w:ind w:firstLine="284"/>
        <w:jc w:val="both"/>
        <w:rPr>
          <w:rFonts w:ascii="Garamond" w:hAnsi="Garamond"/>
          <w:color w:val="auto"/>
          <w:lang w:val="sq-AL"/>
        </w:rPr>
      </w:pPr>
      <w:r w:rsidRPr="00795698">
        <w:rPr>
          <w:rFonts w:ascii="Garamond" w:hAnsi="Garamond"/>
          <w:b/>
          <w:bCs/>
          <w:color w:val="auto"/>
          <w:lang w:val="sq-AL"/>
        </w:rPr>
        <w:t>Policia e Shtetit</w:t>
      </w:r>
      <w:r w:rsidRPr="00795698">
        <w:rPr>
          <w:rFonts w:ascii="Garamond" w:hAnsi="Garamond"/>
          <w:color w:val="auto"/>
          <w:lang w:val="sq-AL"/>
        </w:rPr>
        <w:t xml:space="preserve"> </w:t>
      </w:r>
      <w:r w:rsidR="00DB4D9C" w:rsidRPr="00795698">
        <w:rPr>
          <w:rFonts w:ascii="Garamond" w:hAnsi="Garamond"/>
          <w:color w:val="auto"/>
          <w:lang w:val="sq-AL"/>
        </w:rPr>
        <w:t>–</w:t>
      </w:r>
      <w:r w:rsidRPr="00795698">
        <w:rPr>
          <w:rFonts w:ascii="Garamond" w:hAnsi="Garamond"/>
          <w:color w:val="auto"/>
          <w:lang w:val="sq-AL"/>
        </w:rPr>
        <w:t xml:space="preserve"> </w:t>
      </w:r>
      <w:r w:rsidR="00DB4D9C" w:rsidRPr="00795698">
        <w:rPr>
          <w:rFonts w:ascii="Garamond" w:hAnsi="Garamond"/>
          <w:color w:val="auto"/>
          <w:lang w:val="sq-AL"/>
        </w:rPr>
        <w:t xml:space="preserve">është </w:t>
      </w:r>
      <w:r w:rsidRPr="00795698">
        <w:rPr>
          <w:rFonts w:ascii="Garamond" w:hAnsi="Garamond"/>
          <w:color w:val="auto"/>
          <w:lang w:val="sq-AL"/>
        </w:rPr>
        <w:t xml:space="preserve">mekanizëm institucional në kuadër të ministrisë përgjegjëse për rendin dhe sigurinë publike e cila parandalon, zbulon dhe heton, në përputhje me legjislacionin penal dhe procedural penal, veprat penale dhe autorët e dyshuar të kryerjes së tyre. </w:t>
      </w:r>
    </w:p>
    <w:p w14:paraId="5FEEFA16" w14:textId="7673F37C" w:rsidR="00893E99" w:rsidRPr="00795698" w:rsidRDefault="00893E99" w:rsidP="00893E99">
      <w:pPr>
        <w:pStyle w:val="NoSpacing"/>
        <w:shd w:val="clear" w:color="auto" w:fill="FFFFFF"/>
        <w:ind w:firstLine="284"/>
        <w:jc w:val="both"/>
        <w:rPr>
          <w:rFonts w:ascii="Garamond" w:eastAsia="Calibri" w:hAnsi="Garamond"/>
          <w:lang w:val="sq-AL"/>
        </w:rPr>
      </w:pPr>
      <w:r w:rsidRPr="00795698">
        <w:rPr>
          <w:rFonts w:ascii="Garamond" w:hAnsi="Garamond"/>
          <w:b/>
          <w:i/>
          <w:lang w:val="sq-AL"/>
        </w:rPr>
        <w:t xml:space="preserve">Drejtoria e Antiterrorit </w:t>
      </w:r>
      <w:r w:rsidR="00DB4D9C" w:rsidRPr="00795698">
        <w:rPr>
          <w:rFonts w:ascii="Garamond" w:eastAsia="Calibri" w:hAnsi="Garamond"/>
          <w:lang w:val="sq-AL"/>
        </w:rPr>
        <w:t xml:space="preserve">– </w:t>
      </w:r>
      <w:r w:rsidR="00DB4D9C" w:rsidRPr="00795698">
        <w:rPr>
          <w:rFonts w:ascii="Garamond" w:hAnsi="Garamond"/>
          <w:lang w:val="sq-AL"/>
        </w:rPr>
        <w:t>t</w:t>
      </w:r>
      <w:r w:rsidRPr="00795698">
        <w:rPr>
          <w:rFonts w:ascii="Garamond" w:hAnsi="Garamond"/>
          <w:lang w:val="sq-AL"/>
        </w:rPr>
        <w:t>ë</w:t>
      </w:r>
      <w:r w:rsidR="00DB4D9C" w:rsidRPr="00795698">
        <w:rPr>
          <w:rFonts w:ascii="Garamond" w:hAnsi="Garamond"/>
          <w:lang w:val="sq-AL"/>
        </w:rPr>
        <w:t xml:space="preserve"> </w:t>
      </w:r>
      <w:r w:rsidRPr="00795698">
        <w:rPr>
          <w:rFonts w:ascii="Garamond" w:hAnsi="Garamond"/>
          <w:lang w:val="sq-AL"/>
        </w:rPr>
        <w:t>hartojë detyra që ndihmojnë në sigurimin e informacioneve</w:t>
      </w:r>
      <w:r w:rsidR="007C064A" w:rsidRPr="00795698">
        <w:rPr>
          <w:rFonts w:ascii="Garamond" w:hAnsi="Garamond"/>
          <w:lang w:val="sq-AL"/>
        </w:rPr>
        <w:t xml:space="preserve"> </w:t>
      </w:r>
      <w:r w:rsidRPr="00795698">
        <w:rPr>
          <w:rFonts w:ascii="Garamond" w:hAnsi="Garamond"/>
          <w:lang w:val="sq-AL"/>
        </w:rPr>
        <w:t>dhe</w:t>
      </w:r>
      <w:r w:rsidR="007C064A" w:rsidRPr="00795698">
        <w:rPr>
          <w:rFonts w:ascii="Garamond" w:hAnsi="Garamond"/>
          <w:lang w:val="sq-AL"/>
        </w:rPr>
        <w:t xml:space="preserve"> </w:t>
      </w:r>
      <w:r w:rsidRPr="00795698">
        <w:rPr>
          <w:rFonts w:ascii="Garamond" w:hAnsi="Garamond"/>
          <w:lang w:val="sq-AL"/>
        </w:rPr>
        <w:t xml:space="preserve">masave policore dhe </w:t>
      </w:r>
      <w:r w:rsidR="000E7837" w:rsidRPr="00795698">
        <w:rPr>
          <w:rFonts w:ascii="Garamond" w:hAnsi="Garamond"/>
          <w:lang w:val="sq-AL"/>
        </w:rPr>
        <w:t>procedural</w:t>
      </w:r>
      <w:r w:rsidRPr="00795698">
        <w:rPr>
          <w:rFonts w:ascii="Garamond" w:hAnsi="Garamond"/>
          <w:lang w:val="sq-AL"/>
        </w:rPr>
        <w:t>e për</w:t>
      </w:r>
      <w:r w:rsidR="007C064A" w:rsidRPr="00795698">
        <w:rPr>
          <w:rFonts w:ascii="Garamond" w:hAnsi="Garamond"/>
          <w:lang w:val="sq-AL"/>
        </w:rPr>
        <w:t xml:space="preserve"> </w:t>
      </w:r>
      <w:r w:rsidRPr="00795698">
        <w:rPr>
          <w:rFonts w:ascii="Garamond" w:hAnsi="Garamond"/>
          <w:lang w:val="sq-AL"/>
        </w:rPr>
        <w:t>parandalimin, mbrojtjen, ndjekjen dhe reagimin ndaj të gjitha aktiviteteve terroriste.</w:t>
      </w:r>
    </w:p>
    <w:p w14:paraId="5FEEFA17" w14:textId="5A7A7460"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bCs/>
          <w:i/>
          <w:iCs/>
          <w:lang w:val="sq-AL"/>
        </w:rPr>
        <w:t>Drejtoria për Krimet Ekonomike dhe Financiare</w:t>
      </w:r>
      <w:r w:rsidRPr="00795698">
        <w:rPr>
          <w:rFonts w:ascii="Garamond" w:hAnsi="Garamond"/>
          <w:lang w:val="sq-AL"/>
        </w:rPr>
        <w:t xml:space="preserve"> </w:t>
      </w:r>
      <w:r w:rsidR="00DB4D9C" w:rsidRPr="00795698">
        <w:rPr>
          <w:rFonts w:ascii="Garamond" w:hAnsi="Garamond"/>
          <w:lang w:val="sq-AL"/>
        </w:rPr>
        <w:t>–</w:t>
      </w:r>
      <w:r w:rsidRPr="00795698">
        <w:rPr>
          <w:rFonts w:ascii="Garamond" w:hAnsi="Garamond"/>
          <w:lang w:val="sq-AL"/>
        </w:rPr>
        <w:t xml:space="preserve"> </w:t>
      </w:r>
      <w:r w:rsidR="00DB4D9C" w:rsidRPr="00795698">
        <w:rPr>
          <w:rFonts w:ascii="Garamond" w:hAnsi="Garamond"/>
          <w:lang w:val="sq-AL"/>
        </w:rPr>
        <w:t>t</w:t>
      </w:r>
      <w:r w:rsidRPr="00795698">
        <w:rPr>
          <w:rFonts w:ascii="Garamond" w:hAnsi="Garamond"/>
          <w:lang w:val="sq-AL"/>
        </w:rPr>
        <w:t>ë</w:t>
      </w:r>
      <w:r w:rsidR="00DB4D9C" w:rsidRPr="00795698">
        <w:rPr>
          <w:rFonts w:ascii="Garamond" w:hAnsi="Garamond"/>
          <w:lang w:val="sq-AL"/>
        </w:rPr>
        <w:t xml:space="preserve"> </w:t>
      </w:r>
      <w:r w:rsidRPr="00795698">
        <w:rPr>
          <w:rFonts w:ascii="Garamond" w:hAnsi="Garamond"/>
          <w:lang w:val="sq-AL"/>
        </w:rPr>
        <w:t>hartojë objektiva dhe aktivitet</w:t>
      </w:r>
      <w:r w:rsidR="00FA0747" w:rsidRPr="00795698">
        <w:rPr>
          <w:rFonts w:ascii="Garamond" w:hAnsi="Garamond"/>
          <w:lang w:val="sq-AL"/>
        </w:rPr>
        <w:t>e strategjike në drejtim të</w:t>
      </w:r>
      <w:r w:rsidRPr="00795698">
        <w:rPr>
          <w:rFonts w:ascii="Garamond" w:hAnsi="Garamond"/>
          <w:lang w:val="sq-AL"/>
        </w:rPr>
        <w:t xml:space="preserve"> përmirësimi</w:t>
      </w:r>
      <w:r w:rsidR="00FA0747" w:rsidRPr="00795698">
        <w:rPr>
          <w:rFonts w:ascii="Garamond" w:hAnsi="Garamond"/>
          <w:lang w:val="sq-AL"/>
        </w:rPr>
        <w:t>t ligjor dhe operacional të masave</w:t>
      </w:r>
      <w:r w:rsidR="007C064A" w:rsidRPr="00795698">
        <w:rPr>
          <w:rFonts w:ascii="Garamond" w:hAnsi="Garamond"/>
          <w:lang w:val="sq-AL"/>
        </w:rPr>
        <w:t xml:space="preserve"> </w:t>
      </w:r>
      <w:r w:rsidR="00FA0747" w:rsidRPr="00795698">
        <w:rPr>
          <w:rFonts w:ascii="Garamond" w:hAnsi="Garamond"/>
          <w:lang w:val="sq-AL"/>
        </w:rPr>
        <w:t>parandalimin dhe</w:t>
      </w:r>
      <w:r w:rsidRPr="00795698">
        <w:rPr>
          <w:rFonts w:ascii="Garamond" w:hAnsi="Garamond"/>
          <w:lang w:val="sq-AL"/>
        </w:rPr>
        <w:t xml:space="preserve"> goditjen e indiv</w:t>
      </w:r>
      <w:r w:rsidR="00FA0747" w:rsidRPr="00795698">
        <w:rPr>
          <w:rFonts w:ascii="Garamond" w:hAnsi="Garamond"/>
          <w:lang w:val="sq-AL"/>
        </w:rPr>
        <w:t>idëve/grupeve të përfshirë në</w:t>
      </w:r>
      <w:r w:rsidRPr="00795698">
        <w:rPr>
          <w:rFonts w:ascii="Garamond" w:hAnsi="Garamond"/>
          <w:lang w:val="sq-AL"/>
        </w:rPr>
        <w:t xml:space="preserve"> financimin e terror</w:t>
      </w:r>
      <w:r w:rsidR="00FA0747" w:rsidRPr="00795698">
        <w:rPr>
          <w:rFonts w:ascii="Garamond" w:hAnsi="Garamond"/>
          <w:lang w:val="sq-AL"/>
        </w:rPr>
        <w:t>izmit, si dhe shënjestrimin e</w:t>
      </w:r>
      <w:r w:rsidRPr="00795698">
        <w:rPr>
          <w:rFonts w:ascii="Garamond" w:hAnsi="Garamond"/>
          <w:lang w:val="sq-AL"/>
        </w:rPr>
        <w:t xml:space="preserve"> sekuestrimit dhe</w:t>
      </w:r>
      <w:r w:rsidR="007C064A" w:rsidRPr="00795698">
        <w:rPr>
          <w:rFonts w:ascii="Garamond" w:hAnsi="Garamond"/>
          <w:lang w:val="sq-AL"/>
        </w:rPr>
        <w:t xml:space="preserve"> </w:t>
      </w:r>
      <w:r w:rsidRPr="00795698">
        <w:rPr>
          <w:rFonts w:ascii="Garamond" w:hAnsi="Garamond"/>
          <w:lang w:val="sq-AL"/>
        </w:rPr>
        <w:t>konfiskimit të pasurive</w:t>
      </w:r>
      <w:r w:rsidR="007C064A" w:rsidRPr="00795698">
        <w:rPr>
          <w:rFonts w:ascii="Garamond" w:hAnsi="Garamond"/>
          <w:lang w:val="sq-AL"/>
        </w:rPr>
        <w:t xml:space="preserve"> </w:t>
      </w:r>
      <w:r w:rsidRPr="00795698">
        <w:rPr>
          <w:rFonts w:ascii="Garamond" w:hAnsi="Garamond"/>
          <w:lang w:val="sq-AL"/>
        </w:rPr>
        <w:t>të tyre.</w:t>
      </w:r>
    </w:p>
    <w:p w14:paraId="5FEEFA18" w14:textId="12F4AD72" w:rsidR="00893E99" w:rsidRPr="00795698" w:rsidRDefault="00FA0747" w:rsidP="00FA0747">
      <w:pPr>
        <w:pStyle w:val="NoSpacing"/>
        <w:shd w:val="clear" w:color="auto" w:fill="FFFFFF"/>
        <w:ind w:firstLine="284"/>
        <w:jc w:val="both"/>
        <w:rPr>
          <w:rFonts w:ascii="Garamond" w:hAnsi="Garamond"/>
          <w:b/>
          <w:lang w:val="sq-AL"/>
        </w:rPr>
      </w:pPr>
      <w:r w:rsidRPr="00795698">
        <w:rPr>
          <w:rFonts w:ascii="Garamond" w:hAnsi="Garamond"/>
          <w:b/>
          <w:i/>
          <w:lang w:val="sq-AL"/>
        </w:rPr>
        <w:t xml:space="preserve">- </w:t>
      </w:r>
      <w:r w:rsidR="00893E99" w:rsidRPr="00795698">
        <w:rPr>
          <w:rFonts w:ascii="Garamond" w:hAnsi="Garamond"/>
          <w:b/>
          <w:i/>
          <w:lang w:val="sq-AL"/>
        </w:rPr>
        <w:t xml:space="preserve">Sektori i Krimeve Kompjuterike </w:t>
      </w:r>
      <w:r w:rsidR="00DB4D9C" w:rsidRPr="00795698">
        <w:rPr>
          <w:rFonts w:ascii="Garamond" w:hAnsi="Garamond"/>
          <w:b/>
          <w:lang w:val="sq-AL"/>
        </w:rPr>
        <w:t xml:space="preserve">– </w:t>
      </w:r>
      <w:r w:rsidR="00DB4D9C" w:rsidRPr="00795698">
        <w:rPr>
          <w:rFonts w:ascii="Garamond" w:hAnsi="Garamond"/>
          <w:lang w:val="sq-AL"/>
        </w:rPr>
        <w:t>t</w:t>
      </w:r>
      <w:r w:rsidR="00893E99" w:rsidRPr="00795698">
        <w:rPr>
          <w:rFonts w:ascii="Garamond" w:hAnsi="Garamond"/>
          <w:lang w:val="sq-AL"/>
        </w:rPr>
        <w:t>ë</w:t>
      </w:r>
      <w:r w:rsidR="00DB4D9C" w:rsidRPr="00795698">
        <w:rPr>
          <w:rFonts w:ascii="Garamond" w:hAnsi="Garamond"/>
          <w:lang w:val="sq-AL"/>
        </w:rPr>
        <w:t xml:space="preserve"> </w:t>
      </w:r>
      <w:r w:rsidR="00893E99" w:rsidRPr="00795698">
        <w:rPr>
          <w:rFonts w:ascii="Garamond" w:hAnsi="Garamond"/>
          <w:lang w:val="sq-AL"/>
        </w:rPr>
        <w:t>hartojë objektiva</w:t>
      </w:r>
      <w:r w:rsidRPr="00795698">
        <w:rPr>
          <w:rFonts w:ascii="Garamond" w:hAnsi="Garamond"/>
          <w:lang w:val="sq-AL"/>
        </w:rPr>
        <w:t xml:space="preserve"> dhe aktivitete strategjike në drejtim </w:t>
      </w:r>
      <w:r w:rsidR="00893E99" w:rsidRPr="00795698">
        <w:rPr>
          <w:rFonts w:ascii="Garamond" w:hAnsi="Garamond"/>
          <w:lang w:val="sq-AL"/>
        </w:rPr>
        <w:t>të përmirësimit ligjor dhe operacional të masave për parandalimin dhe goditjen e individëve/grupeve të përfshirë në krimin kibernetik.</w:t>
      </w:r>
      <w:r w:rsidR="007C064A" w:rsidRPr="00795698">
        <w:rPr>
          <w:rFonts w:ascii="Garamond" w:hAnsi="Garamond"/>
          <w:lang w:val="sq-AL"/>
        </w:rPr>
        <w:t xml:space="preserve"> </w:t>
      </w:r>
    </w:p>
    <w:p w14:paraId="5FEEFA19" w14:textId="2162D68F" w:rsidR="00893E99" w:rsidRPr="00795698" w:rsidRDefault="00FA0747" w:rsidP="00FA0747">
      <w:pPr>
        <w:pStyle w:val="NoSpacing"/>
        <w:shd w:val="clear" w:color="auto" w:fill="FFFFFF"/>
        <w:ind w:firstLine="284"/>
        <w:jc w:val="both"/>
        <w:rPr>
          <w:rFonts w:ascii="Garamond" w:hAnsi="Garamond"/>
          <w:b/>
          <w:lang w:val="sq-AL"/>
        </w:rPr>
      </w:pPr>
      <w:r w:rsidRPr="00795698">
        <w:rPr>
          <w:rFonts w:ascii="Garamond" w:hAnsi="Garamond"/>
          <w:b/>
          <w:i/>
          <w:lang w:val="sq-AL"/>
        </w:rPr>
        <w:t xml:space="preserve">- </w:t>
      </w:r>
      <w:r w:rsidR="00893E99" w:rsidRPr="00795698">
        <w:rPr>
          <w:rFonts w:ascii="Garamond" w:hAnsi="Garamond"/>
          <w:b/>
          <w:i/>
          <w:lang w:val="sq-AL"/>
        </w:rPr>
        <w:t xml:space="preserve">Zyra </w:t>
      </w:r>
      <w:r w:rsidR="000E7837" w:rsidRPr="00795698">
        <w:rPr>
          <w:rFonts w:ascii="Garamond" w:hAnsi="Garamond"/>
          <w:b/>
          <w:i/>
          <w:lang w:val="sq-AL"/>
        </w:rPr>
        <w:t>Qendrore</w:t>
      </w:r>
      <w:r w:rsidR="00893E99" w:rsidRPr="00795698">
        <w:rPr>
          <w:rFonts w:ascii="Garamond" w:hAnsi="Garamond"/>
          <w:b/>
          <w:i/>
          <w:lang w:val="sq-AL"/>
        </w:rPr>
        <w:t xml:space="preserve"> Kombëtare Interpol Tirana </w:t>
      </w:r>
      <w:r w:rsidR="00DB4D9C" w:rsidRPr="00795698">
        <w:rPr>
          <w:rFonts w:ascii="Garamond" w:hAnsi="Garamond"/>
          <w:b/>
          <w:lang w:val="sq-AL"/>
        </w:rPr>
        <w:t>–</w:t>
      </w:r>
      <w:r w:rsidR="00893E99" w:rsidRPr="00795698">
        <w:rPr>
          <w:rFonts w:ascii="Garamond" w:hAnsi="Garamond"/>
          <w:b/>
          <w:lang w:val="sq-AL"/>
        </w:rPr>
        <w:t xml:space="preserve"> </w:t>
      </w:r>
      <w:r w:rsidR="00DB4D9C" w:rsidRPr="00795698">
        <w:rPr>
          <w:rFonts w:ascii="Garamond" w:hAnsi="Garamond"/>
          <w:lang w:val="sq-AL"/>
        </w:rPr>
        <w:t>t</w:t>
      </w:r>
      <w:r w:rsidR="00893E99" w:rsidRPr="00795698">
        <w:rPr>
          <w:rFonts w:ascii="Garamond" w:hAnsi="Garamond"/>
          <w:lang w:val="sq-AL"/>
        </w:rPr>
        <w:t>ë</w:t>
      </w:r>
      <w:r w:rsidR="00DB4D9C" w:rsidRPr="00795698">
        <w:rPr>
          <w:rFonts w:ascii="Garamond" w:hAnsi="Garamond"/>
          <w:lang w:val="sq-AL"/>
        </w:rPr>
        <w:t xml:space="preserve"> </w:t>
      </w:r>
      <w:r w:rsidR="00893E99" w:rsidRPr="00795698">
        <w:rPr>
          <w:rFonts w:ascii="Garamond" w:hAnsi="Garamond"/>
          <w:lang w:val="sq-AL"/>
        </w:rPr>
        <w:t>ha</w:t>
      </w:r>
      <w:r w:rsidRPr="00795698">
        <w:rPr>
          <w:rFonts w:ascii="Garamond" w:hAnsi="Garamond"/>
          <w:lang w:val="sq-AL"/>
        </w:rPr>
        <w:t xml:space="preserve">rtojë objektiva dhe aktivitete në </w:t>
      </w:r>
      <w:r w:rsidR="00893E99" w:rsidRPr="00795698">
        <w:rPr>
          <w:rFonts w:ascii="Garamond" w:hAnsi="Garamond"/>
          <w:lang w:val="sq-AL"/>
        </w:rPr>
        <w:t>drejtim të rritjes së bashkëpunimit ndërkombëtar me agjencitë partnere nëpërmjet rritjes së shkëmbimit të informacioneve dhe numrit të hetimeve dhe operacioneve të përbashkëta kundër terrorizmit.</w:t>
      </w:r>
      <w:r w:rsidR="007C064A" w:rsidRPr="00795698">
        <w:rPr>
          <w:rFonts w:ascii="Garamond" w:hAnsi="Garamond"/>
          <w:lang w:val="sq-AL"/>
        </w:rPr>
        <w:t xml:space="preserve"> </w:t>
      </w:r>
    </w:p>
    <w:p w14:paraId="5FEEFA1A" w14:textId="3E792880" w:rsidR="00893E99" w:rsidRPr="00795698" w:rsidRDefault="00FA0747" w:rsidP="00FA0747">
      <w:pPr>
        <w:pStyle w:val="NoSpacing"/>
        <w:shd w:val="clear" w:color="auto" w:fill="FFFFFF"/>
        <w:ind w:firstLine="284"/>
        <w:jc w:val="both"/>
        <w:rPr>
          <w:rFonts w:ascii="Garamond" w:hAnsi="Garamond"/>
          <w:b/>
          <w:lang w:val="sq-AL"/>
        </w:rPr>
      </w:pPr>
      <w:r w:rsidRPr="00795698">
        <w:rPr>
          <w:rFonts w:ascii="Garamond" w:hAnsi="Garamond"/>
          <w:b/>
          <w:i/>
          <w:lang w:val="sq-AL"/>
        </w:rPr>
        <w:t xml:space="preserve">- </w:t>
      </w:r>
      <w:r w:rsidR="00893E99" w:rsidRPr="00795698">
        <w:rPr>
          <w:rFonts w:ascii="Garamond" w:hAnsi="Garamond"/>
          <w:b/>
          <w:i/>
          <w:lang w:val="sq-AL"/>
        </w:rPr>
        <w:t xml:space="preserve">Zyra Kombëtare Europol Tirana </w:t>
      </w:r>
      <w:r w:rsidR="00DB4D9C" w:rsidRPr="00795698">
        <w:rPr>
          <w:rFonts w:ascii="Garamond" w:hAnsi="Garamond"/>
          <w:b/>
          <w:lang w:val="sq-AL"/>
        </w:rPr>
        <w:t>–</w:t>
      </w:r>
      <w:r w:rsidR="00893E99" w:rsidRPr="00795698">
        <w:rPr>
          <w:rFonts w:ascii="Garamond" w:hAnsi="Garamond"/>
          <w:b/>
          <w:lang w:val="sq-AL"/>
        </w:rPr>
        <w:t xml:space="preserve"> </w:t>
      </w:r>
      <w:r w:rsidR="00DB4D9C" w:rsidRPr="00795698">
        <w:rPr>
          <w:rFonts w:ascii="Garamond" w:hAnsi="Garamond"/>
          <w:lang w:val="sq-AL"/>
        </w:rPr>
        <w:t>t</w:t>
      </w:r>
      <w:r w:rsidR="00893E99" w:rsidRPr="00795698">
        <w:rPr>
          <w:rFonts w:ascii="Garamond" w:hAnsi="Garamond"/>
          <w:lang w:val="sq-AL"/>
        </w:rPr>
        <w:t>ë hartojë objektiva dhe aktivitete në drejtim</w:t>
      </w:r>
      <w:r w:rsidR="007C064A" w:rsidRPr="00795698">
        <w:rPr>
          <w:rFonts w:ascii="Garamond" w:hAnsi="Garamond"/>
          <w:lang w:val="sq-AL"/>
        </w:rPr>
        <w:t xml:space="preserve"> </w:t>
      </w:r>
      <w:r w:rsidR="00893E99" w:rsidRPr="00795698">
        <w:rPr>
          <w:rFonts w:ascii="Garamond" w:hAnsi="Garamond"/>
          <w:lang w:val="sq-AL"/>
        </w:rPr>
        <w:t>të</w:t>
      </w:r>
      <w:r w:rsidR="007C064A" w:rsidRPr="00795698">
        <w:rPr>
          <w:rFonts w:ascii="Garamond" w:hAnsi="Garamond"/>
          <w:lang w:val="sq-AL"/>
        </w:rPr>
        <w:t xml:space="preserve"> </w:t>
      </w:r>
      <w:r w:rsidR="00893E99" w:rsidRPr="00795698">
        <w:rPr>
          <w:rFonts w:ascii="Garamond" w:hAnsi="Garamond"/>
          <w:lang w:val="sq-AL"/>
        </w:rPr>
        <w:t>rritjes së bashkëpunimit me agjencitë partnere të Europol nëpërmjet rritjes së shkëmbimit të informacioneve dhe numrit të hetimeve dhe operacioneve të përbashkëta kundër terrorizmit.</w:t>
      </w:r>
      <w:r w:rsidR="007C064A" w:rsidRPr="00795698">
        <w:rPr>
          <w:rFonts w:ascii="Garamond" w:hAnsi="Garamond"/>
          <w:lang w:val="sq-AL"/>
        </w:rPr>
        <w:t xml:space="preserve"> </w:t>
      </w:r>
    </w:p>
    <w:p w14:paraId="5FEEFA1B" w14:textId="18B10E2B" w:rsidR="00893E99" w:rsidRPr="00795698" w:rsidRDefault="00893E99" w:rsidP="00893E99">
      <w:pPr>
        <w:pStyle w:val="NoSpacing"/>
        <w:shd w:val="clear" w:color="auto" w:fill="FFFFFF"/>
        <w:ind w:firstLine="284"/>
        <w:jc w:val="both"/>
        <w:rPr>
          <w:rFonts w:ascii="Garamond" w:hAnsi="Garamond"/>
          <w:b/>
          <w:lang w:val="sq-AL"/>
        </w:rPr>
      </w:pPr>
      <w:r w:rsidRPr="00795698">
        <w:rPr>
          <w:rFonts w:ascii="Garamond" w:hAnsi="Garamond"/>
          <w:b/>
          <w:i/>
          <w:lang w:val="sq-AL"/>
        </w:rPr>
        <w:t xml:space="preserve">Drejtoria e Bashkëpunimit Koordinimit Ndërkombëtar dhe Marrëdhënieve me Publikun </w:t>
      </w:r>
      <w:r w:rsidRPr="00795698">
        <w:rPr>
          <w:rFonts w:ascii="Garamond" w:hAnsi="Garamond"/>
          <w:b/>
          <w:lang w:val="sq-AL"/>
        </w:rPr>
        <w:t xml:space="preserve">- </w:t>
      </w:r>
      <w:r w:rsidRPr="00795698">
        <w:rPr>
          <w:rFonts w:ascii="Garamond" w:hAnsi="Garamond"/>
          <w:lang w:val="sq-AL"/>
        </w:rPr>
        <w:t>Të hartojë objektiva dhe aktivitete në drejtim të përmirësimit të kuadrit ligjor, administrative</w:t>
      </w:r>
      <w:r w:rsidR="000E7837" w:rsidRPr="00795698">
        <w:rPr>
          <w:rFonts w:ascii="Garamond" w:hAnsi="Garamond"/>
          <w:lang w:val="sq-AL"/>
        </w:rPr>
        <w:t xml:space="preserve"> </w:t>
      </w:r>
      <w:r w:rsidRPr="00795698">
        <w:rPr>
          <w:rFonts w:ascii="Garamond" w:hAnsi="Garamond"/>
          <w:lang w:val="sq-AL"/>
        </w:rPr>
        <w:t>dhe teknike të masave për bashkëpunimit rajonal dhe ndërkombëtar.</w:t>
      </w:r>
      <w:r w:rsidR="007C064A" w:rsidRPr="00795698">
        <w:rPr>
          <w:rFonts w:ascii="Garamond" w:hAnsi="Garamond"/>
          <w:lang w:val="sq-AL"/>
        </w:rPr>
        <w:t xml:space="preserve"> </w:t>
      </w:r>
    </w:p>
    <w:p w14:paraId="5FEEFA1C" w14:textId="72516CE6" w:rsidR="00893E99" w:rsidRPr="00795698" w:rsidRDefault="00893E99" w:rsidP="00893E99">
      <w:pPr>
        <w:pStyle w:val="NoSpacing"/>
        <w:shd w:val="clear" w:color="auto" w:fill="FFFFFF"/>
        <w:ind w:firstLine="284"/>
        <w:jc w:val="both"/>
        <w:rPr>
          <w:rFonts w:ascii="Garamond" w:hAnsi="Garamond"/>
          <w:b/>
          <w:lang w:val="sq-AL"/>
        </w:rPr>
      </w:pPr>
      <w:r w:rsidRPr="00795698">
        <w:rPr>
          <w:rFonts w:ascii="Garamond" w:hAnsi="Garamond"/>
          <w:b/>
          <w:i/>
          <w:lang w:val="sq-AL"/>
        </w:rPr>
        <w:t xml:space="preserve">Departamenti për Sigurinë Publike </w:t>
      </w:r>
      <w:r w:rsidR="00DB4D9C" w:rsidRPr="00795698">
        <w:rPr>
          <w:rFonts w:ascii="Garamond" w:hAnsi="Garamond"/>
          <w:b/>
          <w:lang w:val="sq-AL"/>
        </w:rPr>
        <w:t>–</w:t>
      </w:r>
      <w:r w:rsidRPr="00795698">
        <w:rPr>
          <w:rFonts w:ascii="Garamond" w:hAnsi="Garamond"/>
          <w:b/>
          <w:lang w:val="sq-AL"/>
        </w:rPr>
        <w:t xml:space="preserve"> </w:t>
      </w:r>
      <w:r w:rsidR="00DB4D9C" w:rsidRPr="00795698">
        <w:rPr>
          <w:rFonts w:ascii="Garamond" w:hAnsi="Garamond"/>
          <w:lang w:val="sq-AL"/>
        </w:rPr>
        <w:t>t</w:t>
      </w:r>
      <w:r w:rsidR="00FA0747" w:rsidRPr="00795698">
        <w:rPr>
          <w:rFonts w:ascii="Garamond" w:hAnsi="Garamond"/>
          <w:lang w:val="sq-AL"/>
        </w:rPr>
        <w:t>ë</w:t>
      </w:r>
      <w:r w:rsidR="00DB4D9C" w:rsidRPr="00795698">
        <w:rPr>
          <w:rFonts w:ascii="Garamond" w:hAnsi="Garamond"/>
          <w:lang w:val="sq-AL"/>
        </w:rPr>
        <w:t xml:space="preserve"> </w:t>
      </w:r>
      <w:r w:rsidR="00FA0747" w:rsidRPr="00795698">
        <w:rPr>
          <w:rFonts w:ascii="Garamond" w:hAnsi="Garamond"/>
          <w:lang w:val="sq-AL"/>
        </w:rPr>
        <w:t xml:space="preserve">hartojë objektiva dhe </w:t>
      </w:r>
      <w:r w:rsidRPr="00795698">
        <w:rPr>
          <w:rFonts w:ascii="Garamond" w:hAnsi="Garamond"/>
          <w:lang w:val="sq-AL"/>
        </w:rPr>
        <w:t>aktivit</w:t>
      </w:r>
      <w:r w:rsidR="00FA0747" w:rsidRPr="00795698">
        <w:rPr>
          <w:rFonts w:ascii="Garamond" w:hAnsi="Garamond"/>
          <w:lang w:val="sq-AL"/>
        </w:rPr>
        <w:t xml:space="preserve">ete në drejtim të masave të </w:t>
      </w:r>
      <w:r w:rsidRPr="00795698">
        <w:rPr>
          <w:rFonts w:ascii="Garamond" w:hAnsi="Garamond"/>
          <w:lang w:val="sq-AL"/>
        </w:rPr>
        <w:t>zgjerim</w:t>
      </w:r>
      <w:r w:rsidR="00FA0747" w:rsidRPr="00795698">
        <w:rPr>
          <w:rFonts w:ascii="Garamond" w:hAnsi="Garamond"/>
          <w:lang w:val="sq-AL"/>
        </w:rPr>
        <w:t>it dhe rritjes së aftësive të policimit në komunitet për parandalimin</w:t>
      </w:r>
      <w:r w:rsidRPr="00795698">
        <w:rPr>
          <w:rFonts w:ascii="Garamond" w:hAnsi="Garamond"/>
          <w:lang w:val="sq-AL"/>
        </w:rPr>
        <w:t xml:space="preserve"> e ekstremizmit të dhunshëm.</w:t>
      </w:r>
    </w:p>
    <w:p w14:paraId="5FEEFA1D" w14:textId="1BE0C5BA"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i/>
          <w:lang w:val="sq-AL"/>
        </w:rPr>
        <w:lastRenderedPageBreak/>
        <w:t xml:space="preserve">Departamenti për Kufirin dhe Migracionin </w:t>
      </w:r>
      <w:r w:rsidR="00DB4D9C" w:rsidRPr="00795698">
        <w:rPr>
          <w:rFonts w:ascii="Garamond" w:hAnsi="Garamond"/>
          <w:b/>
          <w:iCs/>
          <w:lang w:val="sq-AL"/>
        </w:rPr>
        <w:t>–</w:t>
      </w:r>
      <w:r w:rsidRPr="00795698">
        <w:rPr>
          <w:rFonts w:ascii="Garamond" w:hAnsi="Garamond"/>
          <w:b/>
          <w:iCs/>
          <w:lang w:val="sq-AL"/>
        </w:rPr>
        <w:t xml:space="preserve"> </w:t>
      </w:r>
      <w:r w:rsidR="00DB4D9C" w:rsidRPr="00795698">
        <w:rPr>
          <w:rFonts w:ascii="Garamond" w:hAnsi="Garamond"/>
          <w:lang w:val="sq-AL"/>
        </w:rPr>
        <w:t>t</w:t>
      </w:r>
      <w:r w:rsidRPr="00795698">
        <w:rPr>
          <w:rFonts w:ascii="Garamond" w:hAnsi="Garamond"/>
          <w:lang w:val="sq-AL"/>
        </w:rPr>
        <w:t>ë</w:t>
      </w:r>
      <w:r w:rsidR="00DB4D9C" w:rsidRPr="00795698">
        <w:rPr>
          <w:rFonts w:ascii="Garamond" w:hAnsi="Garamond"/>
          <w:lang w:val="sq-AL"/>
        </w:rPr>
        <w:t xml:space="preserve"> </w:t>
      </w:r>
      <w:r w:rsidRPr="00795698">
        <w:rPr>
          <w:rFonts w:ascii="Garamond" w:hAnsi="Garamond"/>
          <w:lang w:val="sq-AL"/>
        </w:rPr>
        <w:t>hartojë objektiva dhe aktivitete në drejtim të masave të sigurisë në kufi,</w:t>
      </w:r>
      <w:r w:rsidR="007C064A" w:rsidRPr="00795698">
        <w:rPr>
          <w:rFonts w:ascii="Garamond" w:hAnsi="Garamond"/>
          <w:lang w:val="sq-AL"/>
        </w:rPr>
        <w:t xml:space="preserve"> </w:t>
      </w:r>
      <w:r w:rsidRPr="00795698">
        <w:rPr>
          <w:rFonts w:ascii="Garamond" w:hAnsi="Garamond"/>
          <w:lang w:val="sq-AL"/>
        </w:rPr>
        <w:t>mbikëqyrjes së lëvizjes së qytetarëve, migracionit t</w:t>
      </w:r>
      <w:r w:rsidR="007265E9" w:rsidRPr="00795698">
        <w:rPr>
          <w:rFonts w:ascii="Garamond" w:hAnsi="Garamond"/>
          <w:lang w:val="sq-AL"/>
        </w:rPr>
        <w:t>ë</w:t>
      </w:r>
      <w:r w:rsidRPr="00795698">
        <w:rPr>
          <w:rFonts w:ascii="Garamond" w:hAnsi="Garamond"/>
          <w:lang w:val="sq-AL"/>
        </w:rPr>
        <w:t xml:space="preserve"> </w:t>
      </w:r>
      <w:r w:rsidR="007265E9" w:rsidRPr="00795698">
        <w:rPr>
          <w:rFonts w:ascii="Garamond" w:hAnsi="Garamond"/>
          <w:lang w:val="sq-AL"/>
        </w:rPr>
        <w:t>paligjshëm</w:t>
      </w:r>
      <w:r w:rsidRPr="00795698">
        <w:rPr>
          <w:rFonts w:ascii="Garamond" w:hAnsi="Garamond"/>
          <w:lang w:val="sq-AL"/>
        </w:rPr>
        <w:t xml:space="preserve"> dhe fluksit të refugjatëve dhe</w:t>
      </w:r>
      <w:r w:rsidR="007C064A" w:rsidRPr="00795698">
        <w:rPr>
          <w:rFonts w:ascii="Garamond" w:hAnsi="Garamond"/>
          <w:lang w:val="sq-AL"/>
        </w:rPr>
        <w:t xml:space="preserve"> </w:t>
      </w:r>
      <w:r w:rsidRPr="00795698">
        <w:rPr>
          <w:rFonts w:ascii="Garamond" w:hAnsi="Garamond"/>
          <w:lang w:val="sq-AL"/>
        </w:rPr>
        <w:t>mallrave me përdorim të dyfishtë si dhe armëve të shkatërrimit në masë.</w:t>
      </w:r>
      <w:r w:rsidR="007C064A" w:rsidRPr="00795698">
        <w:rPr>
          <w:rFonts w:ascii="Garamond" w:hAnsi="Garamond"/>
          <w:lang w:val="sq-AL"/>
        </w:rPr>
        <w:t xml:space="preserve"> </w:t>
      </w:r>
    </w:p>
    <w:p w14:paraId="5FEEFA1E" w14:textId="121B6F5B" w:rsidR="00893E99" w:rsidRPr="00795698" w:rsidRDefault="00893E99" w:rsidP="00893E99">
      <w:pPr>
        <w:shd w:val="clear" w:color="auto" w:fill="FFFFFF"/>
        <w:ind w:firstLine="284"/>
        <w:jc w:val="both"/>
        <w:rPr>
          <w:rFonts w:ascii="Garamond" w:hAnsi="Garamond"/>
        </w:rPr>
      </w:pPr>
      <w:r w:rsidRPr="00795698">
        <w:rPr>
          <w:rFonts w:ascii="Garamond" w:hAnsi="Garamond"/>
          <w:b/>
          <w:i/>
        </w:rPr>
        <w:t>Qendra Kundër Ekstremizmit të Dhunshëm (QKEDH) –</w:t>
      </w:r>
      <w:r w:rsidR="00DB4D9C" w:rsidRPr="00795698">
        <w:rPr>
          <w:rFonts w:ascii="Garamond" w:hAnsi="Garamond"/>
          <w:b/>
          <w:i/>
        </w:rPr>
        <w:t xml:space="preserve"> </w:t>
      </w:r>
      <w:r w:rsidR="00DB4D9C" w:rsidRPr="00795698">
        <w:rPr>
          <w:rFonts w:ascii="Garamond" w:hAnsi="Garamond"/>
        </w:rPr>
        <w:t>t</w:t>
      </w:r>
      <w:r w:rsidRPr="00795698">
        <w:rPr>
          <w:rFonts w:ascii="Garamond" w:hAnsi="Garamond"/>
        </w:rPr>
        <w:t xml:space="preserve">ë hartojë programe, punësimit dhe informimit në kuadër të parandalimit përmes policisë në komunitet të ekstremizmit dhe radikalizimit që çon në ekstremizëm si dhe uljen e ndikimit të propagandës ekstremiste në rrjetet sociale dhe rekrutimit në internet, duke shfrytëzuar mediat sociale si kanale të komunikimit për të promovuar narrativa alternative dhe mesazhe pozitive. Në vijim të miratimit të VKM-së </w:t>
      </w:r>
      <w:r w:rsidR="00DB4D9C" w:rsidRPr="00795698">
        <w:rPr>
          <w:rFonts w:ascii="Garamond" w:hAnsi="Garamond"/>
        </w:rPr>
        <w:t xml:space="preserve">nr. </w:t>
      </w:r>
      <w:r w:rsidRPr="00795698">
        <w:rPr>
          <w:rFonts w:ascii="Garamond" w:hAnsi="Garamond"/>
        </w:rPr>
        <w:t>826, datë 26.10.2020 lidhur me procesin e riatdhesimit të shtetasve shqiptarë të rikthyer nga zonat e konfliktit në Siri dhe Irak, Qendra CVE ka si detyrim koordinimin ndërinstitucional, mbështetjen dhe monitorimin e procesit të riatdhesimit dhe zhvillimin e programeve rehabilituese dhe reintegruese. Të kryejë analiza ligjore dhe funksionale në lidhje me kapacitetet dhe strukturat</w:t>
      </w:r>
      <w:r w:rsidR="007C064A" w:rsidRPr="00795698">
        <w:rPr>
          <w:rFonts w:ascii="Garamond" w:hAnsi="Garamond"/>
        </w:rPr>
        <w:t xml:space="preserve"> </w:t>
      </w:r>
      <w:r w:rsidRPr="00795698">
        <w:rPr>
          <w:rFonts w:ascii="Garamond" w:hAnsi="Garamond"/>
        </w:rPr>
        <w:t>në fushën e ekstremizmit të dhunshëm, duke identifikuar mangësitë dhe boshllëqet në kapacitete, si dhe përgatitje të kuadrit ligjor dhe institucional për të plotësuar kapacitetet dhe nevojat kombëtare, duke bërë ndryshimet e nevojshme ligjore, funksionale dhe strukturore të QKEDH</w:t>
      </w:r>
      <w:r w:rsidRPr="00795698">
        <w:rPr>
          <w:rFonts w:ascii="Garamond" w:hAnsi="Garamond"/>
          <w:b/>
        </w:rPr>
        <w:t>.</w:t>
      </w:r>
    </w:p>
    <w:p w14:paraId="5FEEFA1F" w14:textId="1DBA0902" w:rsidR="00893E99" w:rsidRPr="00795698" w:rsidRDefault="00893E99" w:rsidP="00893E99">
      <w:pPr>
        <w:shd w:val="clear" w:color="auto" w:fill="FFFFFF"/>
        <w:ind w:firstLine="284"/>
        <w:jc w:val="both"/>
        <w:rPr>
          <w:rFonts w:ascii="Garamond" w:hAnsi="Garamond"/>
          <w:b/>
        </w:rPr>
      </w:pPr>
      <w:r w:rsidRPr="00795698">
        <w:rPr>
          <w:rFonts w:ascii="Garamond" w:hAnsi="Garamond"/>
          <w:b/>
          <w:i/>
        </w:rPr>
        <w:t>Agjencia e Administrimit të Pasurive të Sekuestruara dhe të Konfiskuara</w:t>
      </w:r>
      <w:r w:rsidRPr="00795698">
        <w:rPr>
          <w:rFonts w:ascii="Garamond" w:hAnsi="Garamond"/>
          <w:b/>
        </w:rPr>
        <w:t xml:space="preserve"> </w:t>
      </w:r>
      <w:r w:rsidR="001E6107" w:rsidRPr="00795698">
        <w:rPr>
          <w:rFonts w:ascii="Garamond" w:hAnsi="Garamond"/>
        </w:rPr>
        <w:t>–</w:t>
      </w:r>
      <w:r w:rsidRPr="00795698">
        <w:rPr>
          <w:rFonts w:ascii="Garamond" w:hAnsi="Garamond"/>
        </w:rPr>
        <w:t xml:space="preserve"> </w:t>
      </w:r>
      <w:r w:rsidR="001E6107" w:rsidRPr="00795698">
        <w:rPr>
          <w:rFonts w:ascii="Garamond" w:hAnsi="Garamond"/>
        </w:rPr>
        <w:t>t</w:t>
      </w:r>
      <w:r w:rsidRPr="00795698">
        <w:rPr>
          <w:rFonts w:ascii="Garamond" w:hAnsi="Garamond"/>
        </w:rPr>
        <w:t>ë</w:t>
      </w:r>
      <w:r w:rsidR="001E6107" w:rsidRPr="00795698">
        <w:rPr>
          <w:rFonts w:ascii="Garamond" w:hAnsi="Garamond"/>
        </w:rPr>
        <w:t xml:space="preserve"> </w:t>
      </w:r>
      <w:r w:rsidRPr="00795698">
        <w:rPr>
          <w:rFonts w:ascii="Garamond" w:hAnsi="Garamond"/>
        </w:rPr>
        <w:t>planifikojë detyra për administrimin e pasurive të sekuestruara të subjekteve të shpallura si financuese të terrorizmit, duke bllokuar burimet e të ardhurave të krijuara nëpërmjet tyre.</w:t>
      </w:r>
    </w:p>
    <w:p w14:paraId="5FEEFA20" w14:textId="2DC8F768" w:rsidR="00893E99" w:rsidRPr="00795698" w:rsidRDefault="00893E99" w:rsidP="00893E99">
      <w:pPr>
        <w:pStyle w:val="NoSpacing"/>
        <w:shd w:val="clear" w:color="auto" w:fill="FFFFFF"/>
        <w:ind w:firstLine="284"/>
        <w:jc w:val="both"/>
        <w:rPr>
          <w:rFonts w:ascii="Garamond" w:eastAsia="Calibri" w:hAnsi="Garamond"/>
          <w:lang w:val="sq-AL"/>
        </w:rPr>
      </w:pPr>
      <w:r w:rsidRPr="00795698">
        <w:rPr>
          <w:rFonts w:ascii="Garamond" w:hAnsi="Garamond"/>
          <w:b/>
          <w:i/>
          <w:lang w:val="sq-AL"/>
        </w:rPr>
        <w:t xml:space="preserve">Ministria përgjegjëse për çështjet e drejtësisë </w:t>
      </w:r>
      <w:r w:rsidR="001E6107" w:rsidRPr="00795698">
        <w:rPr>
          <w:rFonts w:ascii="Garamond" w:hAnsi="Garamond"/>
          <w:lang w:val="sq-AL"/>
        </w:rPr>
        <w:t>– t</w:t>
      </w:r>
      <w:r w:rsidRPr="00795698">
        <w:rPr>
          <w:rFonts w:ascii="Garamond" w:hAnsi="Garamond"/>
          <w:lang w:val="sq-AL"/>
        </w:rPr>
        <w:t>ë</w:t>
      </w:r>
      <w:r w:rsidR="001E6107" w:rsidRPr="00795698">
        <w:rPr>
          <w:rFonts w:ascii="Garamond" w:hAnsi="Garamond"/>
          <w:lang w:val="sq-AL"/>
        </w:rPr>
        <w:t xml:space="preserve"> </w:t>
      </w:r>
      <w:r w:rsidRPr="00795698">
        <w:rPr>
          <w:rFonts w:ascii="Garamond" w:hAnsi="Garamond"/>
          <w:lang w:val="sq-AL"/>
        </w:rPr>
        <w:t>planifikojë objektiva dhe aktivitete për bashkëpunimin e nevojshëm mes Prokurorisë, Interpolit dhe autoriteteve të huaja të drejtësisë në çështje që lidhen me luftën kundër terrorizmit dhe financimit të tij.</w:t>
      </w:r>
    </w:p>
    <w:p w14:paraId="5FEEFA21" w14:textId="272CDB25" w:rsidR="00893E99" w:rsidRPr="00795698" w:rsidRDefault="00893E99" w:rsidP="00893E99">
      <w:pPr>
        <w:pStyle w:val="NoSpacing"/>
        <w:shd w:val="clear" w:color="auto" w:fill="FFFFFF"/>
        <w:ind w:firstLine="284"/>
        <w:jc w:val="both"/>
        <w:rPr>
          <w:rFonts w:ascii="Garamond" w:hAnsi="Garamond"/>
          <w:b/>
          <w:lang w:val="sq-AL"/>
        </w:rPr>
      </w:pPr>
      <w:r w:rsidRPr="00795698">
        <w:rPr>
          <w:rFonts w:ascii="Garamond" w:hAnsi="Garamond"/>
          <w:b/>
          <w:i/>
          <w:lang w:val="sq-AL"/>
        </w:rPr>
        <w:t xml:space="preserve">Drejtoria e Përgjithshme e Burgjeve </w:t>
      </w:r>
      <w:r w:rsidR="001E6107" w:rsidRPr="00795698">
        <w:rPr>
          <w:rFonts w:ascii="Garamond" w:hAnsi="Garamond"/>
          <w:b/>
          <w:lang w:val="sq-AL"/>
        </w:rPr>
        <w:t xml:space="preserve">– </w:t>
      </w:r>
      <w:r w:rsidR="001E6107" w:rsidRPr="00795698">
        <w:rPr>
          <w:rStyle w:val="NoSpacingChar"/>
          <w:rFonts w:ascii="Garamond" w:hAnsi="Garamond"/>
          <w:lang w:val="sq-AL"/>
        </w:rPr>
        <w:t>t</w:t>
      </w:r>
      <w:r w:rsidRPr="00795698">
        <w:rPr>
          <w:rStyle w:val="NoSpacingChar"/>
          <w:rFonts w:ascii="Garamond" w:hAnsi="Garamond"/>
          <w:lang w:val="sq-AL"/>
        </w:rPr>
        <w:t>ë planifikojë dhe zbatojë detyrat që lidhen</w:t>
      </w:r>
      <w:r w:rsidR="007C064A" w:rsidRPr="00795698">
        <w:rPr>
          <w:rStyle w:val="NoSpacingChar"/>
          <w:rFonts w:ascii="Garamond" w:hAnsi="Garamond"/>
          <w:lang w:val="sq-AL"/>
        </w:rPr>
        <w:t xml:space="preserve"> </w:t>
      </w:r>
      <w:r w:rsidRPr="00795698">
        <w:rPr>
          <w:rStyle w:val="NoSpacingChar"/>
          <w:rFonts w:ascii="Garamond" w:hAnsi="Garamond"/>
          <w:lang w:val="sq-AL"/>
        </w:rPr>
        <w:t>me r</w:t>
      </w:r>
      <w:r w:rsidRPr="00795698">
        <w:rPr>
          <w:rFonts w:ascii="Garamond" w:hAnsi="Garamond"/>
          <w:lang w:val="sq-AL"/>
        </w:rPr>
        <w:t xml:space="preserve">ritjen e sigurisë përreth individëve/grupeve të burgosurve për aktivitete që lidhen me ekstremizmin për të parandaluar ata nga rekrutimi i të burgosurve të tjerë. </w:t>
      </w:r>
    </w:p>
    <w:p w14:paraId="5FEEFA22" w14:textId="255FB74A" w:rsidR="00893E99" w:rsidRPr="00795698" w:rsidRDefault="00893E99" w:rsidP="00893E99">
      <w:pPr>
        <w:pStyle w:val="NoSpacing"/>
        <w:shd w:val="clear" w:color="auto" w:fill="FFFFFF"/>
        <w:ind w:firstLine="284"/>
        <w:jc w:val="both"/>
        <w:rPr>
          <w:rStyle w:val="NoSpacingChar"/>
          <w:rFonts w:ascii="Garamond" w:hAnsi="Garamond"/>
          <w:lang w:val="sq-AL"/>
        </w:rPr>
      </w:pPr>
      <w:r w:rsidRPr="00795698">
        <w:rPr>
          <w:rFonts w:ascii="Garamond" w:hAnsi="Garamond"/>
          <w:b/>
          <w:i/>
          <w:lang w:val="sq-AL"/>
        </w:rPr>
        <w:t>Ministria përgjegjëse për çështjet e ekonomisë</w:t>
      </w:r>
      <w:r w:rsidRPr="00795698">
        <w:rPr>
          <w:rFonts w:ascii="Garamond" w:hAnsi="Garamond"/>
          <w:b/>
          <w:lang w:val="sq-AL"/>
        </w:rPr>
        <w:t xml:space="preserve"> </w:t>
      </w:r>
      <w:r w:rsidR="00DF19B0" w:rsidRPr="00795698">
        <w:rPr>
          <w:rFonts w:ascii="Garamond" w:hAnsi="Garamond"/>
          <w:b/>
          <w:lang w:val="sq-AL"/>
        </w:rPr>
        <w:t>–</w:t>
      </w:r>
      <w:r w:rsidRPr="00795698">
        <w:rPr>
          <w:rFonts w:ascii="Garamond" w:hAnsi="Garamond"/>
          <w:b/>
          <w:lang w:val="sq-AL"/>
        </w:rPr>
        <w:t xml:space="preserve"> </w:t>
      </w:r>
      <w:r w:rsidR="001E6107" w:rsidRPr="00795698">
        <w:rPr>
          <w:rStyle w:val="NoSpacingChar"/>
          <w:rFonts w:ascii="Garamond" w:hAnsi="Garamond"/>
          <w:lang w:val="sq-AL"/>
        </w:rPr>
        <w:t>t</w:t>
      </w:r>
      <w:r w:rsidRPr="00795698">
        <w:rPr>
          <w:rStyle w:val="NoSpacingChar"/>
          <w:rFonts w:ascii="Garamond" w:hAnsi="Garamond"/>
          <w:lang w:val="sq-AL"/>
        </w:rPr>
        <w:t>ë</w:t>
      </w:r>
      <w:r w:rsidR="00DF19B0" w:rsidRPr="00795698">
        <w:rPr>
          <w:rStyle w:val="NoSpacingChar"/>
          <w:rFonts w:ascii="Garamond" w:hAnsi="Garamond"/>
          <w:lang w:val="sq-AL"/>
        </w:rPr>
        <w:t xml:space="preserve"> </w:t>
      </w:r>
      <w:r w:rsidRPr="00795698">
        <w:rPr>
          <w:rStyle w:val="NoSpacingChar"/>
          <w:rFonts w:ascii="Garamond" w:hAnsi="Garamond"/>
          <w:lang w:val="sq-AL"/>
        </w:rPr>
        <w:t>planifikojë dhe zbatojë detyrat që lidhen me aktet ligjore e normative sipas drejtimeve përkatëse të institucioneve në varësi, në funksion të parandalimit të akteve terroriste.</w:t>
      </w:r>
    </w:p>
    <w:p w14:paraId="5FEEFA23" w14:textId="6247266C" w:rsidR="00893E99" w:rsidRPr="00795698" w:rsidRDefault="00893E99" w:rsidP="00893E99">
      <w:pPr>
        <w:shd w:val="clear" w:color="auto" w:fill="FFFFFF"/>
        <w:ind w:firstLine="284"/>
        <w:jc w:val="both"/>
        <w:rPr>
          <w:rStyle w:val="NoSpacingChar"/>
          <w:rFonts w:ascii="Garamond" w:hAnsi="Garamond"/>
        </w:rPr>
      </w:pPr>
      <w:r w:rsidRPr="00795698">
        <w:rPr>
          <w:rFonts w:ascii="Garamond" w:hAnsi="Garamond"/>
          <w:b/>
          <w:i/>
        </w:rPr>
        <w:t xml:space="preserve">Drejtoria e Përgjithshme e Parandalimit të Pastrimit të Parave </w:t>
      </w:r>
      <w:r w:rsidR="00DF19B0" w:rsidRPr="00795698">
        <w:rPr>
          <w:rFonts w:ascii="Garamond" w:hAnsi="Garamond"/>
        </w:rPr>
        <w:t>–</w:t>
      </w:r>
      <w:r w:rsidRPr="00795698">
        <w:rPr>
          <w:rFonts w:ascii="Garamond" w:hAnsi="Garamond"/>
        </w:rPr>
        <w:t xml:space="preserve"> </w:t>
      </w:r>
      <w:r w:rsidR="00DF19B0" w:rsidRPr="00795698">
        <w:rPr>
          <w:rStyle w:val="NoSpacingChar"/>
          <w:rFonts w:ascii="Garamond" w:hAnsi="Garamond"/>
        </w:rPr>
        <w:t>t</w:t>
      </w:r>
      <w:r w:rsidRPr="00795698">
        <w:rPr>
          <w:rStyle w:val="NoSpacingChar"/>
          <w:rFonts w:ascii="Garamond" w:hAnsi="Garamond"/>
        </w:rPr>
        <w:t>ë</w:t>
      </w:r>
      <w:r w:rsidR="00DF19B0" w:rsidRPr="00795698">
        <w:rPr>
          <w:rStyle w:val="NoSpacingChar"/>
          <w:rFonts w:ascii="Garamond" w:hAnsi="Garamond"/>
        </w:rPr>
        <w:t xml:space="preserve"> </w:t>
      </w:r>
      <w:r w:rsidRPr="00795698">
        <w:rPr>
          <w:rStyle w:val="NoSpacingChar"/>
          <w:rFonts w:ascii="Garamond" w:hAnsi="Garamond"/>
        </w:rPr>
        <w:t>planifikojë objektiva dhe aktivitete si njësi e specializuar financiare për parandalimin dhe luftën kundër pastrimit të parave dhe financimit të terrorizmit, si qendër kombëtare e ngarkuar me mbledhjen, analizimin dhe shpërndarjen tek agjencitë e zbatimit të ligjit të të dhënave për veprimtaritë e mundshme të pastrimit të parave të financimit të terrorizmit.</w:t>
      </w:r>
    </w:p>
    <w:p w14:paraId="5FEEFA24" w14:textId="07F0A245" w:rsidR="00893E99" w:rsidRPr="00795698" w:rsidRDefault="00893E99" w:rsidP="00893E99">
      <w:pPr>
        <w:shd w:val="clear" w:color="auto" w:fill="FFFFFF"/>
        <w:ind w:firstLine="284"/>
        <w:jc w:val="both"/>
        <w:rPr>
          <w:rFonts w:ascii="Garamond" w:hAnsi="Garamond"/>
        </w:rPr>
      </w:pPr>
      <w:r w:rsidRPr="00795698">
        <w:rPr>
          <w:rFonts w:ascii="Garamond" w:hAnsi="Garamond"/>
          <w:b/>
          <w:i/>
        </w:rPr>
        <w:t xml:space="preserve">Drejtoria e Përgjithshme e Doganave </w:t>
      </w:r>
      <w:r w:rsidR="00DF19B0" w:rsidRPr="00795698">
        <w:rPr>
          <w:rFonts w:ascii="Garamond" w:hAnsi="Garamond"/>
        </w:rPr>
        <w:t>–</w:t>
      </w:r>
      <w:r w:rsidRPr="00795698">
        <w:rPr>
          <w:rFonts w:ascii="Garamond" w:hAnsi="Garamond"/>
        </w:rPr>
        <w:t xml:space="preserve"> </w:t>
      </w:r>
      <w:r w:rsidR="00DF19B0" w:rsidRPr="00795698">
        <w:rPr>
          <w:rFonts w:ascii="Garamond" w:hAnsi="Garamond"/>
        </w:rPr>
        <w:t>t</w:t>
      </w:r>
      <w:r w:rsidRPr="00795698">
        <w:rPr>
          <w:rFonts w:ascii="Garamond" w:hAnsi="Garamond"/>
        </w:rPr>
        <w:t>ë</w:t>
      </w:r>
      <w:r w:rsidR="00DF19B0" w:rsidRPr="00795698">
        <w:rPr>
          <w:rFonts w:ascii="Garamond" w:hAnsi="Garamond"/>
        </w:rPr>
        <w:t xml:space="preserve"> </w:t>
      </w:r>
      <w:r w:rsidRPr="00795698">
        <w:rPr>
          <w:rFonts w:ascii="Garamond" w:hAnsi="Garamond"/>
        </w:rPr>
        <w:t>planifikojë detyra bashkëveprimi me strukturat e tjera të zbatimit të ligjit në funksion të garantimit të sigurisë dhe të rendit publik në porte dhe aeroporte, duke përfshirë dhe masat në kuadër të luftës kundër terrorizmit.</w:t>
      </w:r>
    </w:p>
    <w:p w14:paraId="5FEEFA25" w14:textId="0A827744" w:rsidR="00893E99" w:rsidRPr="00795698" w:rsidRDefault="00893E99" w:rsidP="00893E99">
      <w:pPr>
        <w:shd w:val="clear" w:color="auto" w:fill="FFFFFF"/>
        <w:ind w:firstLine="284"/>
        <w:jc w:val="both"/>
        <w:rPr>
          <w:rFonts w:ascii="Garamond" w:hAnsi="Garamond"/>
          <w:b/>
          <w:i/>
        </w:rPr>
      </w:pPr>
      <w:r w:rsidRPr="00795698">
        <w:rPr>
          <w:rFonts w:ascii="Garamond" w:hAnsi="Garamond"/>
          <w:b/>
          <w:i/>
        </w:rPr>
        <w:t xml:space="preserve">Drejtoria e Përgjithshme e Tatimeve </w:t>
      </w:r>
      <w:r w:rsidR="00DF19B0" w:rsidRPr="00795698">
        <w:rPr>
          <w:rFonts w:ascii="Garamond" w:hAnsi="Garamond"/>
          <w:i/>
        </w:rPr>
        <w:t>–</w:t>
      </w:r>
      <w:r w:rsidRPr="00795698">
        <w:rPr>
          <w:rFonts w:ascii="Garamond" w:hAnsi="Garamond"/>
          <w:i/>
        </w:rPr>
        <w:t xml:space="preserve"> </w:t>
      </w:r>
      <w:r w:rsidR="00DF19B0" w:rsidRPr="00795698">
        <w:rPr>
          <w:rFonts w:ascii="Garamond" w:hAnsi="Garamond"/>
        </w:rPr>
        <w:t>t</w:t>
      </w:r>
      <w:r w:rsidRPr="00795698">
        <w:rPr>
          <w:rFonts w:ascii="Garamond" w:hAnsi="Garamond"/>
        </w:rPr>
        <w:t>ë</w:t>
      </w:r>
      <w:r w:rsidR="00DF19B0" w:rsidRPr="00795698">
        <w:rPr>
          <w:rFonts w:ascii="Garamond" w:hAnsi="Garamond"/>
        </w:rPr>
        <w:t xml:space="preserve"> </w:t>
      </w:r>
      <w:r w:rsidRPr="00795698">
        <w:rPr>
          <w:rFonts w:ascii="Garamond" w:hAnsi="Garamond"/>
        </w:rPr>
        <w:t>planifikojë detyra për identifikimin e rasteve të pastrimit të parave, si dhe të krimeve në fushën ekonomike në kuadër të luftës kundër terrorizmit.</w:t>
      </w:r>
    </w:p>
    <w:p w14:paraId="5FEEFA26" w14:textId="1F284D87" w:rsidR="00893E99" w:rsidRPr="00795698" w:rsidRDefault="00893E99" w:rsidP="00893E99">
      <w:pPr>
        <w:shd w:val="clear" w:color="auto" w:fill="FFFFFF"/>
        <w:ind w:firstLine="284"/>
        <w:jc w:val="both"/>
        <w:rPr>
          <w:rFonts w:ascii="Garamond" w:hAnsi="Garamond"/>
          <w:b/>
        </w:rPr>
      </w:pPr>
      <w:r w:rsidRPr="00795698">
        <w:rPr>
          <w:rFonts w:ascii="Garamond" w:hAnsi="Garamond"/>
          <w:b/>
          <w:i/>
        </w:rPr>
        <w:t>Banka e Shqipërisë</w:t>
      </w:r>
      <w:r w:rsidRPr="00795698">
        <w:rPr>
          <w:rFonts w:ascii="Garamond" w:hAnsi="Garamond"/>
          <w:b/>
        </w:rPr>
        <w:t xml:space="preserve"> </w:t>
      </w:r>
      <w:r w:rsidR="00DF19B0" w:rsidRPr="00795698">
        <w:rPr>
          <w:rFonts w:ascii="Garamond" w:hAnsi="Garamond"/>
          <w:b/>
        </w:rPr>
        <w:t>–</w:t>
      </w:r>
      <w:r w:rsidRPr="00795698">
        <w:rPr>
          <w:rFonts w:ascii="Garamond" w:hAnsi="Garamond"/>
          <w:b/>
        </w:rPr>
        <w:t xml:space="preserve"> </w:t>
      </w:r>
      <w:r w:rsidR="00DF19B0" w:rsidRPr="00795698">
        <w:rPr>
          <w:rFonts w:ascii="Garamond" w:hAnsi="Garamond"/>
        </w:rPr>
        <w:t>t</w:t>
      </w:r>
      <w:r w:rsidRPr="00795698">
        <w:rPr>
          <w:rFonts w:ascii="Garamond" w:hAnsi="Garamond"/>
        </w:rPr>
        <w:t>ë</w:t>
      </w:r>
      <w:r w:rsidR="00DF19B0" w:rsidRPr="00795698">
        <w:rPr>
          <w:rFonts w:ascii="Garamond" w:hAnsi="Garamond"/>
        </w:rPr>
        <w:t xml:space="preserve"> </w:t>
      </w:r>
      <w:r w:rsidRPr="00795698">
        <w:rPr>
          <w:rFonts w:ascii="Garamond" w:hAnsi="Garamond"/>
        </w:rPr>
        <w:t>planifikojë inspektime</w:t>
      </w:r>
      <w:r w:rsidR="007C064A" w:rsidRPr="00795698">
        <w:rPr>
          <w:rFonts w:ascii="Garamond" w:hAnsi="Garamond"/>
        </w:rPr>
        <w:t xml:space="preserve"> </w:t>
      </w:r>
      <w:r w:rsidRPr="00795698">
        <w:rPr>
          <w:rFonts w:ascii="Garamond" w:hAnsi="Garamond"/>
        </w:rPr>
        <w:t>për subjekte nën juridiksionin e saj, detyra për kontrolluar zbatimin e programeve të luftës kundër pastrimit të parave dhe financimit të terrorizmit.</w:t>
      </w:r>
    </w:p>
    <w:p w14:paraId="5FEEFA27" w14:textId="25EFD0A0" w:rsidR="00893E99" w:rsidRPr="00795698" w:rsidRDefault="00893E99" w:rsidP="00893E99">
      <w:pPr>
        <w:shd w:val="clear" w:color="auto" w:fill="FFFFFF"/>
        <w:ind w:firstLine="284"/>
        <w:jc w:val="both"/>
        <w:rPr>
          <w:rFonts w:ascii="Garamond" w:hAnsi="Garamond"/>
          <w:b/>
        </w:rPr>
      </w:pPr>
      <w:r w:rsidRPr="00795698">
        <w:rPr>
          <w:rFonts w:ascii="Garamond" w:hAnsi="Garamond"/>
          <w:b/>
          <w:i/>
        </w:rPr>
        <w:t>Ministria përgjegjëse për mbrojtjen</w:t>
      </w:r>
      <w:r w:rsidRPr="00795698">
        <w:rPr>
          <w:rFonts w:ascii="Garamond" w:hAnsi="Garamond"/>
          <w:b/>
        </w:rPr>
        <w:t xml:space="preserve"> </w:t>
      </w:r>
      <w:r w:rsidR="00DF19B0" w:rsidRPr="00795698">
        <w:rPr>
          <w:rFonts w:ascii="Garamond" w:hAnsi="Garamond"/>
          <w:b/>
        </w:rPr>
        <w:t xml:space="preserve">– </w:t>
      </w:r>
      <w:r w:rsidR="00DF19B0" w:rsidRPr="00795698">
        <w:rPr>
          <w:rFonts w:ascii="Garamond" w:hAnsi="Garamond"/>
        </w:rPr>
        <w:t>t</w:t>
      </w:r>
      <w:r w:rsidRPr="00795698">
        <w:rPr>
          <w:rFonts w:ascii="Garamond" w:hAnsi="Garamond"/>
        </w:rPr>
        <w:t>ë</w:t>
      </w:r>
      <w:r w:rsidR="00DF19B0" w:rsidRPr="00795698">
        <w:rPr>
          <w:rFonts w:ascii="Garamond" w:hAnsi="Garamond"/>
        </w:rPr>
        <w:t xml:space="preserve"> </w:t>
      </w:r>
      <w:r w:rsidRPr="00795698">
        <w:rPr>
          <w:rFonts w:ascii="Garamond" w:hAnsi="Garamond"/>
        </w:rPr>
        <w:t>hartojë detyra të veçanta për arritjen e objektivave të strategjisë për këtë institucion, sidomos në drejtim të shkëmbimit të informacionit, në krijimin e kapaciteteve dhe aseteve ushtarake,</w:t>
      </w:r>
      <w:r w:rsidR="007C064A" w:rsidRPr="00795698">
        <w:rPr>
          <w:rFonts w:ascii="Garamond" w:hAnsi="Garamond"/>
        </w:rPr>
        <w:t xml:space="preserve"> </w:t>
      </w:r>
      <w:r w:rsidRPr="00795698">
        <w:rPr>
          <w:rFonts w:ascii="Garamond" w:hAnsi="Garamond"/>
        </w:rPr>
        <w:t>për përdorim të integruar të tyre edhe nga institucionet e tjera shtetërore, si dhe për vënien e tyre në dispozicion të organizmave ndërkombëtare në kuadër të luftës kundër terrorizimit.</w:t>
      </w:r>
    </w:p>
    <w:p w14:paraId="5FEEFA28" w14:textId="2F769CBE"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i/>
          <w:lang w:val="sq-AL"/>
        </w:rPr>
        <w:t>Agjencia e Inteligjencës</w:t>
      </w:r>
      <w:r w:rsidR="007C064A" w:rsidRPr="00795698">
        <w:rPr>
          <w:rFonts w:ascii="Garamond" w:hAnsi="Garamond"/>
          <w:b/>
          <w:i/>
          <w:lang w:val="sq-AL"/>
        </w:rPr>
        <w:t xml:space="preserve"> </w:t>
      </w:r>
      <w:r w:rsidRPr="00795698">
        <w:rPr>
          <w:rFonts w:ascii="Garamond" w:hAnsi="Garamond"/>
          <w:b/>
          <w:i/>
          <w:lang w:val="sq-AL"/>
        </w:rPr>
        <w:t>dhe Sigurisë</w:t>
      </w:r>
      <w:r w:rsidR="007C064A" w:rsidRPr="00795698">
        <w:rPr>
          <w:rFonts w:ascii="Garamond" w:hAnsi="Garamond"/>
          <w:b/>
          <w:i/>
          <w:lang w:val="sq-AL"/>
        </w:rPr>
        <w:t xml:space="preserve"> </w:t>
      </w:r>
      <w:r w:rsidRPr="00795698">
        <w:rPr>
          <w:rFonts w:ascii="Garamond" w:hAnsi="Garamond"/>
          <w:b/>
          <w:i/>
          <w:lang w:val="sq-AL"/>
        </w:rPr>
        <w:t>së Mbrojtjes</w:t>
      </w:r>
      <w:r w:rsidRPr="00795698">
        <w:rPr>
          <w:rFonts w:ascii="Garamond" w:hAnsi="Garamond"/>
          <w:lang w:val="sq-AL"/>
        </w:rPr>
        <w:t xml:space="preserve"> </w:t>
      </w:r>
      <w:r w:rsidR="00DF19B0" w:rsidRPr="00795698">
        <w:rPr>
          <w:rFonts w:ascii="Garamond" w:hAnsi="Garamond"/>
          <w:lang w:val="sq-AL"/>
        </w:rPr>
        <w:t>–</w:t>
      </w:r>
      <w:r w:rsidRPr="00795698">
        <w:rPr>
          <w:rFonts w:ascii="Garamond" w:hAnsi="Garamond"/>
          <w:lang w:val="sq-AL"/>
        </w:rPr>
        <w:t xml:space="preserve"> </w:t>
      </w:r>
      <w:r w:rsidR="00DF19B0" w:rsidRPr="00795698">
        <w:rPr>
          <w:rFonts w:ascii="Garamond" w:hAnsi="Garamond"/>
          <w:lang w:val="sq-AL"/>
        </w:rPr>
        <w:t>t</w:t>
      </w:r>
      <w:r w:rsidRPr="00795698">
        <w:rPr>
          <w:rFonts w:ascii="Garamond" w:hAnsi="Garamond"/>
          <w:lang w:val="sq-AL"/>
        </w:rPr>
        <w:t>ë</w:t>
      </w:r>
      <w:r w:rsidR="00DF19B0" w:rsidRPr="00795698">
        <w:rPr>
          <w:rFonts w:ascii="Garamond" w:hAnsi="Garamond"/>
          <w:lang w:val="sq-AL"/>
        </w:rPr>
        <w:t xml:space="preserve"> </w:t>
      </w:r>
      <w:r w:rsidRPr="00795698">
        <w:rPr>
          <w:rFonts w:ascii="Garamond" w:hAnsi="Garamond"/>
          <w:lang w:val="sq-AL"/>
        </w:rPr>
        <w:t xml:space="preserve">hartojë objektiva dhe aktivitete për përmirësimin e </w:t>
      </w:r>
      <w:r w:rsidRPr="00795698">
        <w:rPr>
          <w:rFonts w:ascii="Garamond" w:eastAsia="Calibri" w:hAnsi="Garamond"/>
          <w:lang w:val="sq-AL"/>
        </w:rPr>
        <w:t>metodave</w:t>
      </w:r>
      <w:r w:rsidR="007C064A" w:rsidRPr="00795698">
        <w:rPr>
          <w:rFonts w:ascii="Garamond" w:eastAsia="Calibri" w:hAnsi="Garamond"/>
          <w:lang w:val="sq-AL"/>
        </w:rPr>
        <w:t xml:space="preserve"> </w:t>
      </w:r>
      <w:r w:rsidRPr="00795698">
        <w:rPr>
          <w:rFonts w:ascii="Garamond" w:eastAsia="Calibri" w:hAnsi="Garamond"/>
          <w:lang w:val="sq-AL"/>
        </w:rPr>
        <w:t>teknike/speciale</w:t>
      </w:r>
      <w:r w:rsidRPr="00795698">
        <w:rPr>
          <w:rFonts w:ascii="Garamond" w:hAnsi="Garamond"/>
          <w:lang w:val="sq-AL"/>
        </w:rPr>
        <w:t xml:space="preserve"> për </w:t>
      </w:r>
      <w:r w:rsidRPr="00795698">
        <w:rPr>
          <w:rFonts w:ascii="Garamond" w:eastAsia="Calibri" w:hAnsi="Garamond"/>
          <w:lang w:val="sq-AL"/>
        </w:rPr>
        <w:t>mbledhjen, analizimin dhe shpërndarjen e informacioneve me qëllim të parandalimit të aktiviteteve terroriste që zhvillohen në dëm të sigurisë së Forcave të Armatosura të Republikës së Shqipërisë dhe</w:t>
      </w:r>
      <w:r w:rsidR="007C064A" w:rsidRPr="00795698">
        <w:rPr>
          <w:rFonts w:ascii="Garamond" w:eastAsia="Calibri" w:hAnsi="Garamond"/>
          <w:lang w:val="sq-AL"/>
        </w:rPr>
        <w:t xml:space="preserve"> </w:t>
      </w:r>
      <w:r w:rsidRPr="00795698">
        <w:rPr>
          <w:rFonts w:ascii="Garamond" w:eastAsia="Calibri" w:hAnsi="Garamond"/>
          <w:lang w:val="sq-AL"/>
        </w:rPr>
        <w:t xml:space="preserve">vendeve partnere dhe atyre aleate brenda </w:t>
      </w:r>
      <w:r w:rsidRPr="00795698">
        <w:rPr>
          <w:rFonts w:ascii="Garamond" w:eastAsia="Calibri" w:hAnsi="Garamond"/>
          <w:lang w:val="sq-AL"/>
        </w:rPr>
        <w:lastRenderedPageBreak/>
        <w:t xml:space="preserve">kuadrit të tyre ligjor. </w:t>
      </w:r>
      <w:r w:rsidRPr="00795698">
        <w:rPr>
          <w:rFonts w:ascii="Garamond" w:hAnsi="Garamond"/>
          <w:lang w:val="sq-AL"/>
        </w:rPr>
        <w:t>Thellim të marrëdhënieve të bashkëpunimit institucional me agjencitë/institucionet që kanë detyra të luftës kundër terrorizmit brenda dhe jashtë vendit.</w:t>
      </w:r>
    </w:p>
    <w:p w14:paraId="5FEEFA29" w14:textId="1031F86F" w:rsidR="00893E99" w:rsidRPr="00795698" w:rsidRDefault="00893E99" w:rsidP="00893E99">
      <w:pPr>
        <w:pStyle w:val="NoSpacing"/>
        <w:shd w:val="clear" w:color="auto" w:fill="FFFFFF"/>
        <w:ind w:firstLine="284"/>
        <w:jc w:val="both"/>
        <w:rPr>
          <w:rFonts w:ascii="Garamond" w:hAnsi="Garamond"/>
          <w:b/>
          <w:i/>
          <w:lang w:val="sq-AL"/>
        </w:rPr>
      </w:pPr>
      <w:r w:rsidRPr="00795698">
        <w:rPr>
          <w:rFonts w:ascii="Garamond" w:hAnsi="Garamond"/>
          <w:b/>
          <w:i/>
          <w:lang w:val="sq-AL"/>
        </w:rPr>
        <w:t xml:space="preserve">Forcat e Armatosura </w:t>
      </w:r>
      <w:r w:rsidR="00DF19B0" w:rsidRPr="00795698">
        <w:rPr>
          <w:rFonts w:ascii="Garamond" w:hAnsi="Garamond"/>
          <w:b/>
          <w:i/>
          <w:lang w:val="sq-AL"/>
        </w:rPr>
        <w:t>–</w:t>
      </w:r>
      <w:r w:rsidRPr="00795698">
        <w:rPr>
          <w:rFonts w:ascii="Garamond" w:hAnsi="Garamond"/>
          <w:b/>
          <w:i/>
          <w:lang w:val="sq-AL"/>
        </w:rPr>
        <w:t xml:space="preserve"> </w:t>
      </w:r>
      <w:r w:rsidR="00DF19B0" w:rsidRPr="00795698">
        <w:rPr>
          <w:rFonts w:ascii="Garamond" w:hAnsi="Garamond"/>
          <w:lang w:val="sq-AL"/>
        </w:rPr>
        <w:t>t</w:t>
      </w:r>
      <w:r w:rsidRPr="00795698">
        <w:rPr>
          <w:rFonts w:ascii="Garamond" w:hAnsi="Garamond"/>
          <w:lang w:val="sq-AL"/>
        </w:rPr>
        <w:t>ë hartojë objektiva dhe aktivitete për ndërmarrjen e veprimeve operacionale në raste të incidenteve të ndodhura nga veprimtaria e akteve terroriste.</w:t>
      </w:r>
    </w:p>
    <w:p w14:paraId="5FEEFA2A" w14:textId="4BB300D7" w:rsidR="00893E99" w:rsidRPr="00795698" w:rsidRDefault="00893E99" w:rsidP="00893E99">
      <w:pPr>
        <w:shd w:val="clear" w:color="auto" w:fill="FFFFFF"/>
        <w:ind w:firstLine="284"/>
        <w:jc w:val="both"/>
        <w:rPr>
          <w:rFonts w:ascii="Garamond" w:hAnsi="Garamond"/>
        </w:rPr>
      </w:pPr>
      <w:r w:rsidRPr="00795698">
        <w:rPr>
          <w:rFonts w:ascii="Garamond" w:hAnsi="Garamond"/>
          <w:b/>
          <w:i/>
        </w:rPr>
        <w:t xml:space="preserve">Autoriteti i Kontrollit Shtetëror të Eksporteve </w:t>
      </w:r>
      <w:r w:rsidR="00DF19B0" w:rsidRPr="00795698">
        <w:rPr>
          <w:rFonts w:ascii="Garamond" w:hAnsi="Garamond"/>
          <w:b/>
          <w:i/>
        </w:rPr>
        <w:t>–</w:t>
      </w:r>
      <w:r w:rsidRPr="00795698">
        <w:rPr>
          <w:rFonts w:ascii="Garamond" w:hAnsi="Garamond"/>
          <w:b/>
          <w:i/>
        </w:rPr>
        <w:t xml:space="preserve"> </w:t>
      </w:r>
      <w:r w:rsidR="00DF19B0" w:rsidRPr="00795698">
        <w:rPr>
          <w:rFonts w:ascii="Garamond" w:hAnsi="Garamond"/>
        </w:rPr>
        <w:t>t</w:t>
      </w:r>
      <w:r w:rsidR="00FA0747" w:rsidRPr="00795698">
        <w:rPr>
          <w:rFonts w:ascii="Garamond" w:hAnsi="Garamond"/>
        </w:rPr>
        <w:t>ë</w:t>
      </w:r>
      <w:r w:rsidR="00DF19B0" w:rsidRPr="00795698">
        <w:rPr>
          <w:rFonts w:ascii="Garamond" w:hAnsi="Garamond"/>
        </w:rPr>
        <w:t xml:space="preserve"> </w:t>
      </w:r>
      <w:r w:rsidR="00FA0747" w:rsidRPr="00795698">
        <w:rPr>
          <w:rFonts w:ascii="Garamond" w:hAnsi="Garamond"/>
        </w:rPr>
        <w:t xml:space="preserve">hartojë objektiva dhe </w:t>
      </w:r>
      <w:r w:rsidRPr="00795698">
        <w:rPr>
          <w:rFonts w:ascii="Garamond" w:hAnsi="Garamond"/>
        </w:rPr>
        <w:t>aktivitete për zbatimin e regjimit dhe marrëvesh</w:t>
      </w:r>
      <w:r w:rsidR="00FA0747" w:rsidRPr="00795698">
        <w:rPr>
          <w:rFonts w:ascii="Garamond" w:hAnsi="Garamond"/>
        </w:rPr>
        <w:t xml:space="preserve">jeve ndërkombëtare në fushën e </w:t>
      </w:r>
      <w:r w:rsidRPr="00795698">
        <w:rPr>
          <w:rFonts w:ascii="Garamond" w:hAnsi="Garamond"/>
        </w:rPr>
        <w:t>mospërhapjes së armëve të shkatërrimit në masë.</w:t>
      </w:r>
      <w:r w:rsidR="007C064A" w:rsidRPr="00795698">
        <w:rPr>
          <w:rFonts w:ascii="Garamond" w:hAnsi="Garamond"/>
        </w:rPr>
        <w:t xml:space="preserve"> </w:t>
      </w:r>
    </w:p>
    <w:p w14:paraId="5FEEFA2B" w14:textId="4D7C4011" w:rsidR="00893E99" w:rsidRPr="00795698" w:rsidRDefault="00893E99" w:rsidP="00893E99">
      <w:pPr>
        <w:shd w:val="clear" w:color="auto" w:fill="FFFFFF"/>
        <w:ind w:firstLine="284"/>
        <w:jc w:val="both"/>
        <w:rPr>
          <w:rFonts w:ascii="Garamond" w:hAnsi="Garamond"/>
        </w:rPr>
      </w:pPr>
      <w:r w:rsidRPr="00795698">
        <w:rPr>
          <w:rFonts w:ascii="Garamond" w:hAnsi="Garamond"/>
          <w:b/>
          <w:i/>
        </w:rPr>
        <w:t xml:space="preserve">Agjencia Kombëtare e Mbrojtjes Civile </w:t>
      </w:r>
      <w:r w:rsidR="00DF19B0" w:rsidRPr="00795698">
        <w:rPr>
          <w:rFonts w:ascii="Garamond" w:hAnsi="Garamond"/>
        </w:rPr>
        <w:t>–</w:t>
      </w:r>
      <w:r w:rsidRPr="00795698">
        <w:rPr>
          <w:rFonts w:ascii="Garamond" w:hAnsi="Garamond"/>
        </w:rPr>
        <w:t xml:space="preserve"> </w:t>
      </w:r>
      <w:r w:rsidR="00DF19B0" w:rsidRPr="00795698">
        <w:rPr>
          <w:rFonts w:ascii="Garamond" w:hAnsi="Garamond"/>
        </w:rPr>
        <w:t>t</w:t>
      </w:r>
      <w:r w:rsidRPr="00795698">
        <w:rPr>
          <w:rFonts w:ascii="Garamond" w:hAnsi="Garamond"/>
        </w:rPr>
        <w:t>ë</w:t>
      </w:r>
      <w:r w:rsidR="00DF19B0" w:rsidRPr="00795698">
        <w:rPr>
          <w:rFonts w:ascii="Garamond" w:hAnsi="Garamond"/>
        </w:rPr>
        <w:t xml:space="preserve"> </w:t>
      </w:r>
      <w:r w:rsidRPr="00795698">
        <w:rPr>
          <w:rFonts w:ascii="Garamond" w:hAnsi="Garamond"/>
        </w:rPr>
        <w:t>kontribuojë në zbatimin e kësaj strategjie nëpërmjet planifikimit të detyrave dhe aktiviteteve, të cilat ndihmojnë për përballimin e emergjencave civile dhe fatkeqësive, të shkaktuara si pasojë e akteve terroriste.</w:t>
      </w:r>
    </w:p>
    <w:p w14:paraId="5FEEFA2C" w14:textId="0B4CD0FB" w:rsidR="00893E99" w:rsidRPr="00795698" w:rsidRDefault="00893E99" w:rsidP="00893E99">
      <w:pPr>
        <w:shd w:val="clear" w:color="auto" w:fill="FFFFFF"/>
        <w:ind w:firstLine="284"/>
        <w:jc w:val="both"/>
        <w:rPr>
          <w:rFonts w:ascii="Garamond" w:hAnsi="Garamond"/>
          <w:b/>
        </w:rPr>
      </w:pPr>
      <w:r w:rsidRPr="00795698">
        <w:rPr>
          <w:rFonts w:ascii="Garamond" w:hAnsi="Garamond"/>
          <w:b/>
        </w:rPr>
        <w:t xml:space="preserve">Ministria përgjegjëse për </w:t>
      </w:r>
      <w:r w:rsidR="00DF19B0" w:rsidRPr="00795698">
        <w:rPr>
          <w:rFonts w:ascii="Garamond" w:hAnsi="Garamond"/>
          <w:b/>
        </w:rPr>
        <w:t>E</w:t>
      </w:r>
      <w:r w:rsidRPr="00795698">
        <w:rPr>
          <w:rFonts w:ascii="Garamond" w:hAnsi="Garamond"/>
          <w:b/>
        </w:rPr>
        <w:t>vropën dhe punët e jashtme:</w:t>
      </w:r>
    </w:p>
    <w:p w14:paraId="5FEEFA2D" w14:textId="77777777" w:rsidR="00893E99" w:rsidRPr="00795698" w:rsidRDefault="00893E99" w:rsidP="00893E99">
      <w:pPr>
        <w:shd w:val="clear" w:color="auto" w:fill="FFFFFF"/>
        <w:ind w:firstLine="284"/>
        <w:jc w:val="both"/>
        <w:rPr>
          <w:rFonts w:ascii="Garamond" w:hAnsi="Garamond"/>
        </w:rPr>
      </w:pPr>
      <w:r w:rsidRPr="00795698">
        <w:rPr>
          <w:rFonts w:ascii="Garamond" w:hAnsi="Garamond"/>
        </w:rPr>
        <w:t>Të ndihmojë me detyra të veçanta për arritjen e objektivave të kësaj strategjie, sidomos në fushën e bashkëpunimit të institucioneve shqiptare me homologët e huaj e organizatat ndërkombëtare.</w:t>
      </w:r>
    </w:p>
    <w:p w14:paraId="5FEEFA2E" w14:textId="77777777" w:rsidR="00893E99" w:rsidRPr="00795698" w:rsidRDefault="00893E99" w:rsidP="00893E99">
      <w:pPr>
        <w:shd w:val="clear" w:color="auto" w:fill="FFFFFF"/>
        <w:ind w:firstLine="284"/>
        <w:jc w:val="both"/>
        <w:rPr>
          <w:rFonts w:ascii="Garamond" w:hAnsi="Garamond"/>
          <w:b/>
        </w:rPr>
      </w:pPr>
      <w:r w:rsidRPr="00795698">
        <w:rPr>
          <w:rFonts w:ascii="Garamond" w:hAnsi="Garamond"/>
          <w:b/>
        </w:rPr>
        <w:t>Ministria përgjegjëse për arsimin dhe sportin:</w:t>
      </w:r>
    </w:p>
    <w:p w14:paraId="5FEEFA2F" w14:textId="77777777" w:rsidR="00893E99" w:rsidRPr="00795698" w:rsidRDefault="00893E99" w:rsidP="00893E99">
      <w:pPr>
        <w:shd w:val="clear" w:color="auto" w:fill="FFFFFF"/>
        <w:ind w:firstLine="284"/>
        <w:jc w:val="both"/>
        <w:rPr>
          <w:rFonts w:ascii="Garamond" w:hAnsi="Garamond"/>
        </w:rPr>
      </w:pPr>
      <w:r w:rsidRPr="00795698">
        <w:rPr>
          <w:rFonts w:ascii="Garamond" w:hAnsi="Garamond"/>
        </w:rPr>
        <w:t>Të marrë masa për zhvillimin e aktiviteteve mbi evidentimin dhe adresimin e problemeve në komunitet, për mënyrën e zgjidhjes së problemeve sociale, pasi një ndër arsyet e rekrutimit është dhe gjendja ekonomike e vështirë dhe niveli i ulët arsimor.</w:t>
      </w:r>
    </w:p>
    <w:p w14:paraId="5FEEFA30" w14:textId="77777777" w:rsidR="00893E99" w:rsidRPr="00795698" w:rsidRDefault="00893E99" w:rsidP="00893E99">
      <w:pPr>
        <w:shd w:val="clear" w:color="auto" w:fill="FFFFFF"/>
        <w:ind w:firstLine="284"/>
        <w:jc w:val="both"/>
        <w:rPr>
          <w:rFonts w:ascii="Garamond" w:hAnsi="Garamond"/>
          <w:b/>
        </w:rPr>
      </w:pPr>
      <w:r w:rsidRPr="00795698">
        <w:rPr>
          <w:rFonts w:ascii="Garamond" w:hAnsi="Garamond"/>
          <w:b/>
        </w:rPr>
        <w:t>Ministria përgjegjëse për mbrojtjen e mjedisit:</w:t>
      </w:r>
    </w:p>
    <w:p w14:paraId="5FEEFA31" w14:textId="3A715674" w:rsidR="00893E99" w:rsidRPr="00795698" w:rsidRDefault="00893E99" w:rsidP="00893E99">
      <w:pPr>
        <w:shd w:val="clear" w:color="auto" w:fill="FFFFFF"/>
        <w:ind w:firstLine="284"/>
        <w:jc w:val="both"/>
        <w:rPr>
          <w:rFonts w:ascii="Garamond" w:hAnsi="Garamond"/>
        </w:rPr>
      </w:pPr>
      <w:r w:rsidRPr="00795698">
        <w:rPr>
          <w:rFonts w:ascii="Garamond" w:hAnsi="Garamond"/>
        </w:rPr>
        <w:t xml:space="preserve">Të hartojë detyra për ndjekjen dhe të analizojë problemet mjedisore dhe vatrat e rrezikshme nga ku mund të vijnë pasoja infektive të rënda, duke informuar dhe marrë masat për </w:t>
      </w:r>
      <w:r w:rsidR="00DF19B0" w:rsidRPr="00795698">
        <w:rPr>
          <w:rFonts w:ascii="Garamond" w:hAnsi="Garamond"/>
        </w:rPr>
        <w:t>eliminimin</w:t>
      </w:r>
      <w:r w:rsidRPr="00795698">
        <w:rPr>
          <w:rFonts w:ascii="Garamond" w:hAnsi="Garamond"/>
        </w:rPr>
        <w:t xml:space="preserve"> dhe parandalimin e përhapjes së pasojave.</w:t>
      </w:r>
    </w:p>
    <w:p w14:paraId="5FEEFA32" w14:textId="77777777" w:rsidR="00893E99" w:rsidRPr="00795698" w:rsidRDefault="00893E99" w:rsidP="00893E99">
      <w:pPr>
        <w:shd w:val="clear" w:color="auto" w:fill="FFFFFF"/>
        <w:ind w:firstLine="284"/>
        <w:jc w:val="both"/>
        <w:rPr>
          <w:rFonts w:ascii="Garamond" w:hAnsi="Garamond"/>
          <w:b/>
        </w:rPr>
      </w:pPr>
      <w:r w:rsidRPr="00795698">
        <w:rPr>
          <w:rFonts w:ascii="Garamond" w:hAnsi="Garamond"/>
          <w:b/>
        </w:rPr>
        <w:t>Ministria e përgjegjëse për shëndetësinë:</w:t>
      </w:r>
    </w:p>
    <w:p w14:paraId="5FEEFA33" w14:textId="77777777" w:rsidR="00893E99" w:rsidRPr="00795698" w:rsidRDefault="00893E99" w:rsidP="00893E99">
      <w:pPr>
        <w:shd w:val="clear" w:color="auto" w:fill="FFFFFF"/>
        <w:ind w:firstLine="284"/>
        <w:jc w:val="both"/>
        <w:rPr>
          <w:rFonts w:ascii="Garamond" w:hAnsi="Garamond"/>
        </w:rPr>
      </w:pPr>
      <w:r w:rsidRPr="00795698">
        <w:rPr>
          <w:rFonts w:ascii="Garamond" w:hAnsi="Garamond"/>
        </w:rPr>
        <w:t xml:space="preserve">Të hartojë detyra për ndjekje me përparësi funksionimin e sistemit të njoftimit, izolimit apo transportimit (të mostrave biologjike), si dhe analizimin e medikamenteve për parandalimin e sëmundjeve ngjitëse me karakter të veçantë. </w:t>
      </w:r>
    </w:p>
    <w:p w14:paraId="5FEEFA34" w14:textId="015D0BEE" w:rsidR="00893E99" w:rsidRPr="00795698" w:rsidRDefault="00893E99" w:rsidP="00893E99">
      <w:pPr>
        <w:shd w:val="clear" w:color="auto" w:fill="FFFFFF"/>
        <w:ind w:firstLine="284"/>
        <w:jc w:val="both"/>
        <w:rPr>
          <w:rFonts w:ascii="Garamond" w:hAnsi="Garamond"/>
        </w:rPr>
      </w:pPr>
      <w:r w:rsidRPr="00795698">
        <w:rPr>
          <w:rFonts w:ascii="Garamond" w:hAnsi="Garamond"/>
          <w:b/>
          <w:i/>
        </w:rPr>
        <w:t xml:space="preserve">Komisioni i Mbrojtjes nga Rrezatimet </w:t>
      </w:r>
      <w:r w:rsidRPr="00795698">
        <w:rPr>
          <w:rFonts w:ascii="Garamond" w:hAnsi="Garamond"/>
          <w:b/>
        </w:rPr>
        <w:t xml:space="preserve">– </w:t>
      </w:r>
      <w:r w:rsidR="00DF19B0" w:rsidRPr="00795698">
        <w:rPr>
          <w:rFonts w:ascii="Garamond" w:hAnsi="Garamond"/>
        </w:rPr>
        <w:t>ë</w:t>
      </w:r>
      <w:r w:rsidRPr="00795698">
        <w:rPr>
          <w:rFonts w:ascii="Garamond" w:hAnsi="Garamond"/>
        </w:rPr>
        <w:t>shtë autoriteti kompetent kombëtar për mbrojtjen nga rrezatimet si dhe organi që rekomandon veprimet mbrojtëse për përballimin e emergjencave radiologjike. KMR në bashkëpunim me IFB dhe DPE dhe nëpërmjet Rrjetit Kombëtar të Monitorimit të Rrezatimeve” të riformulohet “KMR në bashkëpunim me IFBZ. IFBZ verifikon situatat e emergjencës dhe vlerëson ato nëpërmjet Rrjetit Kombëtar të Monitorimit të Rrezatimeve.</w:t>
      </w:r>
    </w:p>
    <w:p w14:paraId="5FEEFA35" w14:textId="5E2F24F7"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i/>
          <w:lang w:val="sq-AL"/>
        </w:rPr>
        <w:t xml:space="preserve">Zyra e Mbrojtjes nga Rrezatimet </w:t>
      </w:r>
      <w:r w:rsidRPr="00795698">
        <w:rPr>
          <w:rFonts w:ascii="Garamond" w:hAnsi="Garamond"/>
          <w:lang w:val="sq-AL"/>
        </w:rPr>
        <w:t xml:space="preserve">– </w:t>
      </w:r>
      <w:r w:rsidR="00DF19B0" w:rsidRPr="00795698">
        <w:rPr>
          <w:rFonts w:ascii="Garamond" w:hAnsi="Garamond"/>
          <w:lang w:val="sq-AL"/>
        </w:rPr>
        <w:t>t</w:t>
      </w:r>
      <w:r w:rsidRPr="00795698">
        <w:rPr>
          <w:rFonts w:ascii="Garamond" w:hAnsi="Garamond"/>
          <w:lang w:val="sq-AL"/>
        </w:rPr>
        <w:t>ë mbikëqyrë zbatimin e të gjitha rregullave dhe procedurave që lidhen me sigurinë në punën me burime të rrezatimeve jonizuese për shmangien e aksidenteve radiologjiketë hartojë dhe ndjekë detyrat në lidhje me sigurinë dhe sigurimin e burimeve radioaktive</w:t>
      </w:r>
    </w:p>
    <w:p w14:paraId="5FEEFA36" w14:textId="7E6754A3"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bCs/>
          <w:lang w:val="sq-AL"/>
        </w:rPr>
        <w:t xml:space="preserve">Instituti i Fizikës Bërthamore </w:t>
      </w:r>
      <w:r w:rsidR="00DF19B0" w:rsidRPr="00795698">
        <w:rPr>
          <w:rFonts w:ascii="Garamond" w:hAnsi="Garamond"/>
          <w:lang w:val="sq-AL"/>
        </w:rPr>
        <w:t>–</w:t>
      </w:r>
      <w:r w:rsidRPr="00795698">
        <w:rPr>
          <w:rFonts w:ascii="Garamond" w:hAnsi="Garamond"/>
          <w:lang w:val="sq-AL"/>
        </w:rPr>
        <w:t xml:space="preserve"> </w:t>
      </w:r>
      <w:r w:rsidR="00DF19B0" w:rsidRPr="00795698">
        <w:rPr>
          <w:rFonts w:ascii="Garamond" w:hAnsi="Garamond"/>
          <w:lang w:val="sq-AL"/>
        </w:rPr>
        <w:t>s</w:t>
      </w:r>
      <w:r w:rsidRPr="00795698">
        <w:rPr>
          <w:rFonts w:ascii="Garamond" w:hAnsi="Garamond"/>
          <w:lang w:val="sq-AL"/>
        </w:rPr>
        <w:t>iguron</w:t>
      </w:r>
      <w:r w:rsidR="00DF19B0" w:rsidRPr="00795698">
        <w:rPr>
          <w:rFonts w:ascii="Garamond" w:hAnsi="Garamond"/>
          <w:lang w:val="sq-AL"/>
        </w:rPr>
        <w:t xml:space="preserve"> </w:t>
      </w:r>
      <w:r w:rsidRPr="00795698">
        <w:rPr>
          <w:rFonts w:ascii="Garamond" w:hAnsi="Garamond"/>
          <w:lang w:val="sq-AL"/>
        </w:rPr>
        <w:t>të gjitha shërbimet e nevojshme teknike dhe shkencore për monitorimin e situatave emergjente gjatë çdo lloj aksidenti radiologjik nëpërmjet skuadrave të tij të emergjencave në terren dhe në laborator si dhe nëpërmjet informacionit të siguruar nga Rrjeti Kombëtar i Monitorimit të Rrezatimeve.</w:t>
      </w:r>
    </w:p>
    <w:p w14:paraId="5FEEFA38" w14:textId="77777777" w:rsidR="00893E99" w:rsidRPr="00795698" w:rsidRDefault="00893E99" w:rsidP="00893E99">
      <w:pPr>
        <w:pStyle w:val="NoSpacing"/>
        <w:shd w:val="clear" w:color="auto" w:fill="FFFFFF"/>
        <w:ind w:firstLine="284"/>
        <w:jc w:val="both"/>
        <w:rPr>
          <w:rFonts w:ascii="Garamond" w:hAnsi="Garamond"/>
          <w:b/>
          <w:lang w:val="sq-AL"/>
        </w:rPr>
      </w:pPr>
      <w:r w:rsidRPr="00795698">
        <w:rPr>
          <w:rFonts w:ascii="Garamond" w:hAnsi="Garamond"/>
          <w:b/>
          <w:lang w:val="sq-AL"/>
        </w:rPr>
        <w:t>Ministria përgjegjëse për çështjet e bujqësisë:</w:t>
      </w:r>
    </w:p>
    <w:p w14:paraId="5FEEFA39" w14:textId="77777777"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lang w:val="sq-AL"/>
        </w:rPr>
        <w:t>Të hartojë detyra për ndjekje për monitorimin e masave ligjore e normative për parandalimin e përhapjes së rrezikut bioterrorist kryesisht efekteve të sëmundjeve të ndryshme me origjinë mjedisore.</w:t>
      </w:r>
    </w:p>
    <w:p w14:paraId="5FEEFA3A" w14:textId="1F2AF27A" w:rsidR="00893E99" w:rsidRPr="00795698" w:rsidRDefault="00893E99" w:rsidP="00893E99">
      <w:pPr>
        <w:pStyle w:val="NoSpacing"/>
        <w:shd w:val="clear" w:color="auto" w:fill="FFFFFF"/>
        <w:ind w:firstLine="284"/>
        <w:jc w:val="both"/>
        <w:rPr>
          <w:rFonts w:ascii="Garamond" w:eastAsia="Calibri" w:hAnsi="Garamond"/>
          <w:b/>
          <w:bCs/>
          <w:lang w:val="sq-AL"/>
        </w:rPr>
      </w:pPr>
      <w:r w:rsidRPr="00795698">
        <w:rPr>
          <w:rFonts w:ascii="Garamond" w:eastAsia="Calibri" w:hAnsi="Garamond"/>
          <w:b/>
          <w:bCs/>
          <w:lang w:val="sq-AL"/>
        </w:rPr>
        <w:t xml:space="preserve">Struktura e Posaçme </w:t>
      </w:r>
      <w:r w:rsidR="00DF19B0" w:rsidRPr="00795698">
        <w:rPr>
          <w:rFonts w:ascii="Garamond" w:eastAsia="Calibri" w:hAnsi="Garamond"/>
          <w:b/>
          <w:bCs/>
          <w:lang w:val="sq-AL"/>
        </w:rPr>
        <w:t>k</w:t>
      </w:r>
      <w:r w:rsidRPr="00795698">
        <w:rPr>
          <w:rFonts w:ascii="Garamond" w:eastAsia="Calibri" w:hAnsi="Garamond"/>
          <w:b/>
          <w:bCs/>
          <w:lang w:val="sq-AL"/>
        </w:rPr>
        <w:t>undër Korrupsionit dhe Krimit të Organizuar (SPAK)</w:t>
      </w:r>
    </w:p>
    <w:p w14:paraId="5FEEFA3B" w14:textId="77777777"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eastAsia="Calibri" w:hAnsi="Garamond"/>
          <w:bCs/>
          <w:lang w:val="sq-AL"/>
        </w:rPr>
        <w:t xml:space="preserve">Si </w:t>
      </w:r>
      <w:r w:rsidRPr="00795698">
        <w:rPr>
          <w:rFonts w:ascii="Garamond" w:eastAsia="Calibri" w:hAnsi="Garamond"/>
          <w:lang w:val="sq-AL"/>
        </w:rPr>
        <w:t>institucion përgjegjës për hetimin, ndjekjen penale të terroristëve, ndëshkimin përfundimtar të tyre, konfiskimin e pasurisë dhe aseteve të fituara me anë të aktiviteteve terroriste.</w:t>
      </w:r>
    </w:p>
    <w:p w14:paraId="5FEEFA3C" w14:textId="2A8D0DD1"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lang w:val="sq-AL"/>
        </w:rPr>
        <w:t xml:space="preserve">Shërbimi Informativ Shtetëror – </w:t>
      </w:r>
      <w:r w:rsidR="00DF19B0" w:rsidRPr="00795698">
        <w:rPr>
          <w:rFonts w:ascii="Garamond" w:hAnsi="Garamond"/>
          <w:lang w:val="sq-AL"/>
        </w:rPr>
        <w:t xml:space="preserve">në </w:t>
      </w:r>
      <w:r w:rsidRPr="00795698">
        <w:rPr>
          <w:rFonts w:ascii="Garamond" w:hAnsi="Garamond"/>
          <w:lang w:val="sq-AL"/>
        </w:rPr>
        <w:t xml:space="preserve">përmbushje të misionit të tij ligjor të hartojë detyra për intensifikim të mbledhjes dhe përpunimit të informacionit në fushën e ekstremizmit të dhunshëm dhe terrorizmit, në funksion të vendimmarrjes strategjike, si dhe të paralajmërimit në kohë të </w:t>
      </w:r>
      <w:r w:rsidRPr="00795698">
        <w:rPr>
          <w:rFonts w:ascii="Garamond" w:hAnsi="Garamond"/>
          <w:lang w:val="sq-AL"/>
        </w:rPr>
        <w:lastRenderedPageBreak/>
        <w:t xml:space="preserve">organeve ligjzbatuese. Përgatitja periodike e vlerësimeve analitike mbi kërcënimin nga ekstremizmi i dhunshëm, terrorizmi në të gjitha format që shfaqet, si dhe sulmet hibride nga aktorë/entitete shtetërorë ose joshtetëror. Forcim i marrëdhënieve të bashkëpunimit me shërbimet partnere dhe strukturat e inteligjencës dhe sigurisë së NATO-s. Të rrisë bashkëpunimin me Policinë e Shtetit dhe strukturat e tjera ligjzbatuese, që janë të përfshira në luftën kundër ekstremizmit të dhunshëm dhe terrorizmit. </w:t>
      </w:r>
    </w:p>
    <w:p w14:paraId="5FEEFA3D" w14:textId="77777777" w:rsidR="00893E99" w:rsidRPr="00795698" w:rsidRDefault="00893E99" w:rsidP="00893E99">
      <w:pPr>
        <w:shd w:val="clear" w:color="auto" w:fill="FFFFFF"/>
        <w:ind w:firstLine="284"/>
        <w:jc w:val="both"/>
        <w:rPr>
          <w:rFonts w:ascii="Garamond" w:hAnsi="Garamond"/>
          <w:b/>
        </w:rPr>
      </w:pPr>
      <w:r w:rsidRPr="00795698">
        <w:rPr>
          <w:rFonts w:ascii="Garamond" w:hAnsi="Garamond"/>
          <w:b/>
        </w:rPr>
        <w:t>Ministria përgjegjëse për infrastrukturën dhe energjinë:</w:t>
      </w:r>
    </w:p>
    <w:p w14:paraId="5FEEFA3E" w14:textId="77777777" w:rsidR="00893E99" w:rsidRPr="00795698" w:rsidRDefault="00893E99" w:rsidP="00893E99">
      <w:pPr>
        <w:shd w:val="clear" w:color="auto" w:fill="FFFFFF"/>
        <w:ind w:firstLine="284"/>
        <w:jc w:val="both"/>
        <w:rPr>
          <w:rFonts w:ascii="Garamond" w:hAnsi="Garamond"/>
          <w:b/>
        </w:rPr>
      </w:pPr>
      <w:r w:rsidRPr="00795698">
        <w:rPr>
          <w:rFonts w:ascii="Garamond" w:hAnsi="Garamond"/>
        </w:rPr>
        <w:t>Të ndihmojë në planifikimin e detyrave për monitorimin dhe parandalimin e akteve terroriste ndaj infrastrukturës energjetike në vend.</w:t>
      </w:r>
    </w:p>
    <w:p w14:paraId="5FEEFA3F" w14:textId="77777777" w:rsidR="00893E99" w:rsidRPr="00795698" w:rsidRDefault="00893E99" w:rsidP="00893E99">
      <w:pPr>
        <w:shd w:val="clear" w:color="auto" w:fill="FFFFFF"/>
        <w:ind w:firstLine="284"/>
        <w:jc w:val="both"/>
        <w:rPr>
          <w:rFonts w:ascii="Garamond" w:hAnsi="Garamond"/>
        </w:rPr>
      </w:pPr>
      <w:r w:rsidRPr="00795698">
        <w:rPr>
          <w:rFonts w:ascii="Garamond" w:hAnsi="Garamond"/>
        </w:rPr>
        <w:t xml:space="preserve">Të hartojë aktivitete për koordinimin dhe zbatimin e masave përkatëse të sigurisë për parandalimin akteve dhe ndërhyrjeve të jashtëligjshme në aviacionin civil, transportin rrugor, hekurudhor dhe portual. </w:t>
      </w:r>
    </w:p>
    <w:p w14:paraId="5FEEFA40" w14:textId="2B410FBA" w:rsidR="00893E99" w:rsidRPr="00795698" w:rsidRDefault="00893E99" w:rsidP="00893E99">
      <w:pPr>
        <w:shd w:val="clear" w:color="auto" w:fill="FFFFFF"/>
        <w:ind w:firstLine="284"/>
        <w:jc w:val="both"/>
        <w:rPr>
          <w:rFonts w:ascii="Garamond" w:hAnsi="Garamond"/>
        </w:rPr>
      </w:pPr>
      <w:r w:rsidRPr="00795698">
        <w:rPr>
          <w:rFonts w:ascii="Garamond" w:hAnsi="Garamond"/>
        </w:rPr>
        <w:t>Të hartojë aktivitete në bashkëpunim me mekanizma të pushtetit lokal për parandalimin e akteve dhe ndërhyrjeve të jashtëligjshme në infrastrukturën e furnizimit me ujë të popullatës. Të hartojë aktivitete dhe detyra për ndjekje për monitorimin e</w:t>
      </w:r>
      <w:r w:rsidR="007C064A" w:rsidRPr="00795698">
        <w:rPr>
          <w:rFonts w:ascii="Garamond" w:hAnsi="Garamond"/>
        </w:rPr>
        <w:t xml:space="preserve"> </w:t>
      </w:r>
      <w:r w:rsidRPr="00795698">
        <w:rPr>
          <w:rFonts w:ascii="Garamond" w:hAnsi="Garamond"/>
        </w:rPr>
        <w:t>masave ligjore e normative për</w:t>
      </w:r>
      <w:r w:rsidR="007C064A" w:rsidRPr="00795698">
        <w:rPr>
          <w:rFonts w:ascii="Garamond" w:hAnsi="Garamond"/>
        </w:rPr>
        <w:t xml:space="preserve"> </w:t>
      </w:r>
      <w:r w:rsidRPr="00795698">
        <w:rPr>
          <w:rFonts w:ascii="Garamond" w:hAnsi="Garamond"/>
        </w:rPr>
        <w:t>koncesione</w:t>
      </w:r>
      <w:r w:rsidR="007C064A" w:rsidRPr="00795698">
        <w:rPr>
          <w:rFonts w:ascii="Garamond" w:hAnsi="Garamond"/>
        </w:rPr>
        <w:t xml:space="preserve"> </w:t>
      </w:r>
      <w:r w:rsidRPr="00795698">
        <w:rPr>
          <w:rFonts w:ascii="Garamond" w:hAnsi="Garamond"/>
        </w:rPr>
        <w:t>dhe</w:t>
      </w:r>
      <w:r w:rsidR="007C064A" w:rsidRPr="00795698">
        <w:rPr>
          <w:rFonts w:ascii="Garamond" w:hAnsi="Garamond"/>
        </w:rPr>
        <w:t xml:space="preserve"> </w:t>
      </w:r>
      <w:r w:rsidRPr="00795698">
        <w:rPr>
          <w:rFonts w:ascii="Garamond" w:hAnsi="Garamond"/>
        </w:rPr>
        <w:t>privatizime në</w:t>
      </w:r>
      <w:r w:rsidR="007C064A" w:rsidRPr="00795698">
        <w:rPr>
          <w:rFonts w:ascii="Garamond" w:hAnsi="Garamond"/>
        </w:rPr>
        <w:t xml:space="preserve"> </w:t>
      </w:r>
      <w:r w:rsidRPr="00795698">
        <w:rPr>
          <w:rFonts w:ascii="Garamond" w:hAnsi="Garamond"/>
        </w:rPr>
        <w:t>infrastrukturën</w:t>
      </w:r>
      <w:r w:rsidR="007C064A" w:rsidRPr="00795698">
        <w:rPr>
          <w:rFonts w:ascii="Garamond" w:hAnsi="Garamond"/>
        </w:rPr>
        <w:t xml:space="preserve"> </w:t>
      </w:r>
      <w:r w:rsidRPr="00795698">
        <w:rPr>
          <w:rFonts w:ascii="Garamond" w:hAnsi="Garamond"/>
        </w:rPr>
        <w:t>e rëndësishme në vend.</w:t>
      </w:r>
    </w:p>
    <w:p w14:paraId="5FEEFA41" w14:textId="77777777" w:rsidR="00893E99" w:rsidRPr="00795698" w:rsidRDefault="00893E99" w:rsidP="00893E99">
      <w:pPr>
        <w:shd w:val="clear" w:color="auto" w:fill="FFFFFF"/>
        <w:ind w:firstLine="284"/>
        <w:jc w:val="both"/>
        <w:rPr>
          <w:rFonts w:ascii="Garamond" w:hAnsi="Garamond"/>
        </w:rPr>
      </w:pPr>
      <w:r w:rsidRPr="00795698">
        <w:rPr>
          <w:rFonts w:ascii="Garamond" w:hAnsi="Garamond"/>
        </w:rPr>
        <w:t xml:space="preserve">Të kontribuojë në bashkëpunim me institucionet përkatëse në hartimin e masave normative dhe politikave për mbrojtjen e infrastrukturës kritike, objekteve të rëndësisë kombëtare dhe objekteve të rëndësisë së veçantë. </w:t>
      </w:r>
    </w:p>
    <w:p w14:paraId="5FEEFA42" w14:textId="52D6A080" w:rsidR="00893E99" w:rsidRPr="00795698" w:rsidRDefault="00893E99" w:rsidP="00893E99">
      <w:pPr>
        <w:pStyle w:val="NoSpacing"/>
        <w:shd w:val="clear" w:color="auto" w:fill="FFFFFF"/>
        <w:ind w:firstLine="284"/>
        <w:jc w:val="both"/>
        <w:rPr>
          <w:rFonts w:ascii="Garamond" w:hAnsi="Garamond"/>
          <w:lang w:val="sq-AL"/>
        </w:rPr>
      </w:pPr>
      <w:r w:rsidRPr="00795698">
        <w:rPr>
          <w:rFonts w:ascii="Garamond" w:hAnsi="Garamond"/>
          <w:b/>
          <w:i/>
          <w:lang w:val="sq-AL"/>
        </w:rPr>
        <w:t xml:space="preserve">Drejtoria e Përgjithshme e Shërbimeve të Transportit Rrugor </w:t>
      </w:r>
      <w:r w:rsidR="006D3973" w:rsidRPr="00795698">
        <w:rPr>
          <w:rFonts w:ascii="Garamond" w:hAnsi="Garamond"/>
          <w:lang w:val="sq-AL"/>
        </w:rPr>
        <w:t>– t</w:t>
      </w:r>
      <w:r w:rsidRPr="00795698">
        <w:rPr>
          <w:rFonts w:ascii="Garamond" w:hAnsi="Garamond"/>
          <w:lang w:val="sq-AL"/>
        </w:rPr>
        <w:t>ë</w:t>
      </w:r>
      <w:r w:rsidR="006D3973" w:rsidRPr="00795698">
        <w:rPr>
          <w:rFonts w:ascii="Garamond" w:hAnsi="Garamond"/>
          <w:lang w:val="sq-AL"/>
        </w:rPr>
        <w:t xml:space="preserve"> </w:t>
      </w:r>
      <w:r w:rsidRPr="00795698">
        <w:rPr>
          <w:rFonts w:ascii="Garamond" w:hAnsi="Garamond"/>
          <w:lang w:val="sq-AL"/>
        </w:rPr>
        <w:t>hartojë aktivitete për ndjekjen dhe zbatimin e rregullave standarde të kontrollit, duke garantuar kryerjen e veprimtarisë se transportit rrugor të mallrave t</w:t>
      </w:r>
      <w:r w:rsidR="007265E9" w:rsidRPr="00795698">
        <w:rPr>
          <w:rFonts w:ascii="Garamond" w:hAnsi="Garamond"/>
          <w:lang w:val="sq-AL"/>
        </w:rPr>
        <w:t>ë</w:t>
      </w:r>
      <w:r w:rsidRPr="00795698">
        <w:rPr>
          <w:rFonts w:ascii="Garamond" w:hAnsi="Garamond"/>
          <w:lang w:val="sq-AL"/>
        </w:rPr>
        <w:t xml:space="preserve"> rrezikshme, sipas kuadrit ligjor në fuqi në përputhje me standardet evropiane.</w:t>
      </w:r>
    </w:p>
    <w:p w14:paraId="5FEEFA43" w14:textId="282327C7" w:rsidR="00893E99" w:rsidRPr="00795698" w:rsidRDefault="00893E99" w:rsidP="00893E99">
      <w:pPr>
        <w:pStyle w:val="NoSpacing"/>
        <w:shd w:val="clear" w:color="auto" w:fill="FFFFFF"/>
        <w:ind w:firstLine="284"/>
        <w:jc w:val="both"/>
        <w:rPr>
          <w:rFonts w:ascii="Garamond" w:hAnsi="Garamond"/>
          <w:b/>
          <w:i/>
          <w:lang w:val="sq-AL"/>
        </w:rPr>
      </w:pPr>
      <w:r w:rsidRPr="00795698">
        <w:rPr>
          <w:rFonts w:ascii="Garamond" w:hAnsi="Garamond"/>
          <w:b/>
          <w:i/>
          <w:lang w:val="sq-AL"/>
        </w:rPr>
        <w:t xml:space="preserve">Forca e Sigurisë Portuale </w:t>
      </w:r>
      <w:r w:rsidR="006D3973" w:rsidRPr="00795698">
        <w:rPr>
          <w:rFonts w:ascii="Garamond" w:hAnsi="Garamond"/>
          <w:i/>
          <w:lang w:val="sq-AL"/>
        </w:rPr>
        <w:t>–</w:t>
      </w:r>
      <w:r w:rsidRPr="00795698">
        <w:rPr>
          <w:rFonts w:ascii="Garamond" w:hAnsi="Garamond"/>
          <w:i/>
          <w:lang w:val="sq-AL"/>
        </w:rPr>
        <w:t xml:space="preserve"> </w:t>
      </w:r>
      <w:r w:rsidR="006D3973" w:rsidRPr="00795698">
        <w:rPr>
          <w:rFonts w:ascii="Garamond" w:hAnsi="Garamond"/>
          <w:lang w:val="sq-AL"/>
        </w:rPr>
        <w:t>t</w:t>
      </w:r>
      <w:r w:rsidRPr="00795698">
        <w:rPr>
          <w:rFonts w:ascii="Garamond" w:hAnsi="Garamond"/>
          <w:lang w:val="sq-AL"/>
        </w:rPr>
        <w:t>ë</w:t>
      </w:r>
      <w:r w:rsidR="006D3973" w:rsidRPr="00795698">
        <w:rPr>
          <w:rFonts w:ascii="Garamond" w:hAnsi="Garamond"/>
          <w:lang w:val="sq-AL"/>
        </w:rPr>
        <w:t xml:space="preserve"> </w:t>
      </w:r>
      <w:r w:rsidRPr="00795698">
        <w:rPr>
          <w:rFonts w:ascii="Garamond" w:hAnsi="Garamond"/>
          <w:lang w:val="sq-AL"/>
        </w:rPr>
        <w:t>hartojë aktivitete për ndjekje për monitorimin e sistemeve elektronike të kontrollit të hyrjeve dhe daljeve të gjithë personave, si dhe sistemeve automatike të kontrollit të trafikut të mjeteve detare, që futen dhe dalin në territoret e porteve të Shqipërisë.</w:t>
      </w:r>
    </w:p>
    <w:p w14:paraId="5FEEFA44" w14:textId="5B34F66D" w:rsidR="00893E99" w:rsidRPr="00795698" w:rsidRDefault="00893E99" w:rsidP="00893E99">
      <w:pPr>
        <w:shd w:val="clear" w:color="auto" w:fill="FFFFFF"/>
        <w:ind w:firstLine="284"/>
        <w:jc w:val="both"/>
        <w:rPr>
          <w:rFonts w:ascii="Garamond" w:hAnsi="Garamond"/>
        </w:rPr>
      </w:pPr>
      <w:r w:rsidRPr="00795698">
        <w:rPr>
          <w:rFonts w:ascii="Garamond" w:hAnsi="Garamond"/>
          <w:b/>
          <w:i/>
        </w:rPr>
        <w:t xml:space="preserve">Autoriteti Aviacionit Civil </w:t>
      </w:r>
      <w:r w:rsidR="006D3973" w:rsidRPr="00795698">
        <w:rPr>
          <w:rFonts w:ascii="Garamond" w:hAnsi="Garamond"/>
          <w:bCs/>
          <w:i/>
        </w:rPr>
        <w:t>–</w:t>
      </w:r>
      <w:r w:rsidRPr="00795698">
        <w:rPr>
          <w:rFonts w:ascii="Garamond" w:hAnsi="Garamond"/>
          <w:bCs/>
          <w:i/>
        </w:rPr>
        <w:t xml:space="preserve"> </w:t>
      </w:r>
      <w:r w:rsidR="006D3973" w:rsidRPr="00795698">
        <w:rPr>
          <w:rFonts w:ascii="Garamond" w:hAnsi="Garamond"/>
        </w:rPr>
        <w:t>t</w:t>
      </w:r>
      <w:r w:rsidRPr="00795698">
        <w:rPr>
          <w:rFonts w:ascii="Garamond" w:hAnsi="Garamond"/>
        </w:rPr>
        <w:t>ë</w:t>
      </w:r>
      <w:r w:rsidR="006D3973" w:rsidRPr="00795698">
        <w:rPr>
          <w:rFonts w:ascii="Garamond" w:hAnsi="Garamond"/>
        </w:rPr>
        <w:t xml:space="preserve"> </w:t>
      </w:r>
      <w:r w:rsidRPr="00795698">
        <w:rPr>
          <w:rFonts w:ascii="Garamond" w:hAnsi="Garamond"/>
        </w:rPr>
        <w:t>hartojë dhe të mbikëqyrë aktivitetet që lidhen me organizimin e sigurisë në aviacionin civil në zbatim të legjislacionit kombëtar në fuqi dhe në përputhje me standardet ndërkombëtare. Të ndërmarrë masat e nevojshme për zbatimin e Programit Kombëtar të Sigurisë në Aviacionin Civil.</w:t>
      </w:r>
    </w:p>
    <w:p w14:paraId="5FEEFA45" w14:textId="77777777" w:rsidR="00893E99" w:rsidRPr="00795698" w:rsidRDefault="00893E99" w:rsidP="00893E99">
      <w:pPr>
        <w:shd w:val="clear" w:color="auto" w:fill="FFFFFF"/>
        <w:ind w:firstLine="284"/>
        <w:jc w:val="both"/>
        <w:rPr>
          <w:rFonts w:ascii="Garamond" w:hAnsi="Garamond"/>
          <w:b/>
          <w:iCs/>
        </w:rPr>
      </w:pPr>
      <w:r w:rsidRPr="00795698">
        <w:rPr>
          <w:rFonts w:ascii="Garamond" w:hAnsi="Garamond"/>
          <w:b/>
          <w:iCs/>
        </w:rPr>
        <w:t xml:space="preserve">Inspektorati qëndror: </w:t>
      </w:r>
    </w:p>
    <w:p w14:paraId="5FEEFA46" w14:textId="4F123D48" w:rsidR="00893E99" w:rsidRPr="00795698" w:rsidRDefault="00893E99" w:rsidP="00893E99">
      <w:pPr>
        <w:shd w:val="clear" w:color="auto" w:fill="FFFFFF"/>
        <w:ind w:firstLine="284"/>
        <w:jc w:val="both"/>
        <w:rPr>
          <w:rFonts w:ascii="Garamond" w:hAnsi="Garamond"/>
        </w:rPr>
      </w:pPr>
      <w:r w:rsidRPr="00795698">
        <w:rPr>
          <w:rFonts w:ascii="Garamond" w:hAnsi="Garamond"/>
          <w:b/>
          <w:i/>
        </w:rPr>
        <w:t xml:space="preserve">Drejtoria e Inspektimit Hekurudhor </w:t>
      </w:r>
      <w:r w:rsidR="007265E9" w:rsidRPr="00795698">
        <w:rPr>
          <w:rFonts w:ascii="Garamond" w:hAnsi="Garamond"/>
        </w:rPr>
        <w:t>–</w:t>
      </w:r>
      <w:r w:rsidRPr="00795698">
        <w:rPr>
          <w:rFonts w:ascii="Garamond" w:hAnsi="Garamond"/>
        </w:rPr>
        <w:t xml:space="preserve"> </w:t>
      </w:r>
      <w:r w:rsidR="006D3973" w:rsidRPr="00795698">
        <w:rPr>
          <w:rFonts w:ascii="Garamond" w:hAnsi="Garamond"/>
        </w:rPr>
        <w:t>t</w:t>
      </w:r>
      <w:r w:rsidRPr="00795698">
        <w:rPr>
          <w:rFonts w:ascii="Garamond" w:hAnsi="Garamond"/>
        </w:rPr>
        <w:t>ë</w:t>
      </w:r>
      <w:r w:rsidR="007265E9" w:rsidRPr="00795698">
        <w:rPr>
          <w:rFonts w:ascii="Garamond" w:hAnsi="Garamond"/>
        </w:rPr>
        <w:t xml:space="preserve"> </w:t>
      </w:r>
      <w:r w:rsidRPr="00795698">
        <w:rPr>
          <w:rFonts w:ascii="Garamond" w:hAnsi="Garamond"/>
        </w:rPr>
        <w:t>hartojë aktivitete për ndjekje për forcimine mekanizmave për sigurinë dhe mbrojtjen e instalimeve kryesore, impianteve, objekteve të rëndësishme dhe mjetet e transportit publik (trena) për parandalimin e akteve terroriste.</w:t>
      </w:r>
    </w:p>
    <w:p w14:paraId="5FEEFA47" w14:textId="372FD138" w:rsidR="00893E99" w:rsidRPr="00795698" w:rsidRDefault="00893E99" w:rsidP="00893E99">
      <w:pPr>
        <w:pStyle w:val="NoSpacing"/>
        <w:shd w:val="clear" w:color="auto" w:fill="FFFFFF"/>
        <w:ind w:firstLine="284"/>
        <w:jc w:val="both"/>
        <w:rPr>
          <w:rFonts w:ascii="Garamond" w:hAnsi="Garamond"/>
          <w:b/>
          <w:lang w:val="sq-AL"/>
        </w:rPr>
      </w:pPr>
      <w:bookmarkStart w:id="121" w:name="_Hlk58795241"/>
      <w:r w:rsidRPr="00795698">
        <w:rPr>
          <w:rFonts w:ascii="Garamond" w:hAnsi="Garamond"/>
          <w:b/>
          <w:lang w:val="sq-AL"/>
        </w:rPr>
        <w:t xml:space="preserve">Autoriteti i Komunikimeve Elektronike dhe Postare (AKEP) </w:t>
      </w:r>
      <w:r w:rsidR="006D3973" w:rsidRPr="00795698">
        <w:rPr>
          <w:rFonts w:ascii="Garamond" w:hAnsi="Garamond"/>
          <w:b/>
          <w:lang w:val="sq-AL"/>
        </w:rPr>
        <w:t>–</w:t>
      </w:r>
      <w:r w:rsidR="007C064A" w:rsidRPr="00795698">
        <w:rPr>
          <w:rFonts w:ascii="Garamond" w:hAnsi="Garamond"/>
          <w:b/>
          <w:lang w:val="sq-AL"/>
        </w:rPr>
        <w:t xml:space="preserve"> </w:t>
      </w:r>
      <w:r w:rsidRPr="00795698">
        <w:rPr>
          <w:rFonts w:ascii="Garamond" w:hAnsi="Garamond"/>
          <w:lang w:val="sq-AL"/>
        </w:rPr>
        <w:t>si</w:t>
      </w:r>
      <w:r w:rsidR="006D3973" w:rsidRPr="00795698">
        <w:rPr>
          <w:rFonts w:ascii="Garamond" w:hAnsi="Garamond"/>
          <w:lang w:val="sq-AL"/>
        </w:rPr>
        <w:t xml:space="preserve"> </w:t>
      </w:r>
      <w:r w:rsidRPr="00795698">
        <w:rPr>
          <w:rFonts w:ascii="Garamond" w:hAnsi="Garamond"/>
          <w:lang w:val="sq-AL"/>
        </w:rPr>
        <w:t xml:space="preserve">institucioni rregullator dhe koordinues i rrjeteve të shpërndarjes së shërbimeve të komunikimeve elektronike, kryesisht shërbimeve të internetit dhe të telefonisë, të </w:t>
      </w:r>
      <w:r w:rsidR="006D3973" w:rsidRPr="00795698">
        <w:rPr>
          <w:rFonts w:ascii="Garamond" w:hAnsi="Garamond"/>
          <w:lang w:val="sq-AL"/>
        </w:rPr>
        <w:t>mbikëqyrë</w:t>
      </w:r>
      <w:r w:rsidRPr="00795698">
        <w:rPr>
          <w:rFonts w:ascii="Garamond" w:hAnsi="Garamond"/>
          <w:lang w:val="sq-AL"/>
        </w:rPr>
        <w:t xml:space="preserve"> sigurinë e rrjeteve fizike dhe infrastrukturave të internetit dhe telefonisë nga sulme të gjithfarëllojshme, përfshirë këtu edhe ato me synime terroriste, me qëllim parandalimin e</w:t>
      </w:r>
      <w:r w:rsidR="005E41AA" w:rsidRPr="00795698">
        <w:rPr>
          <w:rFonts w:ascii="Garamond" w:hAnsi="Garamond"/>
          <w:lang w:val="sq-AL"/>
        </w:rPr>
        <w:t xml:space="preserve"> ceni</w:t>
      </w:r>
      <w:r w:rsidRPr="00795698">
        <w:rPr>
          <w:rFonts w:ascii="Garamond" w:hAnsi="Garamond"/>
          <w:lang w:val="sq-AL"/>
        </w:rPr>
        <w:t>mit, paralizimit apo keqpërdorimit të rrjeteve dhe shërbimeve fizike përmes të cilëve personat juridikë, publikë apo privatë, si edhe qytetarët, kanë akses të pandërprerë dhe cilësor në përdorimin e internetit dhe të telefonisë.</w:t>
      </w:r>
    </w:p>
    <w:p w14:paraId="5FEEFA48" w14:textId="27567896" w:rsidR="00893E99" w:rsidRPr="00795698" w:rsidRDefault="00893E99" w:rsidP="00893E99">
      <w:pPr>
        <w:pStyle w:val="Heading2"/>
        <w:spacing w:before="0"/>
        <w:ind w:firstLine="284"/>
        <w:rPr>
          <w:rFonts w:ascii="Garamond" w:eastAsia="Calibri" w:hAnsi="Garamond"/>
          <w:color w:val="000000" w:themeColor="text1"/>
          <w:sz w:val="24"/>
          <w:szCs w:val="24"/>
        </w:rPr>
      </w:pPr>
      <w:bookmarkStart w:id="122" w:name="_Toc108644324"/>
      <w:bookmarkEnd w:id="121"/>
      <w:r w:rsidRPr="00795698">
        <w:rPr>
          <w:rFonts w:ascii="Garamond" w:eastAsia="Calibri" w:hAnsi="Garamond"/>
          <w:color w:val="000000" w:themeColor="text1"/>
          <w:sz w:val="24"/>
          <w:szCs w:val="24"/>
        </w:rPr>
        <w:t xml:space="preserve">4.3 Llogaridhënia dhe </w:t>
      </w:r>
      <w:r w:rsidR="006D3973" w:rsidRPr="00795698">
        <w:rPr>
          <w:rFonts w:ascii="Garamond" w:eastAsia="Calibri" w:hAnsi="Garamond"/>
          <w:color w:val="000000" w:themeColor="text1"/>
          <w:sz w:val="24"/>
          <w:szCs w:val="24"/>
        </w:rPr>
        <w:t>r</w:t>
      </w:r>
      <w:r w:rsidRPr="00795698">
        <w:rPr>
          <w:rFonts w:ascii="Garamond" w:eastAsia="Calibri" w:hAnsi="Garamond"/>
          <w:color w:val="000000" w:themeColor="text1"/>
          <w:sz w:val="24"/>
          <w:szCs w:val="24"/>
        </w:rPr>
        <w:t>aportimi</w:t>
      </w:r>
      <w:bookmarkEnd w:id="122"/>
    </w:p>
    <w:p w14:paraId="5FEEFA49" w14:textId="77777777" w:rsidR="00893E99" w:rsidRPr="00795698" w:rsidRDefault="00893E99" w:rsidP="00893E99">
      <w:pPr>
        <w:pStyle w:val="NoSpacing"/>
        <w:shd w:val="clear" w:color="auto" w:fill="FFFFFF"/>
        <w:ind w:firstLine="284"/>
        <w:jc w:val="both"/>
        <w:rPr>
          <w:rFonts w:ascii="Garamond" w:eastAsia="Calibri" w:hAnsi="Garamond"/>
          <w:b/>
          <w:color w:val="000000" w:themeColor="text1"/>
          <w:lang w:val="sq-AL"/>
        </w:rPr>
      </w:pPr>
      <w:r w:rsidRPr="00795698">
        <w:rPr>
          <w:rFonts w:ascii="Garamond" w:eastAsia="Calibri" w:hAnsi="Garamond"/>
          <w:b/>
          <w:color w:val="000000" w:themeColor="text1"/>
          <w:lang w:val="sq-AL"/>
        </w:rPr>
        <w:t>Llogaridhënia</w:t>
      </w:r>
    </w:p>
    <w:p w14:paraId="5FEEFA4A" w14:textId="77777777" w:rsidR="00893E99" w:rsidRPr="00795698" w:rsidRDefault="00893E99" w:rsidP="00893E99">
      <w:pPr>
        <w:pStyle w:val="NoSpacing"/>
        <w:shd w:val="clear" w:color="auto" w:fill="FFFFFF"/>
        <w:ind w:firstLine="284"/>
        <w:jc w:val="both"/>
        <w:rPr>
          <w:rFonts w:ascii="Garamond" w:eastAsia="Calibri" w:hAnsi="Garamond"/>
          <w:lang w:val="sq-AL"/>
        </w:rPr>
      </w:pPr>
      <w:r w:rsidRPr="00795698">
        <w:rPr>
          <w:rFonts w:ascii="Garamond" w:eastAsia="Calibri" w:hAnsi="Garamond"/>
          <w:lang w:val="sq-AL"/>
        </w:rPr>
        <w:t xml:space="preserve">Ministria e Brendshme është institucioni përgjegjës që udhëheq hartimin e kuadrit strategjik dhe politikave në fushën e parandalimit të ekstremizmit të dhunshëm dhe luftës kundër terrorizmit, si edhe koordinimin dhe bashkërendimin e institucioneve të përfshira në këtë strategji. </w:t>
      </w:r>
    </w:p>
    <w:p w14:paraId="5FEEFA4B" w14:textId="77777777" w:rsidR="00893E99" w:rsidRPr="00795698" w:rsidRDefault="00893E99" w:rsidP="00893E99">
      <w:pPr>
        <w:pStyle w:val="NoSpacing"/>
        <w:shd w:val="clear" w:color="auto" w:fill="FFFFFF"/>
        <w:ind w:firstLine="284"/>
        <w:jc w:val="both"/>
        <w:rPr>
          <w:rFonts w:ascii="Garamond" w:eastAsia="Calibri" w:hAnsi="Garamond"/>
          <w:lang w:val="sq-AL"/>
        </w:rPr>
      </w:pPr>
      <w:r w:rsidRPr="00795698">
        <w:rPr>
          <w:rFonts w:ascii="Garamond" w:eastAsia="Calibri" w:hAnsi="Garamond"/>
          <w:lang w:val="sq-AL"/>
        </w:rPr>
        <w:lastRenderedPageBreak/>
        <w:t>Përqasja dhe rishikimi i dokumentit strategjik do të jetë sipas kërkesave të VKM nr. 290, datë 11.4.2020, “Për krijimin e bazës së të dhënave shtetërore të sistemit informatik të planifikimit të integruar (SIPI/IPSIS), për të siguruar përputhshmërinë me Sistemin IPSIS”.</w:t>
      </w:r>
    </w:p>
    <w:p w14:paraId="5FEEFA4C" w14:textId="77777777" w:rsidR="00893E99" w:rsidRPr="00795698" w:rsidRDefault="00893E99" w:rsidP="00893E99">
      <w:pPr>
        <w:pStyle w:val="NoSpacing"/>
        <w:shd w:val="clear" w:color="auto" w:fill="FFFFFF"/>
        <w:ind w:firstLine="284"/>
        <w:jc w:val="both"/>
        <w:rPr>
          <w:rFonts w:ascii="Garamond" w:eastAsia="Calibri" w:hAnsi="Garamond"/>
          <w:lang w:val="sq-AL"/>
        </w:rPr>
      </w:pPr>
      <w:r w:rsidRPr="00795698">
        <w:rPr>
          <w:rFonts w:ascii="Garamond" w:eastAsia="Calibri" w:hAnsi="Garamond"/>
          <w:lang w:val="sq-AL"/>
        </w:rPr>
        <w:t>Procesi i llogaridhënies, monitorimit dhe analizës vlerësuese do të bëhet nga strukturat koordinuese, në nivel kombëtar, si më poshtë:</w:t>
      </w:r>
    </w:p>
    <w:p w14:paraId="5FEEFA4D" w14:textId="77777777" w:rsidR="00893E99" w:rsidRPr="00795698" w:rsidRDefault="00FA0747" w:rsidP="00FA0747">
      <w:pPr>
        <w:pStyle w:val="TEKSTIIIII"/>
        <w:rPr>
          <w:rFonts w:eastAsia="Calibri"/>
          <w:lang w:val="sq-AL"/>
        </w:rPr>
      </w:pPr>
      <w:r w:rsidRPr="00795698">
        <w:rPr>
          <w:rFonts w:eastAsia="Calibri"/>
          <w:lang w:val="sq-AL"/>
        </w:rPr>
        <w:t>-</w:t>
      </w:r>
      <w:r w:rsidR="003E1E3A" w:rsidRPr="00795698">
        <w:rPr>
          <w:rFonts w:eastAsia="Calibri"/>
          <w:lang w:val="sq-AL"/>
        </w:rPr>
        <w:t xml:space="preserve"> </w:t>
      </w:r>
      <w:r w:rsidR="00893E99" w:rsidRPr="00795698">
        <w:rPr>
          <w:rFonts w:eastAsia="Calibri"/>
          <w:lang w:val="sq-AL"/>
        </w:rPr>
        <w:t xml:space="preserve">Grupi i menaxhimit të integruar të politikave (GMIP); </w:t>
      </w:r>
    </w:p>
    <w:p w14:paraId="5FEEFA4E" w14:textId="77777777" w:rsidR="00893E99" w:rsidRPr="00795698" w:rsidRDefault="00FA0747" w:rsidP="00FA0747">
      <w:pPr>
        <w:pStyle w:val="TEKSTIIIII"/>
        <w:rPr>
          <w:rFonts w:eastAsia="Calibri"/>
          <w:lang w:val="sq-AL"/>
        </w:rPr>
      </w:pPr>
      <w:r w:rsidRPr="00795698">
        <w:rPr>
          <w:rFonts w:eastAsia="Calibri"/>
          <w:lang w:val="sq-AL"/>
        </w:rPr>
        <w:t>-</w:t>
      </w:r>
      <w:r w:rsidR="003E1E3A" w:rsidRPr="00795698">
        <w:rPr>
          <w:rFonts w:eastAsia="Calibri"/>
          <w:lang w:val="sq-AL"/>
        </w:rPr>
        <w:t xml:space="preserve"> </w:t>
      </w:r>
      <w:r w:rsidR="00893E99" w:rsidRPr="00795698">
        <w:rPr>
          <w:rFonts w:eastAsia="Calibri"/>
          <w:lang w:val="sq-AL"/>
        </w:rPr>
        <w:t xml:space="preserve">Komiteti Drejtues Sektorial (KDS) për çështjet e rendit dhe sigurisë publike, i cili do të shqyrtojë dhe miratojë raportet në zbatim të politikave dhe objektivave të përcaktuar në këtë dokument strategjik. </w:t>
      </w:r>
    </w:p>
    <w:p w14:paraId="5FEEFA4F" w14:textId="77777777" w:rsidR="00893E99" w:rsidRPr="00795698" w:rsidRDefault="00FA0747" w:rsidP="00FA0747">
      <w:pPr>
        <w:pStyle w:val="TEKSTIIIII"/>
        <w:rPr>
          <w:rFonts w:eastAsia="Calibri"/>
          <w:lang w:val="sq-AL"/>
        </w:rPr>
      </w:pPr>
      <w:r w:rsidRPr="00795698">
        <w:rPr>
          <w:rFonts w:eastAsia="Calibri"/>
          <w:lang w:val="sq-AL"/>
        </w:rPr>
        <w:t>-</w:t>
      </w:r>
      <w:r w:rsidR="003E1E3A" w:rsidRPr="00795698">
        <w:rPr>
          <w:rFonts w:eastAsia="Calibri"/>
          <w:lang w:val="sq-AL"/>
        </w:rPr>
        <w:t xml:space="preserve"> </w:t>
      </w:r>
      <w:r w:rsidR="00893E99" w:rsidRPr="00795698">
        <w:rPr>
          <w:rFonts w:eastAsia="Calibri"/>
          <w:lang w:val="sq-AL"/>
        </w:rPr>
        <w:t xml:space="preserve">Zëvendësministri/at përgjegjës në rolin e koordinatorëve për çështjet e terrorizmit dhe ekstremizmit të dhunshëm në Ministrinë e Brendshme për çdo orientim/miratim në nivel politik për inicimin, rishikimin dhe zhvillimin e politikave në këto fusha gjatë zbatimit të kuadrit strategjik. </w:t>
      </w:r>
    </w:p>
    <w:p w14:paraId="5FEEFA50" w14:textId="77777777" w:rsidR="00893E99" w:rsidRPr="00795698" w:rsidRDefault="00893E99" w:rsidP="00893E99">
      <w:pPr>
        <w:ind w:firstLine="284"/>
        <w:rPr>
          <w:rFonts w:ascii="Garamond" w:eastAsia="Calibri" w:hAnsi="Garamond"/>
          <w:b/>
          <w:color w:val="000000" w:themeColor="text1"/>
        </w:rPr>
      </w:pPr>
      <w:r w:rsidRPr="00795698">
        <w:rPr>
          <w:rFonts w:ascii="Garamond" w:eastAsia="Calibri" w:hAnsi="Garamond"/>
          <w:b/>
          <w:color w:val="000000" w:themeColor="text1"/>
        </w:rPr>
        <w:t xml:space="preserve">Monitorimi </w:t>
      </w:r>
    </w:p>
    <w:p w14:paraId="5FEEFA51" w14:textId="41AB48AD" w:rsidR="00893E99" w:rsidRPr="00795698" w:rsidRDefault="00893E99" w:rsidP="00893E99">
      <w:pPr>
        <w:ind w:firstLine="284"/>
        <w:jc w:val="both"/>
        <w:rPr>
          <w:rFonts w:ascii="Garamond" w:eastAsia="Calibri" w:hAnsi="Garamond"/>
        </w:rPr>
      </w:pPr>
      <w:r w:rsidRPr="00795698">
        <w:rPr>
          <w:rFonts w:ascii="Garamond" w:eastAsia="Calibri" w:hAnsi="Garamond"/>
        </w:rPr>
        <w:t xml:space="preserve">Monitorimi dhe vlerësimi i punës së institucioneve dhe strukturave që kanë detyrime për zbatimin e </w:t>
      </w:r>
      <w:bookmarkStart w:id="123" w:name="_Hlk59663884"/>
      <w:r w:rsidRPr="00795698">
        <w:rPr>
          <w:rFonts w:ascii="Garamond" w:eastAsia="Calibri" w:hAnsi="Garamond"/>
        </w:rPr>
        <w:t xml:space="preserve">Strategjisë Ndërsektoriale </w:t>
      </w:r>
      <w:bookmarkStart w:id="124" w:name="_Hlk59663640"/>
      <w:r w:rsidRPr="00795698">
        <w:rPr>
          <w:rFonts w:ascii="Garamond" w:eastAsia="Calibri" w:hAnsi="Garamond"/>
        </w:rPr>
        <w:t>të parandalimit të ekstremizmit të dhunshëm dhe luftës kundër terrorizmit</w:t>
      </w:r>
      <w:r w:rsidR="007C064A" w:rsidRPr="00795698">
        <w:rPr>
          <w:rFonts w:ascii="Garamond" w:eastAsia="Calibri" w:hAnsi="Garamond"/>
        </w:rPr>
        <w:t xml:space="preserve"> </w:t>
      </w:r>
      <w:bookmarkEnd w:id="123"/>
      <w:bookmarkEnd w:id="124"/>
      <w:r w:rsidRPr="00795698">
        <w:rPr>
          <w:rFonts w:ascii="Garamond" w:eastAsia="Calibri" w:hAnsi="Garamond"/>
        </w:rPr>
        <w:t xml:space="preserve">do të shërbejë për të ndjekur ecurinë e strategjisë, për të vlerësuar shkallën e realizimit të politikave, objektivave të saj dhe përmbushjes së masave dhe aktiviteteve. </w:t>
      </w:r>
    </w:p>
    <w:p w14:paraId="5FEEFA52" w14:textId="77777777" w:rsidR="00893E99" w:rsidRPr="00795698" w:rsidRDefault="00893E99" w:rsidP="00893E99">
      <w:pPr>
        <w:ind w:firstLine="284"/>
        <w:jc w:val="both"/>
        <w:rPr>
          <w:rFonts w:ascii="Garamond" w:eastAsia="Calibri" w:hAnsi="Garamond"/>
        </w:rPr>
      </w:pPr>
      <w:r w:rsidRPr="00795698">
        <w:rPr>
          <w:rFonts w:ascii="Garamond" w:eastAsia="Calibri" w:hAnsi="Garamond"/>
        </w:rPr>
        <w:t xml:space="preserve">Monitorimi i Planit të Veprimit i luftës kundër terrorizmit dhe i Planit të Veprimit për parandalimin dhe kundërshtimin e ekstremizmit të dhunshëm do të kryhet nga grupi për menaxhimin e integruar të politikave (GMIP), të miratuar me urdhrin e kryeministrit nr. 157, datë 22.10.2018, “Për marrjen e masave për zbatimin e qasjes së gjerë sektoriale/ndërsektoriale, si dhe ngritjen dhe funksionimin e mekanizmit sektorial/ndërsektorial të integruar”. </w:t>
      </w:r>
    </w:p>
    <w:p w14:paraId="5FEEFA53" w14:textId="416516AC" w:rsidR="00893E99" w:rsidRPr="00795698" w:rsidRDefault="00893E99" w:rsidP="00893E99">
      <w:pPr>
        <w:ind w:firstLine="284"/>
        <w:jc w:val="both"/>
        <w:rPr>
          <w:rFonts w:ascii="Garamond" w:eastAsia="Calibri" w:hAnsi="Garamond"/>
        </w:rPr>
      </w:pPr>
      <w:r w:rsidRPr="00795698">
        <w:rPr>
          <w:rFonts w:ascii="Garamond" w:eastAsia="Calibri" w:hAnsi="Garamond"/>
        </w:rPr>
        <w:t xml:space="preserve">Procesi i Monitorimit të Planit të Veprimit të Luftës </w:t>
      </w:r>
      <w:r w:rsidR="004478B9" w:rsidRPr="00795698">
        <w:rPr>
          <w:rFonts w:ascii="Garamond" w:eastAsia="Calibri" w:hAnsi="Garamond"/>
        </w:rPr>
        <w:t>k</w:t>
      </w:r>
      <w:r w:rsidRPr="00795698">
        <w:rPr>
          <w:rFonts w:ascii="Garamond" w:eastAsia="Calibri" w:hAnsi="Garamond"/>
        </w:rPr>
        <w:t xml:space="preserve">undër Terrorizmit do të koordinohet nga struktura përgjegjëse për hartimin dhe koordinimin e strategjive të rendit dhe sigurisë publike në Ministrinë e Brendshme dhe Plani i Veprimit të Parandalimit dhe Kundërshtimit të Ekstremizmit të Dhunshëm do të koordinohet nga institucioni përgjegjës që ndjek çështjet e ekstremizmit të dhunshëm në Ministrinë e Brendshme sipas legjislacionit në fuqi. </w:t>
      </w:r>
    </w:p>
    <w:p w14:paraId="5FEEFA54" w14:textId="77777777" w:rsidR="00893E99" w:rsidRPr="00795698" w:rsidRDefault="00893E99" w:rsidP="00893E99">
      <w:pPr>
        <w:ind w:firstLine="284"/>
        <w:jc w:val="both"/>
        <w:rPr>
          <w:rFonts w:ascii="Garamond" w:eastAsia="Calibri" w:hAnsi="Garamond"/>
        </w:rPr>
      </w:pPr>
      <w:r w:rsidRPr="00795698">
        <w:rPr>
          <w:rFonts w:ascii="Garamond" w:eastAsia="Calibri" w:hAnsi="Garamond"/>
        </w:rPr>
        <w:t>Me synim garantimin e përmbushjes së objektivave strategjikë bazuar në këtë dokument strategjik, do të merren masat e mëposhtme:</w:t>
      </w:r>
    </w:p>
    <w:p w14:paraId="5FEEFA55" w14:textId="77777777" w:rsidR="00893E99" w:rsidRPr="00795698" w:rsidRDefault="003E1E3A" w:rsidP="003E1E3A">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Do të monitorohen treguesit e përcaktuar në strategji; </w:t>
      </w:r>
    </w:p>
    <w:p w14:paraId="5FEEFA56" w14:textId="77777777" w:rsidR="00893E99" w:rsidRPr="00795698" w:rsidRDefault="003E1E3A" w:rsidP="003E1E3A">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Do të rekomandohen ndryshime në programet sektoriale, duke pasur parasysh arritjet, rrethanat, risqet dhe rreziqet si dhe eksperiencat e mëparshme, si dhe në përputhje me rekomandimet e progres raporteve të Bashkimit Evropian; </w:t>
      </w:r>
    </w:p>
    <w:p w14:paraId="5FEEFA57" w14:textId="77777777" w:rsidR="00893E99" w:rsidRPr="00795698" w:rsidRDefault="003E1E3A" w:rsidP="003E1E3A">
      <w:pPr>
        <w:pStyle w:val="TEKSTIIIII"/>
        <w:rPr>
          <w:rFonts w:eastAsia="Calibri"/>
          <w:lang w:val="sq-AL"/>
        </w:rPr>
      </w:pPr>
      <w:r w:rsidRPr="00795698">
        <w:rPr>
          <w:rFonts w:eastAsia="Calibri"/>
          <w:lang w:val="sq-AL"/>
        </w:rPr>
        <w:t xml:space="preserve">- </w:t>
      </w:r>
      <w:r w:rsidR="00893E99" w:rsidRPr="00795698">
        <w:rPr>
          <w:rFonts w:eastAsia="Calibri"/>
          <w:lang w:val="sq-AL"/>
        </w:rPr>
        <w:t xml:space="preserve">Do të sigurohen konsultime me palët e interesit, përfshirë shpërndarjen sistematike të informacionit për publikun; </w:t>
      </w:r>
    </w:p>
    <w:p w14:paraId="5FEEFA58" w14:textId="77777777" w:rsidR="00893E99" w:rsidRPr="00795698" w:rsidRDefault="003E1E3A" w:rsidP="003E1E3A">
      <w:pPr>
        <w:pStyle w:val="TEKSTIIIII"/>
        <w:rPr>
          <w:rFonts w:eastAsia="Calibri"/>
          <w:color w:val="000000"/>
          <w:lang w:val="sq-AL"/>
        </w:rPr>
      </w:pPr>
      <w:r w:rsidRPr="00795698">
        <w:rPr>
          <w:rFonts w:eastAsia="Calibri"/>
          <w:lang w:val="sq-AL"/>
        </w:rPr>
        <w:t xml:space="preserve">- </w:t>
      </w:r>
      <w:r w:rsidR="00893E99" w:rsidRPr="00795698">
        <w:rPr>
          <w:rFonts w:eastAsia="Calibri"/>
          <w:lang w:val="sq-AL"/>
        </w:rPr>
        <w:t xml:space="preserve">Do të jepet kontribut në rritjen e konsistencës dhe integrimit të politikave dhe masave të sigurisë në të gjitha nivelet e administrimit, si dhe në përdorimin më të mirë të burimeve. </w:t>
      </w:r>
    </w:p>
    <w:p w14:paraId="5FEEFA5A" w14:textId="77777777" w:rsidR="00893E99" w:rsidRPr="00795698" w:rsidRDefault="00893E99" w:rsidP="00893E99">
      <w:pPr>
        <w:ind w:firstLine="284"/>
        <w:jc w:val="both"/>
        <w:rPr>
          <w:rFonts w:ascii="Garamond" w:eastAsia="Calibri" w:hAnsi="Garamond"/>
          <w:color w:val="000000"/>
        </w:rPr>
      </w:pPr>
      <w:r w:rsidRPr="00795698">
        <w:rPr>
          <w:rFonts w:ascii="Garamond" w:eastAsia="Calibri" w:hAnsi="Garamond"/>
          <w:bCs/>
          <w:color w:val="000000"/>
        </w:rPr>
        <w:t>Në kuadër të zbatimit të objektivave dhe masave të planeve Monitorimi do të kryhet bazuar në raporte 6-mujore dhe vjetore për</w:t>
      </w:r>
      <w:r w:rsidRPr="00795698">
        <w:rPr>
          <w:rFonts w:ascii="Garamond" w:eastAsia="Calibri" w:hAnsi="Garamond"/>
          <w:b/>
          <w:bCs/>
          <w:color w:val="000000"/>
        </w:rPr>
        <w:t xml:space="preserve"> </w:t>
      </w:r>
      <w:r w:rsidRPr="00795698">
        <w:rPr>
          <w:rFonts w:ascii="Garamond" w:eastAsia="Calibri" w:hAnsi="Garamond"/>
          <w:color w:val="000000"/>
        </w:rPr>
        <w:t>monitorimin dhe koordinimin e zbatimit të objektivave dhe masave të planeve të veprimit.</w:t>
      </w:r>
    </w:p>
    <w:p w14:paraId="5FEEFA5B" w14:textId="77777777" w:rsidR="00893E99" w:rsidRPr="00795698" w:rsidRDefault="00893E99" w:rsidP="00893E99">
      <w:pPr>
        <w:ind w:firstLine="284"/>
        <w:jc w:val="both"/>
        <w:rPr>
          <w:rFonts w:ascii="Garamond" w:eastAsia="Calibri" w:hAnsi="Garamond"/>
        </w:rPr>
      </w:pPr>
      <w:r w:rsidRPr="00795698">
        <w:rPr>
          <w:rFonts w:ascii="Garamond" w:eastAsia="Calibri" w:hAnsi="Garamond"/>
        </w:rPr>
        <w:t xml:space="preserve">Përmirësimet në sistemin e monitorimit dhe vlerësimit synojnë të lehtësojnë/ndihmojnë në përafrimin e kuadrit strategjik dhe prioriteteve në fusha të ndryshme dhe të informojnë për politikat e vendit të lidhura sigurinë në komunitet. Fuqizimi dhe zgjerimi i kuadrit statistikor në institucionet përgjegjëse do të lehtësojë hartimin e politikave bazuar në evidenca/ të dhëna, si dhe do të mundësojë vlerësimin objektiv për përmbushjen e objektivave. </w:t>
      </w:r>
    </w:p>
    <w:p w14:paraId="5FEEFA5C" w14:textId="77777777" w:rsidR="00893E99" w:rsidRPr="00795698" w:rsidRDefault="00893E99" w:rsidP="00893E99">
      <w:pPr>
        <w:ind w:firstLine="284"/>
        <w:rPr>
          <w:rFonts w:ascii="Garamond" w:eastAsia="Calibri" w:hAnsi="Garamond"/>
          <w:b/>
          <w:color w:val="000000" w:themeColor="text1"/>
        </w:rPr>
      </w:pPr>
      <w:r w:rsidRPr="00795698">
        <w:rPr>
          <w:rFonts w:ascii="Garamond" w:eastAsia="Calibri" w:hAnsi="Garamond"/>
          <w:b/>
          <w:color w:val="000000" w:themeColor="text1"/>
        </w:rPr>
        <w:t xml:space="preserve">Raportimi </w:t>
      </w:r>
    </w:p>
    <w:p w14:paraId="5FEEFA5D" w14:textId="19470B79" w:rsidR="00893E99" w:rsidRPr="00795698" w:rsidRDefault="00893E99" w:rsidP="00893E99">
      <w:pPr>
        <w:ind w:firstLine="284"/>
        <w:jc w:val="both"/>
        <w:rPr>
          <w:rFonts w:ascii="Garamond" w:eastAsia="Calibri" w:hAnsi="Garamond"/>
        </w:rPr>
      </w:pPr>
      <w:r w:rsidRPr="00795698">
        <w:rPr>
          <w:rFonts w:ascii="Garamond" w:eastAsia="Calibri" w:hAnsi="Garamond"/>
        </w:rPr>
        <w:lastRenderedPageBreak/>
        <w:t>Institucionet duhet të raportojnë periodikisht për realizimin e masave, me periodicitet 6</w:t>
      </w:r>
      <w:r w:rsidR="000C5583" w:rsidRPr="00795698">
        <w:rPr>
          <w:rFonts w:ascii="Garamond" w:eastAsia="Calibri" w:hAnsi="Garamond"/>
        </w:rPr>
        <w:t>-</w:t>
      </w:r>
      <w:r w:rsidRPr="00795698">
        <w:rPr>
          <w:rFonts w:ascii="Garamond" w:eastAsia="Calibri" w:hAnsi="Garamond"/>
        </w:rPr>
        <w:t xml:space="preserve">mujor në Sistemin Informativ për Planifikimin Strategjik të Integruar (IPSIS) në Këshillin e Ministrave dhe në Sekretariatin Teknik Ndërinstitucional. </w:t>
      </w:r>
    </w:p>
    <w:p w14:paraId="5FEEFA5E" w14:textId="65349A72" w:rsidR="00893E99" w:rsidRPr="00795698" w:rsidRDefault="00893E99" w:rsidP="00893E99">
      <w:pPr>
        <w:ind w:firstLine="284"/>
        <w:jc w:val="both"/>
        <w:rPr>
          <w:rFonts w:ascii="Garamond" w:eastAsia="Calibri" w:hAnsi="Garamond"/>
        </w:rPr>
      </w:pPr>
      <w:r w:rsidRPr="00795698">
        <w:rPr>
          <w:rFonts w:ascii="Garamond" w:eastAsia="Calibri" w:hAnsi="Garamond"/>
        </w:rPr>
        <w:t xml:space="preserve">Të gjithë institucionet të ngarkuara me zbatimin e Strategjisë Ndërsektoriale të Parandalimit të Ekstremizmit të dhunshëm dhe luftës kundër terrorizmit, do të hartojnë raporte mbi bazë 6-mujore dhe njëvjeçare në zbatim të detyrimeve të përcaktuara në këto dy </w:t>
      </w:r>
      <w:r w:rsidR="004478B9" w:rsidRPr="00795698">
        <w:rPr>
          <w:rFonts w:ascii="Garamond" w:eastAsia="Calibri" w:hAnsi="Garamond"/>
        </w:rPr>
        <w:t>plane veprimi</w:t>
      </w:r>
      <w:r w:rsidR="000C5583" w:rsidRPr="00795698">
        <w:rPr>
          <w:rFonts w:ascii="Garamond" w:eastAsia="Calibri" w:hAnsi="Garamond"/>
        </w:rPr>
        <w:t>,</w:t>
      </w:r>
      <w:r w:rsidRPr="00795698">
        <w:rPr>
          <w:rFonts w:ascii="Garamond" w:eastAsia="Calibri" w:hAnsi="Garamond"/>
        </w:rPr>
        <w:t xml:space="preserve"> si dhe do të hedhin të dhëna në sistemin IPSIS. Mbledhja, përpunimi, analiza e raporteve periodike 6</w:t>
      </w:r>
      <w:r w:rsidR="000C5583" w:rsidRPr="00795698">
        <w:rPr>
          <w:rFonts w:ascii="Garamond" w:eastAsia="Calibri" w:hAnsi="Garamond"/>
        </w:rPr>
        <w:t>-</w:t>
      </w:r>
      <w:r w:rsidR="004478B9" w:rsidRPr="00795698">
        <w:rPr>
          <w:rFonts w:ascii="Garamond" w:eastAsia="Calibri" w:hAnsi="Garamond"/>
        </w:rPr>
        <w:t>mujore dhe një</w:t>
      </w:r>
      <w:r w:rsidRPr="00795698">
        <w:rPr>
          <w:rFonts w:ascii="Garamond" w:eastAsia="Calibri" w:hAnsi="Garamond"/>
        </w:rPr>
        <w:t>vjeçare për zbatimin e Planit të Veprimit për Parandalimin e Ekstremizmit të Dhunshëm do të koordinohet nga struktura/institucioni përgjegjës për çështjet e ekstremizmit të dhunshëm, duke respektuar kërkesat e sistemit IPSIS dhe procedurat përkatëse administrative. Ky raport i hartuar sipas kërkesave të sistemit IPSIS, si edhe gjetjet dhe rekomandimet e tij, duhet t</w:t>
      </w:r>
      <w:r w:rsidR="0041767D" w:rsidRPr="00795698">
        <w:rPr>
          <w:rFonts w:ascii="Garamond" w:eastAsia="Calibri" w:hAnsi="Garamond"/>
        </w:rPr>
        <w:t>’</w:t>
      </w:r>
      <w:r w:rsidRPr="00795698">
        <w:rPr>
          <w:rFonts w:ascii="Garamond" w:eastAsia="Calibri" w:hAnsi="Garamond"/>
        </w:rPr>
        <w:t>i përcillen strukturës përgjegjëse për hartimin dhe koordinimin e strategjive në fushën e rendit dhe sigurisë publike në Ministrinë e Brendshme, për t</w:t>
      </w:r>
      <w:r w:rsidR="0041767D" w:rsidRPr="00795698">
        <w:rPr>
          <w:rFonts w:ascii="Garamond" w:eastAsia="Calibri" w:hAnsi="Garamond"/>
        </w:rPr>
        <w:t>’</w:t>
      </w:r>
      <w:r w:rsidRPr="00795698">
        <w:rPr>
          <w:rFonts w:ascii="Garamond" w:eastAsia="Calibri" w:hAnsi="Garamond"/>
        </w:rPr>
        <w:t>u integruar me raportin përfundimtar të monitorimit të strategjisë.</w:t>
      </w:r>
    </w:p>
    <w:p w14:paraId="5FEEFA5F" w14:textId="5915198A" w:rsidR="00893E99" w:rsidRPr="00795698" w:rsidRDefault="00893E99" w:rsidP="00893E99">
      <w:pPr>
        <w:ind w:firstLine="284"/>
        <w:jc w:val="both"/>
        <w:rPr>
          <w:rFonts w:ascii="Garamond" w:eastAsia="Calibri" w:hAnsi="Garamond"/>
        </w:rPr>
      </w:pPr>
      <w:r w:rsidRPr="00795698">
        <w:rPr>
          <w:rFonts w:ascii="Garamond" w:eastAsia="Calibri" w:hAnsi="Garamond"/>
        </w:rPr>
        <w:t>Ministria e Brendshme do të jetë institucioni lider, i cili do të mbledhë, përpunojë dhe analizojë raportet periodike 6-mujore dhe 1</w:t>
      </w:r>
      <w:r w:rsidR="000C5583" w:rsidRPr="00795698">
        <w:rPr>
          <w:rFonts w:ascii="Garamond" w:eastAsia="Calibri" w:hAnsi="Garamond"/>
        </w:rPr>
        <w:t>-</w:t>
      </w:r>
      <w:r w:rsidRPr="00795698">
        <w:rPr>
          <w:rFonts w:ascii="Garamond" w:eastAsia="Calibri" w:hAnsi="Garamond"/>
        </w:rPr>
        <w:t xml:space="preserve">vjeçare që do të përcillen nga të gjitha institucionet e ngarkuara në përmbushje të objektivave dhe masave përkatëse të parashikuara në planin e veprimit kundër terrorizmit. </w:t>
      </w:r>
    </w:p>
    <w:p w14:paraId="5FEEFA60" w14:textId="5164611C" w:rsidR="00893E99" w:rsidRPr="00795698" w:rsidRDefault="00893E99" w:rsidP="00893E99">
      <w:pPr>
        <w:shd w:val="clear" w:color="auto" w:fill="FFFFFF"/>
        <w:ind w:firstLine="284"/>
        <w:jc w:val="both"/>
        <w:rPr>
          <w:rFonts w:ascii="Garamond" w:eastAsia="Calibri" w:hAnsi="Garamond"/>
        </w:rPr>
      </w:pPr>
      <w:r w:rsidRPr="00795698">
        <w:rPr>
          <w:rFonts w:ascii="Garamond" w:eastAsia="Calibri" w:hAnsi="Garamond"/>
        </w:rPr>
        <w:t xml:space="preserve">Komiteti Drejtues Sektorial “punët e brendshme”, drejtuar nga </w:t>
      </w:r>
      <w:r w:rsidR="000C5583" w:rsidRPr="00795698">
        <w:rPr>
          <w:rFonts w:ascii="Garamond" w:eastAsia="Calibri" w:hAnsi="Garamond"/>
        </w:rPr>
        <w:t>m</w:t>
      </w:r>
      <w:r w:rsidRPr="00795698">
        <w:rPr>
          <w:rFonts w:ascii="Garamond" w:eastAsia="Calibri" w:hAnsi="Garamond"/>
        </w:rPr>
        <w:t>inistri i Brendshëm, në zbatim të pikës 6 dhe 7, të urdhrit të Kryeministrit nr. 157, datë 22.10.2018, “Për marrjen e masave për zbatimin e qasjes së gjerë sektoriale/ndërsektoriale, si dhe ngritjen dhe funksionimin e mekanizmit sektorial/ndërsektorial të integruar”, do të shqyrtojë, diskutojë dhe miratojë raportet e progresit, të monitorimit të arritjes së synimeve dhe prioriteteve në zbatim të këtij dokumenti strategjik dhe të dy planeve të veprimit shoqëruese. Në vijimësi të takimeve të zhvilluara KDS analizon situatën e përmbushjes së detyrimeve nga çdo institucion përgjegjës duke bërë dhe sugjerimet përkatëse për përmirësim.</w:t>
      </w:r>
    </w:p>
    <w:p w14:paraId="5FEEFA61" w14:textId="2BE5774F" w:rsidR="00893E99" w:rsidRPr="00795698" w:rsidRDefault="00893E99" w:rsidP="00893E99">
      <w:pPr>
        <w:ind w:firstLine="284"/>
        <w:jc w:val="both"/>
        <w:rPr>
          <w:rFonts w:ascii="Garamond" w:eastAsia="Calibri" w:hAnsi="Garamond"/>
          <w:color w:val="000000"/>
        </w:rPr>
      </w:pPr>
      <w:r w:rsidRPr="00795698">
        <w:rPr>
          <w:rFonts w:ascii="Garamond" w:eastAsia="Calibri" w:hAnsi="Garamond"/>
        </w:rPr>
        <w:t>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të sigurisë në komunitet. Po në këtë kuadër do të shërbejnë edhe raportet e vlerësimit të impaktit</w:t>
      </w:r>
      <w:r w:rsidR="004478B9" w:rsidRPr="00795698">
        <w:rPr>
          <w:rFonts w:ascii="Garamond" w:eastAsia="Calibri" w:hAnsi="Garamond"/>
        </w:rPr>
        <w:t>,</w:t>
      </w:r>
      <w:r w:rsidRPr="00795698">
        <w:rPr>
          <w:rFonts w:ascii="Garamond" w:eastAsia="Calibri" w:hAnsi="Garamond"/>
        </w:rPr>
        <w:t xml:space="preserve"> si dhe raporte e studime të kryera nga shoqëria civile dhe donatorët.</w:t>
      </w:r>
    </w:p>
    <w:p w14:paraId="5FEEFA62" w14:textId="77777777" w:rsidR="00893E99" w:rsidRPr="00795698" w:rsidRDefault="00893E99" w:rsidP="00893E99">
      <w:pPr>
        <w:pStyle w:val="NoSpacing"/>
        <w:ind w:firstLine="284"/>
        <w:jc w:val="both"/>
        <w:rPr>
          <w:rFonts w:ascii="Garamond" w:eastAsia="Calibri" w:hAnsi="Garamond"/>
          <w:lang w:val="sq-AL"/>
        </w:rPr>
      </w:pPr>
      <w:r w:rsidRPr="00795698">
        <w:rPr>
          <w:rFonts w:ascii="Garamond" w:eastAsia="Calibri" w:hAnsi="Garamond"/>
          <w:lang w:val="sq-AL"/>
        </w:rPr>
        <w:t>Monitorimi i brendshëm do të vlerësojë progresin e bërë duke u mbështetur tek ecuria e indikatorëve:</w:t>
      </w:r>
    </w:p>
    <w:p w14:paraId="5FEEFA63" w14:textId="77777777" w:rsidR="00893E99" w:rsidRPr="00795698" w:rsidRDefault="00893E99" w:rsidP="00893E99">
      <w:pPr>
        <w:pStyle w:val="NoSpacing"/>
        <w:ind w:firstLine="284"/>
        <w:rPr>
          <w:rFonts w:ascii="Garamond" w:eastAsia="Calibri" w:hAnsi="Garamond"/>
          <w:i/>
          <w:lang w:val="sq-AL"/>
        </w:rPr>
      </w:pPr>
      <w:r w:rsidRPr="00795698">
        <w:rPr>
          <w:rFonts w:ascii="Garamond" w:eastAsia="Calibri" w:hAnsi="Garamond"/>
          <w:i/>
          <w:lang w:val="sq-AL"/>
        </w:rPr>
        <w:t xml:space="preserve">Si indikatorë të brendshëm do të jenë indikatorët e parashikuar sipas objektivave specifikë. </w:t>
      </w:r>
    </w:p>
    <w:p w14:paraId="5FEEFA64" w14:textId="77777777" w:rsidR="00893E99" w:rsidRPr="00795698" w:rsidRDefault="00893E99" w:rsidP="00893E99">
      <w:pPr>
        <w:pStyle w:val="NoSpacing"/>
        <w:ind w:firstLine="284"/>
        <w:jc w:val="both"/>
        <w:rPr>
          <w:rFonts w:ascii="Garamond" w:eastAsia="Calibri" w:hAnsi="Garamond"/>
          <w:lang w:val="sq-AL"/>
        </w:rPr>
      </w:pPr>
      <w:r w:rsidRPr="00795698">
        <w:rPr>
          <w:rFonts w:ascii="Garamond" w:eastAsia="Calibri" w:hAnsi="Garamond"/>
          <w:i/>
          <w:lang w:val="sq-AL"/>
        </w:rPr>
        <w:t>Si indikatorë të jashtëm do të jenë:</w:t>
      </w:r>
    </w:p>
    <w:p w14:paraId="5FEEFA65" w14:textId="77777777" w:rsidR="00893E99" w:rsidRPr="00795698" w:rsidRDefault="003E1E3A" w:rsidP="003E1E3A">
      <w:pPr>
        <w:pStyle w:val="TEKSTIIIII"/>
        <w:rPr>
          <w:rFonts w:eastAsia="Calibri"/>
          <w:lang w:val="sq-AL"/>
        </w:rPr>
      </w:pPr>
      <w:r w:rsidRPr="00795698">
        <w:rPr>
          <w:rFonts w:eastAsia="Calibri"/>
          <w:lang w:val="sq-AL"/>
        </w:rPr>
        <w:t xml:space="preserve">- </w:t>
      </w:r>
      <w:r w:rsidR="00893E99" w:rsidRPr="00795698">
        <w:rPr>
          <w:rFonts w:eastAsia="Calibri"/>
          <w:lang w:val="sq-AL"/>
        </w:rPr>
        <w:t>vlerësimet e publikut, të qytetarëve dhe të bizneseve të ndryshme nëpërmjet matjes së perceptimit të publikut duke përdorur pyetësorë, intervista dhe organizuar forume të hapura;</w:t>
      </w:r>
    </w:p>
    <w:p w14:paraId="5FEEFA66" w14:textId="77777777" w:rsidR="00893E99" w:rsidRPr="00795698" w:rsidRDefault="003E1E3A" w:rsidP="003E1E3A">
      <w:pPr>
        <w:pStyle w:val="TEKSTIIIII"/>
        <w:rPr>
          <w:rFonts w:eastAsia="Calibri"/>
          <w:lang w:val="sq-AL"/>
        </w:rPr>
      </w:pPr>
      <w:r w:rsidRPr="00795698">
        <w:rPr>
          <w:rFonts w:eastAsia="Calibri"/>
          <w:lang w:val="sq-AL"/>
        </w:rPr>
        <w:t xml:space="preserve">- </w:t>
      </w:r>
      <w:r w:rsidR="00893E99" w:rsidRPr="00795698">
        <w:rPr>
          <w:rFonts w:eastAsia="Calibri"/>
          <w:lang w:val="sq-AL"/>
        </w:rPr>
        <w:t>vlerësimet e institucioneve ndërkombëtare, në raporte periodike apo buletine;</w:t>
      </w:r>
      <w:r w:rsidR="00893E99" w:rsidRPr="00795698">
        <w:rPr>
          <w:rFonts w:eastAsia="Calibri"/>
          <w:lang w:val="sq-AL"/>
        </w:rPr>
        <w:br/>
        <w:t>vlerësimet e vendeve të rajonit për treguesit e minimizimit të krimit të terrorizmit në Shqipëri.</w:t>
      </w:r>
    </w:p>
    <w:p w14:paraId="1EDD7528" w14:textId="77777777" w:rsidR="004478B9" w:rsidRPr="00795698" w:rsidRDefault="00893E99" w:rsidP="004478B9">
      <w:pPr>
        <w:pStyle w:val="TEKSTIIIII"/>
        <w:rPr>
          <w:rFonts w:eastAsia="Calibri"/>
          <w:lang w:val="sq-AL"/>
        </w:rPr>
      </w:pPr>
      <w:r w:rsidRPr="00795698">
        <w:rPr>
          <w:rFonts w:eastAsia="Calibri"/>
          <w:lang w:val="sq-AL"/>
        </w:rPr>
        <w:t>Qeveria do të marrë në analizë punën e institucioneve të përmendura në këtë strategji në drejtim të luftës kundër krimit të terrorizmit çdo vit, si dhe do të bëjë publike arritjet pas çdo fazë të implementimit të objektivave e planeve të veprimit, si dhe pasqyrojë arritjet kundër krimit të terrorizmit.</w:t>
      </w:r>
      <w:bookmarkStart w:id="125" w:name="_bookmark16"/>
      <w:bookmarkStart w:id="126" w:name="_Toc108644325"/>
      <w:bookmarkEnd w:id="125"/>
    </w:p>
    <w:p w14:paraId="5FEEFA68" w14:textId="30E44178" w:rsidR="00893E99" w:rsidRPr="00795698" w:rsidRDefault="00893E99" w:rsidP="004478B9">
      <w:pPr>
        <w:pStyle w:val="TEKSTIIIII"/>
        <w:rPr>
          <w:rFonts w:eastAsia="Calibri"/>
          <w:lang w:val="sq-AL"/>
        </w:rPr>
      </w:pPr>
      <w:r w:rsidRPr="00795698">
        <w:rPr>
          <w:spacing w:val="14"/>
          <w:szCs w:val="24"/>
          <w:lang w:val="sq-AL"/>
        </w:rPr>
        <w:t>P</w:t>
      </w:r>
      <w:r w:rsidRPr="00795698">
        <w:rPr>
          <w:spacing w:val="12"/>
          <w:szCs w:val="24"/>
          <w:lang w:val="sq-AL"/>
        </w:rPr>
        <w:t>JE</w:t>
      </w:r>
      <w:r w:rsidRPr="00795698">
        <w:rPr>
          <w:spacing w:val="14"/>
          <w:szCs w:val="24"/>
          <w:lang w:val="sq-AL"/>
        </w:rPr>
        <w:t>S</w:t>
      </w:r>
      <w:r w:rsidRPr="00795698">
        <w:rPr>
          <w:szCs w:val="24"/>
          <w:lang w:val="sq-AL"/>
        </w:rPr>
        <w:t>A</w:t>
      </w:r>
      <w:r w:rsidRPr="00795698">
        <w:rPr>
          <w:spacing w:val="25"/>
          <w:szCs w:val="24"/>
          <w:lang w:val="sq-AL"/>
        </w:rPr>
        <w:t xml:space="preserve"> </w:t>
      </w:r>
      <w:r w:rsidRPr="00795698">
        <w:rPr>
          <w:szCs w:val="24"/>
          <w:lang w:val="sq-AL"/>
        </w:rPr>
        <w:t>V</w:t>
      </w:r>
      <w:r w:rsidR="004478B9" w:rsidRPr="00795698">
        <w:rPr>
          <w:szCs w:val="24"/>
          <w:lang w:val="sq-AL"/>
        </w:rPr>
        <w:t>.</w:t>
      </w:r>
      <w:r w:rsidRPr="00795698">
        <w:rPr>
          <w:szCs w:val="24"/>
          <w:lang w:val="sq-AL"/>
        </w:rPr>
        <w:t xml:space="preserve"> </w:t>
      </w:r>
      <w:r w:rsidRPr="00795698">
        <w:rPr>
          <w:spacing w:val="14"/>
          <w:szCs w:val="24"/>
          <w:lang w:val="sq-AL"/>
        </w:rPr>
        <w:t>P</w:t>
      </w:r>
      <w:r w:rsidRPr="00795698">
        <w:rPr>
          <w:spacing w:val="11"/>
          <w:szCs w:val="24"/>
          <w:lang w:val="sq-AL"/>
        </w:rPr>
        <w:t>L</w:t>
      </w:r>
      <w:r w:rsidRPr="00795698">
        <w:rPr>
          <w:spacing w:val="12"/>
          <w:szCs w:val="24"/>
          <w:lang w:val="sq-AL"/>
        </w:rPr>
        <w:t>A</w:t>
      </w:r>
      <w:r w:rsidRPr="00795698">
        <w:rPr>
          <w:spacing w:val="11"/>
          <w:szCs w:val="24"/>
          <w:lang w:val="sq-AL"/>
        </w:rPr>
        <w:t>N</w:t>
      </w:r>
      <w:r w:rsidRPr="00795698">
        <w:rPr>
          <w:szCs w:val="24"/>
          <w:lang w:val="sq-AL"/>
        </w:rPr>
        <w:t>ET</w:t>
      </w:r>
      <w:r w:rsidRPr="00795698">
        <w:rPr>
          <w:spacing w:val="20"/>
          <w:szCs w:val="24"/>
          <w:lang w:val="sq-AL"/>
        </w:rPr>
        <w:t xml:space="preserve"> </w:t>
      </w:r>
      <w:r w:rsidRPr="00795698">
        <w:rPr>
          <w:szCs w:val="24"/>
          <w:lang w:val="sq-AL"/>
        </w:rPr>
        <w:t xml:space="preserve">E </w:t>
      </w:r>
      <w:r w:rsidRPr="00795698">
        <w:rPr>
          <w:spacing w:val="12"/>
          <w:szCs w:val="24"/>
          <w:lang w:val="sq-AL"/>
        </w:rPr>
        <w:t>V</w:t>
      </w:r>
      <w:r w:rsidRPr="00795698">
        <w:rPr>
          <w:spacing w:val="14"/>
          <w:szCs w:val="24"/>
          <w:lang w:val="sq-AL"/>
        </w:rPr>
        <w:t>EP</w:t>
      </w:r>
      <w:r w:rsidRPr="00795698">
        <w:rPr>
          <w:spacing w:val="10"/>
          <w:szCs w:val="24"/>
          <w:lang w:val="sq-AL"/>
        </w:rPr>
        <w:t>R</w:t>
      </w:r>
      <w:r w:rsidRPr="00795698">
        <w:rPr>
          <w:spacing w:val="13"/>
          <w:szCs w:val="24"/>
          <w:lang w:val="sq-AL"/>
        </w:rPr>
        <w:t>I</w:t>
      </w:r>
      <w:r w:rsidRPr="00795698">
        <w:rPr>
          <w:spacing w:val="11"/>
          <w:szCs w:val="24"/>
          <w:lang w:val="sq-AL"/>
        </w:rPr>
        <w:t>M</w:t>
      </w:r>
      <w:r w:rsidRPr="00795698">
        <w:rPr>
          <w:spacing w:val="15"/>
          <w:szCs w:val="24"/>
          <w:lang w:val="sq-AL"/>
        </w:rPr>
        <w:t>I</w:t>
      </w:r>
      <w:r w:rsidRPr="00795698">
        <w:rPr>
          <w:szCs w:val="24"/>
          <w:lang w:val="sq-AL"/>
        </w:rPr>
        <w:t>T</w:t>
      </w:r>
      <w:r w:rsidRPr="00795698">
        <w:rPr>
          <w:spacing w:val="18"/>
          <w:szCs w:val="24"/>
          <w:lang w:val="sq-AL"/>
        </w:rPr>
        <w:t xml:space="preserve"> </w:t>
      </w:r>
      <w:r w:rsidRPr="00795698">
        <w:rPr>
          <w:spacing w:val="10"/>
          <w:szCs w:val="24"/>
          <w:lang w:val="sq-AL"/>
        </w:rPr>
        <w:t>D</w:t>
      </w:r>
      <w:r w:rsidRPr="00795698">
        <w:rPr>
          <w:spacing w:val="12"/>
          <w:szCs w:val="24"/>
          <w:lang w:val="sq-AL"/>
        </w:rPr>
        <w:t>H</w:t>
      </w:r>
      <w:r w:rsidRPr="00795698">
        <w:rPr>
          <w:szCs w:val="24"/>
          <w:lang w:val="sq-AL"/>
        </w:rPr>
        <w:t>E</w:t>
      </w:r>
      <w:r w:rsidRPr="00795698">
        <w:rPr>
          <w:spacing w:val="19"/>
          <w:szCs w:val="24"/>
          <w:lang w:val="sq-AL"/>
        </w:rPr>
        <w:t xml:space="preserve"> </w:t>
      </w:r>
      <w:r w:rsidRPr="00795698">
        <w:rPr>
          <w:spacing w:val="14"/>
          <w:szCs w:val="24"/>
          <w:lang w:val="sq-AL"/>
        </w:rPr>
        <w:t>B</w:t>
      </w:r>
      <w:r w:rsidRPr="00795698">
        <w:rPr>
          <w:spacing w:val="10"/>
          <w:szCs w:val="24"/>
          <w:lang w:val="sq-AL"/>
        </w:rPr>
        <w:t>U</w:t>
      </w:r>
      <w:r w:rsidRPr="00795698">
        <w:rPr>
          <w:spacing w:val="12"/>
          <w:szCs w:val="24"/>
          <w:lang w:val="sq-AL"/>
        </w:rPr>
        <w:t>R</w:t>
      </w:r>
      <w:r w:rsidRPr="00795698">
        <w:rPr>
          <w:spacing w:val="13"/>
          <w:szCs w:val="24"/>
          <w:lang w:val="sq-AL"/>
        </w:rPr>
        <w:t>I</w:t>
      </w:r>
      <w:r w:rsidRPr="00795698">
        <w:rPr>
          <w:spacing w:val="11"/>
          <w:szCs w:val="24"/>
          <w:lang w:val="sq-AL"/>
        </w:rPr>
        <w:t>M</w:t>
      </w:r>
      <w:r w:rsidRPr="00795698">
        <w:rPr>
          <w:spacing w:val="14"/>
          <w:szCs w:val="24"/>
          <w:lang w:val="sq-AL"/>
        </w:rPr>
        <w:t>E</w:t>
      </w:r>
      <w:r w:rsidRPr="00795698">
        <w:rPr>
          <w:szCs w:val="24"/>
          <w:lang w:val="sq-AL"/>
        </w:rPr>
        <w:t>T</w:t>
      </w:r>
      <w:r w:rsidRPr="00795698">
        <w:rPr>
          <w:spacing w:val="17"/>
          <w:szCs w:val="24"/>
          <w:lang w:val="sq-AL"/>
        </w:rPr>
        <w:t xml:space="preserve"> </w:t>
      </w:r>
      <w:r w:rsidRPr="00795698">
        <w:rPr>
          <w:spacing w:val="12"/>
          <w:szCs w:val="24"/>
          <w:lang w:val="sq-AL"/>
        </w:rPr>
        <w:t>F</w:t>
      </w:r>
      <w:r w:rsidRPr="00795698">
        <w:rPr>
          <w:spacing w:val="13"/>
          <w:szCs w:val="24"/>
          <w:lang w:val="sq-AL"/>
        </w:rPr>
        <w:t>I</w:t>
      </w:r>
      <w:r w:rsidRPr="00795698">
        <w:rPr>
          <w:spacing w:val="11"/>
          <w:szCs w:val="24"/>
          <w:lang w:val="sq-AL"/>
        </w:rPr>
        <w:t>N</w:t>
      </w:r>
      <w:r w:rsidRPr="00795698">
        <w:rPr>
          <w:spacing w:val="14"/>
          <w:szCs w:val="24"/>
          <w:lang w:val="sq-AL"/>
        </w:rPr>
        <w:t>A</w:t>
      </w:r>
      <w:r w:rsidRPr="00795698">
        <w:rPr>
          <w:spacing w:val="11"/>
          <w:szCs w:val="24"/>
          <w:lang w:val="sq-AL"/>
        </w:rPr>
        <w:t>N</w:t>
      </w:r>
      <w:r w:rsidRPr="00795698">
        <w:rPr>
          <w:spacing w:val="12"/>
          <w:szCs w:val="24"/>
          <w:lang w:val="sq-AL"/>
        </w:rPr>
        <w:t>C</w:t>
      </w:r>
      <w:r w:rsidRPr="00795698">
        <w:rPr>
          <w:spacing w:val="13"/>
          <w:szCs w:val="24"/>
          <w:lang w:val="sq-AL"/>
        </w:rPr>
        <w:t>I</w:t>
      </w:r>
      <w:r w:rsidRPr="00795698">
        <w:rPr>
          <w:spacing w:val="14"/>
          <w:szCs w:val="24"/>
          <w:lang w:val="sq-AL"/>
        </w:rPr>
        <w:t>A</w:t>
      </w:r>
      <w:r w:rsidRPr="00795698">
        <w:rPr>
          <w:spacing w:val="10"/>
          <w:szCs w:val="24"/>
          <w:lang w:val="sq-AL"/>
        </w:rPr>
        <w:t>R</w:t>
      </w:r>
      <w:r w:rsidRPr="00795698">
        <w:rPr>
          <w:szCs w:val="24"/>
          <w:lang w:val="sq-AL"/>
        </w:rPr>
        <w:t>E</w:t>
      </w:r>
      <w:r w:rsidRPr="00795698">
        <w:rPr>
          <w:spacing w:val="19"/>
          <w:szCs w:val="24"/>
          <w:lang w:val="sq-AL"/>
        </w:rPr>
        <w:t xml:space="preserve"> </w:t>
      </w:r>
      <w:r w:rsidRPr="00795698">
        <w:rPr>
          <w:spacing w:val="12"/>
          <w:szCs w:val="24"/>
          <w:lang w:val="sq-AL"/>
        </w:rPr>
        <w:t>P</w:t>
      </w:r>
      <w:r w:rsidRPr="00795698">
        <w:rPr>
          <w:szCs w:val="24"/>
          <w:lang w:val="sq-AL"/>
        </w:rPr>
        <w:t>ËR</w:t>
      </w:r>
      <w:r w:rsidRPr="00795698">
        <w:rPr>
          <w:spacing w:val="17"/>
          <w:szCs w:val="24"/>
          <w:lang w:val="sq-AL"/>
        </w:rPr>
        <w:t xml:space="preserve"> </w:t>
      </w:r>
      <w:r w:rsidRPr="00795698">
        <w:rPr>
          <w:spacing w:val="11"/>
          <w:szCs w:val="24"/>
          <w:lang w:val="sq-AL"/>
        </w:rPr>
        <w:t>Z</w:t>
      </w:r>
      <w:r w:rsidRPr="00795698">
        <w:rPr>
          <w:spacing w:val="12"/>
          <w:szCs w:val="24"/>
          <w:lang w:val="sq-AL"/>
        </w:rPr>
        <w:t>B</w:t>
      </w:r>
      <w:r w:rsidRPr="00795698">
        <w:rPr>
          <w:spacing w:val="14"/>
          <w:szCs w:val="24"/>
          <w:lang w:val="sq-AL"/>
        </w:rPr>
        <w:t>A</w:t>
      </w:r>
      <w:r w:rsidRPr="00795698">
        <w:rPr>
          <w:spacing w:val="11"/>
          <w:szCs w:val="24"/>
          <w:lang w:val="sq-AL"/>
        </w:rPr>
        <w:t>T</w:t>
      </w:r>
      <w:r w:rsidRPr="00795698">
        <w:rPr>
          <w:spacing w:val="13"/>
          <w:szCs w:val="24"/>
          <w:lang w:val="sq-AL"/>
        </w:rPr>
        <w:t>I</w:t>
      </w:r>
      <w:r w:rsidRPr="00795698">
        <w:rPr>
          <w:szCs w:val="24"/>
          <w:lang w:val="sq-AL"/>
        </w:rPr>
        <w:t>M</w:t>
      </w:r>
      <w:bookmarkEnd w:id="126"/>
    </w:p>
    <w:p w14:paraId="5FEEFA69" w14:textId="4D127B0E" w:rsidR="00893E99" w:rsidRPr="00795698" w:rsidRDefault="00893E99" w:rsidP="003E1E3A">
      <w:pPr>
        <w:shd w:val="clear" w:color="auto" w:fill="FFFFFF"/>
        <w:ind w:firstLine="284"/>
        <w:jc w:val="both"/>
        <w:rPr>
          <w:rFonts w:ascii="Garamond" w:hAnsi="Garamond"/>
          <w:color w:val="212121"/>
        </w:rPr>
      </w:pPr>
      <w:r w:rsidRPr="00795698">
        <w:rPr>
          <w:rFonts w:ascii="Garamond" w:hAnsi="Garamond"/>
          <w:color w:val="212121"/>
        </w:rPr>
        <w:t xml:space="preserve">Efektet financiare përllogariten nga çdo institucion bazuar në implementimin e aktiviteteve të masave përkatëse që janë të parashikuara në Planin e Veprimit të kësaj Strategjie. Efektet financiare përballohen nga buxhetet respektive vjetore të institucioneve të ngarkuara, si dhe nga buxheti i </w:t>
      </w:r>
      <w:r w:rsidRPr="00795698">
        <w:rPr>
          <w:rFonts w:ascii="Garamond" w:hAnsi="Garamond"/>
          <w:color w:val="212121"/>
        </w:rPr>
        <w:lastRenderedPageBreak/>
        <w:t xml:space="preserve">donatorëve për zbatimin e Strategjisë Ndërsektoriale të Parandalimit të Ekstremizmit të Dhunshëm dhe Luftës </w:t>
      </w:r>
      <w:r w:rsidR="004478B9" w:rsidRPr="00795698">
        <w:rPr>
          <w:rFonts w:ascii="Garamond" w:hAnsi="Garamond"/>
          <w:color w:val="212121"/>
        </w:rPr>
        <w:t>k</w:t>
      </w:r>
      <w:r w:rsidRPr="00795698">
        <w:rPr>
          <w:rFonts w:ascii="Garamond" w:hAnsi="Garamond"/>
          <w:color w:val="212121"/>
        </w:rPr>
        <w:t xml:space="preserve">undër Terrorizmit </w:t>
      </w:r>
      <w:r w:rsidR="006249E3" w:rsidRPr="00795698">
        <w:rPr>
          <w:rFonts w:ascii="Garamond" w:hAnsi="Garamond"/>
          <w:color w:val="212121"/>
        </w:rPr>
        <w:t>2023–2025</w:t>
      </w:r>
      <w:r w:rsidRPr="00795698">
        <w:rPr>
          <w:rFonts w:ascii="Garamond" w:hAnsi="Garamond"/>
          <w:color w:val="212121"/>
        </w:rPr>
        <w:t xml:space="preserve"> dhe Planeve të Veprimit </w:t>
      </w:r>
      <w:r w:rsidR="006249E3" w:rsidRPr="00795698">
        <w:rPr>
          <w:rFonts w:ascii="Garamond" w:hAnsi="Garamond"/>
          <w:color w:val="212121"/>
        </w:rPr>
        <w:t>2023–2025</w:t>
      </w:r>
      <w:r w:rsidRPr="00795698">
        <w:rPr>
          <w:rFonts w:ascii="Garamond" w:hAnsi="Garamond"/>
          <w:color w:val="212121"/>
        </w:rPr>
        <w:t>, në mënyrë të detajuar.</w:t>
      </w:r>
    </w:p>
    <w:p w14:paraId="5FEEFA6A" w14:textId="19C24DB4" w:rsidR="00893E99" w:rsidRPr="00795698" w:rsidRDefault="00893E99" w:rsidP="00893E99">
      <w:pPr>
        <w:shd w:val="clear" w:color="auto" w:fill="FFFFFF"/>
        <w:ind w:firstLine="284"/>
        <w:jc w:val="both"/>
        <w:rPr>
          <w:rFonts w:ascii="Garamond" w:hAnsi="Garamond"/>
          <w:color w:val="212121"/>
        </w:rPr>
      </w:pPr>
      <w:r w:rsidRPr="00795698">
        <w:rPr>
          <w:rFonts w:ascii="Garamond" w:hAnsi="Garamond"/>
          <w:color w:val="000000"/>
        </w:rPr>
        <w:t xml:space="preserve">Ky kapitull përshkruan shpërndarjen në vija të përgjithshme të burimeve financiare që financojnë produktet e </w:t>
      </w:r>
      <w:r w:rsidRPr="00795698">
        <w:rPr>
          <w:rFonts w:ascii="Garamond" w:hAnsi="Garamond"/>
          <w:color w:val="212121"/>
        </w:rPr>
        <w:t xml:space="preserve">Strategjisë Ndërsektoriale të Parandalimit të Ekstremizmit të Dhunshëm dhe Luftës </w:t>
      </w:r>
      <w:r w:rsidR="004478B9" w:rsidRPr="00795698">
        <w:rPr>
          <w:rFonts w:ascii="Garamond" w:hAnsi="Garamond"/>
          <w:color w:val="212121"/>
        </w:rPr>
        <w:t>k</w:t>
      </w:r>
      <w:r w:rsidRPr="00795698">
        <w:rPr>
          <w:rFonts w:ascii="Garamond" w:hAnsi="Garamond"/>
          <w:color w:val="212121"/>
        </w:rPr>
        <w:t xml:space="preserve">undër Terrorizmit </w:t>
      </w:r>
      <w:r w:rsidR="006249E3" w:rsidRPr="00795698">
        <w:rPr>
          <w:rFonts w:ascii="Garamond" w:hAnsi="Garamond"/>
          <w:color w:val="212121"/>
        </w:rPr>
        <w:t>2023–2025</w:t>
      </w:r>
      <w:r w:rsidRPr="00795698">
        <w:rPr>
          <w:rFonts w:ascii="Garamond" w:hAnsi="Garamond"/>
          <w:color w:val="212121"/>
        </w:rPr>
        <w:t xml:space="preserve"> dhe Planeve të Veprimit </w:t>
      </w:r>
      <w:r w:rsidR="006249E3" w:rsidRPr="00795698">
        <w:rPr>
          <w:rFonts w:ascii="Garamond" w:hAnsi="Garamond"/>
          <w:color w:val="212121"/>
        </w:rPr>
        <w:t>2023–2025</w:t>
      </w:r>
      <w:r w:rsidRPr="00795698">
        <w:rPr>
          <w:rFonts w:ascii="Garamond" w:hAnsi="Garamond"/>
          <w:color w:val="000000"/>
        </w:rPr>
        <w:t>. </w:t>
      </w:r>
      <w:r w:rsidRPr="00795698">
        <w:rPr>
          <w:rFonts w:ascii="Garamond" w:hAnsi="Garamond"/>
          <w:color w:val="212121"/>
        </w:rPr>
        <w:t xml:space="preserve">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Parandalimit të Ekstremizmit të Dhunshëm dhe Luftës </w:t>
      </w:r>
      <w:r w:rsidR="004478B9" w:rsidRPr="00795698">
        <w:rPr>
          <w:rFonts w:ascii="Garamond" w:hAnsi="Garamond"/>
          <w:color w:val="212121"/>
        </w:rPr>
        <w:t>k</w:t>
      </w:r>
      <w:r w:rsidRPr="00795698">
        <w:rPr>
          <w:rFonts w:ascii="Garamond" w:hAnsi="Garamond"/>
          <w:color w:val="212121"/>
        </w:rPr>
        <w:t xml:space="preserve">undër Terrorizmit </w:t>
      </w:r>
      <w:r w:rsidR="006249E3" w:rsidRPr="00795698">
        <w:rPr>
          <w:rFonts w:ascii="Garamond" w:hAnsi="Garamond"/>
          <w:color w:val="212121"/>
        </w:rPr>
        <w:t>2023–2025</w:t>
      </w:r>
      <w:r w:rsidRPr="00795698">
        <w:rPr>
          <w:rFonts w:ascii="Garamond" w:hAnsi="Garamond"/>
          <w:color w:val="212121"/>
        </w:rPr>
        <w:t xml:space="preserve"> dhe Planeve të Veprimit </w:t>
      </w:r>
      <w:r w:rsidR="006249E3" w:rsidRPr="00795698">
        <w:rPr>
          <w:rFonts w:ascii="Garamond" w:hAnsi="Garamond"/>
          <w:color w:val="212121"/>
        </w:rPr>
        <w:t>2023–2025</w:t>
      </w:r>
      <w:r w:rsidRPr="00795698">
        <w:rPr>
          <w:rFonts w:ascii="Garamond" w:hAnsi="Garamond"/>
          <w:color w:val="212121"/>
        </w:rPr>
        <w:t>, në mënyrë të detajuar.</w:t>
      </w:r>
    </w:p>
    <w:p w14:paraId="5FEEFA6B" w14:textId="6E3CE857" w:rsidR="00893E99" w:rsidRPr="00795698" w:rsidRDefault="00893E99" w:rsidP="00893E99">
      <w:pPr>
        <w:shd w:val="clear" w:color="auto" w:fill="FFFFFF"/>
        <w:ind w:firstLine="284"/>
        <w:jc w:val="both"/>
        <w:rPr>
          <w:rFonts w:ascii="Garamond" w:hAnsi="Garamond"/>
          <w:color w:val="212121"/>
        </w:rPr>
      </w:pPr>
      <w:r w:rsidRPr="00795698">
        <w:rPr>
          <w:rFonts w:ascii="Garamond" w:hAnsi="Garamond"/>
          <w:color w:val="212121"/>
        </w:rPr>
        <w:t xml:space="preserve">Procesi i kostimit është bazuar në konsultimin e </w:t>
      </w:r>
      <w:r w:rsidR="004478B9" w:rsidRPr="00795698">
        <w:rPr>
          <w:rFonts w:ascii="Garamond" w:hAnsi="Garamond"/>
          <w:color w:val="212121"/>
        </w:rPr>
        <w:t>dokumenteve</w:t>
      </w:r>
      <w:r w:rsidRPr="00795698">
        <w:rPr>
          <w:rFonts w:ascii="Garamond" w:hAnsi="Garamond"/>
          <w:color w:val="212121"/>
        </w:rPr>
        <w:t xml:space="preserve"> kombëtare, përfshirë këtu Programin Buxhetor Afatmesëm </w:t>
      </w:r>
      <w:r w:rsidR="00623407" w:rsidRPr="00795698">
        <w:rPr>
          <w:rFonts w:ascii="Garamond" w:hAnsi="Garamond"/>
          <w:color w:val="212121"/>
        </w:rPr>
        <w:t>2021–</w:t>
      </w:r>
      <w:r w:rsidRPr="00795698">
        <w:rPr>
          <w:rFonts w:ascii="Garamond" w:hAnsi="Garamond"/>
          <w:color w:val="212121"/>
        </w:rPr>
        <w:t xml:space="preserve">2023 dhe atë </w:t>
      </w:r>
      <w:r w:rsidR="006249E3" w:rsidRPr="00795698">
        <w:rPr>
          <w:rFonts w:ascii="Garamond" w:hAnsi="Garamond"/>
          <w:color w:val="212121"/>
        </w:rPr>
        <w:t>2023–2025</w:t>
      </w:r>
      <w:r w:rsidRPr="00795698">
        <w:rPr>
          <w:rFonts w:ascii="Garamond" w:hAnsi="Garamond"/>
          <w:color w:val="212121"/>
        </w:rPr>
        <w:t xml:space="preserve">, si dhe konsultimet me institucionet e përfshira. Planet e Veprimit </w:t>
      </w:r>
      <w:r w:rsidR="006249E3" w:rsidRPr="00795698">
        <w:rPr>
          <w:rFonts w:ascii="Garamond" w:hAnsi="Garamond"/>
          <w:color w:val="212121"/>
        </w:rPr>
        <w:t>2023–2025</w:t>
      </w:r>
      <w:r w:rsidRPr="00795698">
        <w:rPr>
          <w:rFonts w:ascii="Garamond" w:hAnsi="Garamond"/>
          <w:color w:val="212121"/>
        </w:rPr>
        <w:t xml:space="preserve"> janë shoqëruar me një kostim analitik të secilës masë në përmbushje të objektivave specifikë.</w:t>
      </w:r>
    </w:p>
    <w:p w14:paraId="5FEEFA6C" w14:textId="7D30742D" w:rsidR="00893E99" w:rsidRPr="00795698" w:rsidRDefault="00893E99" w:rsidP="00893E99">
      <w:pPr>
        <w:pStyle w:val="NoSpacing"/>
        <w:ind w:firstLine="284"/>
        <w:jc w:val="both"/>
        <w:rPr>
          <w:rFonts w:ascii="Garamond" w:hAnsi="Garamond"/>
          <w:lang w:val="sq-AL"/>
        </w:rPr>
      </w:pPr>
      <w:r w:rsidRPr="00795698">
        <w:rPr>
          <w:rFonts w:ascii="Garamond" w:hAnsi="Garamond"/>
          <w:lang w:val="sq-AL"/>
        </w:rPr>
        <w:t xml:space="preserve">Strategjia implementohet përmes dy planeve të veprimit përkatësisht Planit të Veprimit të Luftës </w:t>
      </w:r>
      <w:r w:rsidR="004478B9" w:rsidRPr="00795698">
        <w:rPr>
          <w:rFonts w:ascii="Garamond" w:hAnsi="Garamond"/>
          <w:lang w:val="sq-AL"/>
        </w:rPr>
        <w:t>k</w:t>
      </w:r>
      <w:r w:rsidRPr="00795698">
        <w:rPr>
          <w:rFonts w:ascii="Garamond" w:hAnsi="Garamond"/>
          <w:lang w:val="sq-AL"/>
        </w:rPr>
        <w:t xml:space="preserve">undër Terrorizmit </w:t>
      </w:r>
      <w:r w:rsidR="006249E3" w:rsidRPr="00795698">
        <w:rPr>
          <w:rFonts w:ascii="Garamond" w:hAnsi="Garamond"/>
          <w:lang w:val="sq-AL"/>
        </w:rPr>
        <w:t>2023–2025</w:t>
      </w:r>
      <w:r w:rsidRPr="00795698">
        <w:rPr>
          <w:rFonts w:ascii="Garamond" w:hAnsi="Garamond"/>
          <w:lang w:val="sq-AL"/>
        </w:rPr>
        <w:t xml:space="preserve"> dhe Planit të Veprimit të Parandalimit dhe Kundërshtimit të Ekstremizmit të Dhunshëm </w:t>
      </w:r>
      <w:r w:rsidR="006249E3" w:rsidRPr="00795698">
        <w:rPr>
          <w:rFonts w:ascii="Garamond" w:hAnsi="Garamond"/>
          <w:lang w:val="sq-AL"/>
        </w:rPr>
        <w:t>2023–2025</w:t>
      </w:r>
      <w:r w:rsidRPr="00795698">
        <w:rPr>
          <w:rFonts w:ascii="Garamond" w:hAnsi="Garamond"/>
          <w:lang w:val="sq-AL"/>
        </w:rPr>
        <w:t xml:space="preserve">. Kostot dhe shpenzimet janë detajuar në planet respektive të veprimit sipas programeve buxhetore dhe kodeve të produkteve të PBA </w:t>
      </w:r>
      <w:r w:rsidR="006249E3" w:rsidRPr="00795698">
        <w:rPr>
          <w:rFonts w:ascii="Garamond" w:hAnsi="Garamond"/>
          <w:lang w:val="sq-AL"/>
        </w:rPr>
        <w:t>2023–2025</w:t>
      </w:r>
      <w:r w:rsidRPr="00795698">
        <w:rPr>
          <w:rFonts w:ascii="Garamond" w:hAnsi="Garamond"/>
          <w:lang w:val="sq-AL"/>
        </w:rPr>
        <w:t xml:space="preserve">. Kosto e Planit të Veprimit të Luftës </w:t>
      </w:r>
      <w:r w:rsidR="004478B9" w:rsidRPr="00795698">
        <w:rPr>
          <w:rFonts w:ascii="Garamond" w:hAnsi="Garamond"/>
          <w:lang w:val="sq-AL"/>
        </w:rPr>
        <w:t>k</w:t>
      </w:r>
      <w:r w:rsidRPr="00795698">
        <w:rPr>
          <w:rFonts w:ascii="Garamond" w:hAnsi="Garamond"/>
          <w:lang w:val="sq-AL"/>
        </w:rPr>
        <w:t xml:space="preserve">undër Terrorizmit ka ndryshuar si pasojë e ndryshimit të afateve të aktiviteteve të cilat fillojnë nga viti 2023 dhe shtrihen deri në vitin 2025. Gjithashtu bazuar në ndryshimin e institucionit përgjegjës dhe rishikimit të masave të parashikuara në programin buxhetor të Prokurorisë së Përgjithshme duke i përcaktuar ato tashmë mbi bazën e programit buxhetor “Veprimtaria e SPAK 03390” të Strukturës së Posaçme </w:t>
      </w:r>
      <w:r w:rsidR="004478B9" w:rsidRPr="00795698">
        <w:rPr>
          <w:rFonts w:ascii="Garamond" w:hAnsi="Garamond"/>
          <w:lang w:val="sq-AL"/>
        </w:rPr>
        <w:t>k</w:t>
      </w:r>
      <w:r w:rsidRPr="00795698">
        <w:rPr>
          <w:rFonts w:ascii="Garamond" w:hAnsi="Garamond"/>
          <w:lang w:val="sq-AL"/>
        </w:rPr>
        <w:t xml:space="preserve">undër Krimit të Organizuar dhe Korrupsionit (SPAK), kurse programet buxhetore të institucioneve të tjera mbeten të pandryshuara. </w:t>
      </w:r>
    </w:p>
    <w:p w14:paraId="5FEEFA6E" w14:textId="2FCC4134" w:rsidR="00F87E82" w:rsidRPr="00795698" w:rsidRDefault="00F87E82" w:rsidP="00F87E82">
      <w:pPr>
        <w:pStyle w:val="TEKSTIIIII"/>
        <w:rPr>
          <w:b/>
          <w:lang w:val="sq-AL"/>
        </w:rPr>
      </w:pPr>
      <w:r w:rsidRPr="00795698">
        <w:rPr>
          <w:b/>
          <w:lang w:val="sq-AL"/>
        </w:rPr>
        <w:t>I. Kosto</w:t>
      </w:r>
      <w:r w:rsidR="004478B9" w:rsidRPr="00795698">
        <w:rPr>
          <w:b/>
          <w:lang w:val="sq-AL"/>
        </w:rPr>
        <w:t>ja</w:t>
      </w:r>
      <w:r w:rsidRPr="00795698">
        <w:rPr>
          <w:b/>
          <w:lang w:val="sq-AL"/>
        </w:rPr>
        <w:t xml:space="preserve"> totale e strategjisë</w:t>
      </w:r>
    </w:p>
    <w:p w14:paraId="5FEEFA6F" w14:textId="2C82EB25" w:rsidR="00F87E82" w:rsidRPr="00795698" w:rsidRDefault="00F87E82" w:rsidP="00F87E82">
      <w:pPr>
        <w:pStyle w:val="TEKSTIIIII"/>
        <w:rPr>
          <w:lang w:val="sq-AL"/>
        </w:rPr>
      </w:pPr>
      <w:r w:rsidRPr="00795698">
        <w:rPr>
          <w:lang w:val="sq-AL"/>
        </w:rPr>
        <w:t>Kosto totale e dy Planeve të Veprimit</w:t>
      </w:r>
      <w:r w:rsidR="007C064A" w:rsidRPr="00795698">
        <w:rPr>
          <w:lang w:val="sq-AL"/>
        </w:rPr>
        <w:t xml:space="preserve"> </w:t>
      </w:r>
      <w:r w:rsidRPr="00795698">
        <w:rPr>
          <w:lang w:val="sq-AL"/>
        </w:rPr>
        <w:t>e integruar është në vlerën</w:t>
      </w:r>
      <w:r w:rsidR="007C064A" w:rsidRPr="00795698">
        <w:rPr>
          <w:lang w:val="sq-AL"/>
        </w:rPr>
        <w:t xml:space="preserve"> </w:t>
      </w:r>
      <w:r w:rsidRPr="00795698">
        <w:rPr>
          <w:lang w:val="sq-AL"/>
        </w:rPr>
        <w:t xml:space="preserve">2,363,960,315 </w:t>
      </w:r>
      <w:r w:rsidR="004478B9" w:rsidRPr="00795698">
        <w:rPr>
          <w:lang w:val="sq-AL"/>
        </w:rPr>
        <w:t>l</w:t>
      </w:r>
      <w:r w:rsidRPr="00795698">
        <w:rPr>
          <w:lang w:val="sq-AL"/>
        </w:rPr>
        <w:t>ekë, ku 99% (ose 2,361,033,002 lekë)</w:t>
      </w:r>
      <w:r w:rsidR="007C064A" w:rsidRPr="00795698">
        <w:rPr>
          <w:lang w:val="sq-AL"/>
        </w:rPr>
        <w:t xml:space="preserve"> </w:t>
      </w:r>
      <w:r w:rsidRPr="00795698">
        <w:rPr>
          <w:lang w:val="sq-AL"/>
        </w:rPr>
        <w:t xml:space="preserve">e të cilit financohet nga PBA </w:t>
      </w:r>
      <w:r w:rsidR="006249E3" w:rsidRPr="00795698">
        <w:rPr>
          <w:lang w:val="sq-AL"/>
        </w:rPr>
        <w:t>2023–2025</w:t>
      </w:r>
      <w:r w:rsidRPr="00795698">
        <w:rPr>
          <w:lang w:val="sq-AL"/>
        </w:rPr>
        <w:t xml:space="preserve"> dhe vetëm 1% është me mbështetje nga donatorët. Aktivitetet e parashikuara janë të financuara nga programet buxhetore të institucioneve përgjegjëse dhe nuk ka hendek financiar. </w:t>
      </w:r>
    </w:p>
    <w:p w14:paraId="5FEEFA70" w14:textId="16F77EE8" w:rsidR="00F87E82" w:rsidRPr="00795698" w:rsidRDefault="00F87E82" w:rsidP="00F87E82">
      <w:pPr>
        <w:pStyle w:val="TEKSTIIIII"/>
        <w:rPr>
          <w:lang w:val="sq-AL"/>
        </w:rPr>
      </w:pPr>
      <w:r w:rsidRPr="00795698">
        <w:rPr>
          <w:lang w:val="sq-AL"/>
        </w:rPr>
        <w:t xml:space="preserve">Financimi i Planeve të Veprimit të Luftës </w:t>
      </w:r>
      <w:r w:rsidR="004478B9" w:rsidRPr="00795698">
        <w:rPr>
          <w:lang w:val="sq-AL"/>
        </w:rPr>
        <w:t>k</w:t>
      </w:r>
      <w:r w:rsidRPr="00795698">
        <w:rPr>
          <w:lang w:val="sq-AL"/>
        </w:rPr>
        <w:t>undër Terrorizmit dhe Parandalimit dhe Kundërshtimit të Ekstremizmit të Dhunshëm</w:t>
      </w:r>
      <w:r w:rsidR="007C064A" w:rsidRPr="00795698">
        <w:rPr>
          <w:lang w:val="sq-AL"/>
        </w:rPr>
        <w:t xml:space="preserve"> </w:t>
      </w:r>
      <w:r w:rsidRPr="00795698">
        <w:rPr>
          <w:lang w:val="sq-AL"/>
        </w:rPr>
        <w:t xml:space="preserve">për vitet </w:t>
      </w:r>
      <w:r w:rsidR="006249E3" w:rsidRPr="00795698">
        <w:rPr>
          <w:lang w:val="sq-AL"/>
        </w:rPr>
        <w:t>2023–2025</w:t>
      </w:r>
      <w:r w:rsidRPr="00795698">
        <w:rPr>
          <w:lang w:val="sq-AL"/>
        </w:rPr>
        <w:t xml:space="preserve"> (në lekë) dhe në euro paraqitet si më poshtë:</w:t>
      </w:r>
    </w:p>
    <w:tbl>
      <w:tblPr>
        <w:tblStyle w:val="TableGrid"/>
        <w:tblW w:w="0" w:type="auto"/>
        <w:jc w:val="center"/>
        <w:tblLook w:val="04A0" w:firstRow="1" w:lastRow="0" w:firstColumn="1" w:lastColumn="0" w:noHBand="0" w:noVBand="1"/>
      </w:tblPr>
      <w:tblGrid>
        <w:gridCol w:w="3192"/>
        <w:gridCol w:w="1878"/>
        <w:gridCol w:w="1559"/>
      </w:tblGrid>
      <w:tr w:rsidR="006D2295" w:rsidRPr="00795698" w14:paraId="5FEEFA74" w14:textId="77777777" w:rsidTr="004478B9">
        <w:trPr>
          <w:jc w:val="center"/>
        </w:trPr>
        <w:tc>
          <w:tcPr>
            <w:tcW w:w="3192" w:type="dxa"/>
            <w:shd w:val="clear" w:color="auto" w:fill="548DD4" w:themeFill="text2" w:themeFillTint="99"/>
          </w:tcPr>
          <w:p w14:paraId="5FEEFA71" w14:textId="77777777" w:rsidR="006D2295" w:rsidRPr="00795698" w:rsidRDefault="006D2295" w:rsidP="00F87E82">
            <w:pPr>
              <w:pStyle w:val="TEKSTIIIII"/>
              <w:ind w:firstLine="0"/>
              <w:rPr>
                <w:sz w:val="18"/>
              </w:rPr>
            </w:pPr>
          </w:p>
        </w:tc>
        <w:tc>
          <w:tcPr>
            <w:tcW w:w="1878" w:type="dxa"/>
            <w:shd w:val="clear" w:color="auto" w:fill="548DD4" w:themeFill="text2" w:themeFillTint="99"/>
          </w:tcPr>
          <w:p w14:paraId="5FEEFA72" w14:textId="77777777" w:rsidR="006D2295" w:rsidRPr="00795698" w:rsidRDefault="006D2295" w:rsidP="00F87E82">
            <w:pPr>
              <w:pStyle w:val="TEKSTIIIII"/>
              <w:ind w:firstLine="0"/>
              <w:rPr>
                <w:color w:val="FFFFFF" w:themeColor="background1"/>
                <w:sz w:val="18"/>
              </w:rPr>
            </w:pPr>
            <w:r w:rsidRPr="00795698">
              <w:rPr>
                <w:b/>
                <w:bCs/>
                <w:color w:val="FFFFFF" w:themeColor="background1"/>
                <w:sz w:val="18"/>
              </w:rPr>
              <w:t>LEKË</w:t>
            </w:r>
          </w:p>
        </w:tc>
        <w:tc>
          <w:tcPr>
            <w:tcW w:w="1559" w:type="dxa"/>
            <w:shd w:val="clear" w:color="auto" w:fill="548DD4" w:themeFill="text2" w:themeFillTint="99"/>
          </w:tcPr>
          <w:p w14:paraId="5FEEFA73" w14:textId="77777777" w:rsidR="006D2295" w:rsidRPr="00795698" w:rsidRDefault="006D2295" w:rsidP="00F87E82">
            <w:pPr>
              <w:pStyle w:val="TEKSTIIIII"/>
              <w:ind w:firstLine="0"/>
              <w:rPr>
                <w:color w:val="FFFFFF" w:themeColor="background1"/>
                <w:sz w:val="18"/>
              </w:rPr>
            </w:pPr>
            <w:r w:rsidRPr="00795698">
              <w:rPr>
                <w:b/>
                <w:bCs/>
                <w:color w:val="FFFFFF" w:themeColor="background1"/>
                <w:sz w:val="18"/>
              </w:rPr>
              <w:t>EURO</w:t>
            </w:r>
          </w:p>
        </w:tc>
      </w:tr>
      <w:tr w:rsidR="006D2295" w:rsidRPr="00795698" w14:paraId="5FEEFA78" w14:textId="77777777" w:rsidTr="004478B9">
        <w:trPr>
          <w:jc w:val="center"/>
        </w:trPr>
        <w:tc>
          <w:tcPr>
            <w:tcW w:w="3192" w:type="dxa"/>
            <w:shd w:val="clear" w:color="auto" w:fill="C6D9F1" w:themeFill="text2" w:themeFillTint="33"/>
          </w:tcPr>
          <w:p w14:paraId="5FEEFA75" w14:textId="77777777" w:rsidR="006D2295" w:rsidRPr="00795698" w:rsidRDefault="006D2295" w:rsidP="00F87E82">
            <w:pPr>
              <w:pStyle w:val="TEKSTIIIII"/>
              <w:ind w:firstLine="0"/>
              <w:rPr>
                <w:sz w:val="18"/>
              </w:rPr>
            </w:pPr>
            <w:r w:rsidRPr="00795698">
              <w:rPr>
                <w:b/>
                <w:bCs/>
                <w:color w:val="000000"/>
                <w:sz w:val="18"/>
                <w:lang w:eastAsia="en-GB"/>
              </w:rPr>
              <w:t>KOSTO TOTALE INDIKATIVE</w:t>
            </w:r>
          </w:p>
        </w:tc>
        <w:tc>
          <w:tcPr>
            <w:tcW w:w="1878" w:type="dxa"/>
            <w:shd w:val="clear" w:color="auto" w:fill="C6D9F1" w:themeFill="text2" w:themeFillTint="33"/>
          </w:tcPr>
          <w:p w14:paraId="5FEEFA76" w14:textId="77777777" w:rsidR="006D2295" w:rsidRPr="00795698" w:rsidRDefault="006D2295" w:rsidP="00F87E82">
            <w:pPr>
              <w:pStyle w:val="TEKSTIIIII"/>
              <w:ind w:firstLine="0"/>
              <w:rPr>
                <w:sz w:val="18"/>
              </w:rPr>
            </w:pPr>
            <w:r w:rsidRPr="00795698">
              <w:rPr>
                <w:b/>
                <w:bCs/>
                <w:color w:val="000000"/>
                <w:sz w:val="18"/>
                <w:lang w:eastAsia="en-GB"/>
              </w:rPr>
              <w:t>2,363,960,315</w:t>
            </w:r>
          </w:p>
        </w:tc>
        <w:tc>
          <w:tcPr>
            <w:tcW w:w="1559" w:type="dxa"/>
            <w:shd w:val="clear" w:color="auto" w:fill="C6D9F1" w:themeFill="text2" w:themeFillTint="33"/>
          </w:tcPr>
          <w:p w14:paraId="5FEEFA77" w14:textId="77777777" w:rsidR="006D2295" w:rsidRPr="00795698" w:rsidRDefault="006D2295" w:rsidP="00F87E82">
            <w:pPr>
              <w:pStyle w:val="TEKSTIIIII"/>
              <w:ind w:firstLine="0"/>
              <w:rPr>
                <w:sz w:val="18"/>
              </w:rPr>
            </w:pPr>
            <w:r w:rsidRPr="00795698">
              <w:rPr>
                <w:b/>
                <w:bCs/>
                <w:color w:val="000000"/>
                <w:sz w:val="18"/>
                <w:lang w:eastAsia="en-GB"/>
              </w:rPr>
              <w:t>19,219,190</w:t>
            </w:r>
          </w:p>
        </w:tc>
      </w:tr>
      <w:tr w:rsidR="006D2295" w:rsidRPr="00795698" w14:paraId="5FEEFA7C" w14:textId="77777777" w:rsidTr="004478B9">
        <w:trPr>
          <w:jc w:val="center"/>
        </w:trPr>
        <w:tc>
          <w:tcPr>
            <w:tcW w:w="3192" w:type="dxa"/>
          </w:tcPr>
          <w:p w14:paraId="5FEEFA79" w14:textId="0416489F" w:rsidR="006D2295" w:rsidRPr="00795698" w:rsidRDefault="006D2295" w:rsidP="00F87E82">
            <w:pPr>
              <w:pStyle w:val="TEKSTIIIII"/>
              <w:ind w:firstLine="0"/>
              <w:rPr>
                <w:sz w:val="18"/>
              </w:rPr>
            </w:pPr>
            <w:r w:rsidRPr="00795698">
              <w:rPr>
                <w:b/>
                <w:bCs/>
                <w:color w:val="000000"/>
                <w:sz w:val="18"/>
                <w:lang w:eastAsia="en-GB"/>
              </w:rPr>
              <w:t xml:space="preserve">PBA </w:t>
            </w:r>
            <w:r w:rsidR="006249E3" w:rsidRPr="00795698">
              <w:rPr>
                <w:b/>
                <w:bCs/>
                <w:color w:val="000000"/>
                <w:sz w:val="18"/>
                <w:lang w:eastAsia="en-GB"/>
              </w:rPr>
              <w:t>2023–2025</w:t>
            </w:r>
          </w:p>
        </w:tc>
        <w:tc>
          <w:tcPr>
            <w:tcW w:w="1878" w:type="dxa"/>
          </w:tcPr>
          <w:p w14:paraId="5FEEFA7A" w14:textId="77777777" w:rsidR="006D2295" w:rsidRPr="00795698" w:rsidRDefault="006D2295" w:rsidP="00F87E82">
            <w:pPr>
              <w:pStyle w:val="TEKSTIIIII"/>
              <w:ind w:firstLine="0"/>
              <w:rPr>
                <w:sz w:val="18"/>
              </w:rPr>
            </w:pPr>
            <w:r w:rsidRPr="00795698">
              <w:rPr>
                <w:bCs/>
                <w:color w:val="000000"/>
                <w:sz w:val="18"/>
                <w:lang w:eastAsia="en-GB"/>
              </w:rPr>
              <w:t>2,361,033,002</w:t>
            </w:r>
          </w:p>
        </w:tc>
        <w:tc>
          <w:tcPr>
            <w:tcW w:w="1559" w:type="dxa"/>
          </w:tcPr>
          <w:p w14:paraId="5FEEFA7B" w14:textId="77777777" w:rsidR="006D2295" w:rsidRPr="00795698" w:rsidRDefault="006D2295" w:rsidP="00F87E82">
            <w:pPr>
              <w:pStyle w:val="TEKSTIIIII"/>
              <w:ind w:firstLine="0"/>
              <w:rPr>
                <w:sz w:val="18"/>
              </w:rPr>
            </w:pPr>
            <w:r w:rsidRPr="00795698">
              <w:rPr>
                <w:bCs/>
                <w:color w:val="000000"/>
                <w:sz w:val="18"/>
                <w:lang w:eastAsia="en-GB"/>
              </w:rPr>
              <w:t>19,195,390</w:t>
            </w:r>
          </w:p>
        </w:tc>
      </w:tr>
      <w:tr w:rsidR="006D2295" w:rsidRPr="00795698" w14:paraId="5FEEFA80" w14:textId="77777777" w:rsidTr="004478B9">
        <w:trPr>
          <w:jc w:val="center"/>
        </w:trPr>
        <w:tc>
          <w:tcPr>
            <w:tcW w:w="3192" w:type="dxa"/>
            <w:shd w:val="clear" w:color="auto" w:fill="C6D9F1" w:themeFill="text2" w:themeFillTint="33"/>
          </w:tcPr>
          <w:p w14:paraId="5FEEFA7D" w14:textId="77777777" w:rsidR="006D2295" w:rsidRPr="00795698" w:rsidRDefault="006D2295" w:rsidP="006D2295">
            <w:pPr>
              <w:pStyle w:val="NoSpacing"/>
              <w:spacing w:line="276" w:lineRule="auto"/>
              <w:rPr>
                <w:rFonts w:ascii="Garamond" w:hAnsi="Garamond"/>
                <w:b/>
                <w:bCs/>
                <w:sz w:val="18"/>
              </w:rPr>
            </w:pPr>
            <w:r w:rsidRPr="00795698">
              <w:rPr>
                <w:rFonts w:ascii="Garamond" w:hAnsi="Garamond"/>
                <w:b/>
                <w:bCs/>
                <w:color w:val="000000"/>
                <w:sz w:val="18"/>
                <w:lang w:eastAsia="en-GB"/>
              </w:rPr>
              <w:t>FINANCIM I HUAJ</w:t>
            </w:r>
          </w:p>
        </w:tc>
        <w:tc>
          <w:tcPr>
            <w:tcW w:w="1878" w:type="dxa"/>
            <w:shd w:val="clear" w:color="auto" w:fill="C6D9F1" w:themeFill="text2" w:themeFillTint="33"/>
          </w:tcPr>
          <w:p w14:paraId="5FEEFA7E" w14:textId="77777777" w:rsidR="006D2295" w:rsidRPr="00795698" w:rsidRDefault="006D2295" w:rsidP="006D2295">
            <w:pPr>
              <w:pStyle w:val="TEKSTIIIII"/>
              <w:ind w:firstLine="0"/>
              <w:rPr>
                <w:sz w:val="18"/>
              </w:rPr>
            </w:pPr>
            <w:r w:rsidRPr="00795698">
              <w:rPr>
                <w:bCs/>
                <w:color w:val="000000"/>
                <w:sz w:val="18"/>
                <w:lang w:eastAsia="en-GB"/>
              </w:rPr>
              <w:t>2,927,313</w:t>
            </w:r>
          </w:p>
        </w:tc>
        <w:tc>
          <w:tcPr>
            <w:tcW w:w="1559" w:type="dxa"/>
            <w:shd w:val="clear" w:color="auto" w:fill="C6D9F1" w:themeFill="text2" w:themeFillTint="33"/>
          </w:tcPr>
          <w:p w14:paraId="5FEEFA7F" w14:textId="77777777" w:rsidR="006D2295" w:rsidRPr="00795698" w:rsidRDefault="006D2295" w:rsidP="006D2295">
            <w:pPr>
              <w:pStyle w:val="TEKSTIIIII"/>
              <w:ind w:firstLine="0"/>
              <w:rPr>
                <w:sz w:val="18"/>
              </w:rPr>
            </w:pPr>
            <w:r w:rsidRPr="00795698">
              <w:rPr>
                <w:bCs/>
                <w:color w:val="000000"/>
                <w:sz w:val="18"/>
                <w:lang w:eastAsia="en-GB"/>
              </w:rPr>
              <w:t>23,799</w:t>
            </w:r>
          </w:p>
        </w:tc>
      </w:tr>
      <w:tr w:rsidR="006D2295" w:rsidRPr="00795698" w14:paraId="5FEEFA84" w14:textId="77777777" w:rsidTr="004478B9">
        <w:trPr>
          <w:jc w:val="center"/>
        </w:trPr>
        <w:tc>
          <w:tcPr>
            <w:tcW w:w="3192" w:type="dxa"/>
          </w:tcPr>
          <w:p w14:paraId="5FEEFA81" w14:textId="4502BDB6" w:rsidR="006D2295" w:rsidRPr="00795698" w:rsidRDefault="006D2295" w:rsidP="006D2295">
            <w:pPr>
              <w:pStyle w:val="TEKSTIIIII"/>
              <w:ind w:firstLine="0"/>
              <w:rPr>
                <w:sz w:val="18"/>
              </w:rPr>
            </w:pPr>
            <w:r w:rsidRPr="00795698">
              <w:rPr>
                <w:b/>
                <w:bCs/>
                <w:color w:val="000000"/>
                <w:sz w:val="18"/>
                <w:lang w:eastAsia="en-GB"/>
              </w:rPr>
              <w:t xml:space="preserve">HENDEK FINANCIAR </w:t>
            </w:r>
            <w:r w:rsidR="006249E3" w:rsidRPr="00795698">
              <w:rPr>
                <w:b/>
                <w:bCs/>
                <w:color w:val="000000"/>
                <w:sz w:val="18"/>
                <w:lang w:eastAsia="en-GB"/>
              </w:rPr>
              <w:t>2023–2025</w:t>
            </w:r>
          </w:p>
        </w:tc>
        <w:tc>
          <w:tcPr>
            <w:tcW w:w="1878" w:type="dxa"/>
          </w:tcPr>
          <w:p w14:paraId="5FEEFA82" w14:textId="77777777" w:rsidR="006D2295" w:rsidRPr="00795698" w:rsidRDefault="006D2295" w:rsidP="006D2295">
            <w:pPr>
              <w:pStyle w:val="TEKSTIIIII"/>
              <w:ind w:firstLine="0"/>
              <w:rPr>
                <w:sz w:val="18"/>
              </w:rPr>
            </w:pPr>
            <w:r w:rsidRPr="00795698">
              <w:rPr>
                <w:bCs/>
                <w:color w:val="000000"/>
                <w:sz w:val="18"/>
                <w:lang w:eastAsia="en-GB"/>
              </w:rPr>
              <w:t>0</w:t>
            </w:r>
          </w:p>
        </w:tc>
        <w:tc>
          <w:tcPr>
            <w:tcW w:w="1559" w:type="dxa"/>
          </w:tcPr>
          <w:p w14:paraId="5FEEFA83" w14:textId="77777777" w:rsidR="006D2295" w:rsidRPr="00795698" w:rsidRDefault="006D2295" w:rsidP="006D2295">
            <w:pPr>
              <w:pStyle w:val="TEKSTIIIII"/>
              <w:ind w:firstLine="0"/>
              <w:rPr>
                <w:sz w:val="18"/>
              </w:rPr>
            </w:pPr>
            <w:r w:rsidRPr="00795698">
              <w:rPr>
                <w:bCs/>
                <w:color w:val="000000"/>
                <w:sz w:val="18"/>
                <w:lang w:eastAsia="en-GB"/>
              </w:rPr>
              <w:t>0</w:t>
            </w:r>
          </w:p>
        </w:tc>
      </w:tr>
    </w:tbl>
    <w:p w14:paraId="5FEEFA85" w14:textId="77777777" w:rsidR="006D2295" w:rsidRPr="00795698" w:rsidRDefault="006D2295" w:rsidP="00F87E82">
      <w:pPr>
        <w:pStyle w:val="TEKSTIIIII"/>
        <w:rPr>
          <w:lang w:val="sq-AL"/>
        </w:rPr>
      </w:pPr>
    </w:p>
    <w:p w14:paraId="5FEEFA87" w14:textId="3B5CEA29" w:rsidR="006D2295" w:rsidRPr="00795698" w:rsidRDefault="0039171D" w:rsidP="0039171D">
      <w:pPr>
        <w:pStyle w:val="TEKSTIIIII"/>
        <w:rPr>
          <w:lang w:val="sq-AL"/>
        </w:rPr>
      </w:pPr>
      <w:r w:rsidRPr="00795698">
        <w:rPr>
          <w:lang w:val="sq-AL"/>
        </w:rPr>
        <w:t>Të gjitha kostot e aktiviteteve janë pothuajse kosto korrente.</w:t>
      </w:r>
    </w:p>
    <w:p w14:paraId="5FEEFA88" w14:textId="77777777" w:rsidR="006D2295" w:rsidRPr="00795698" w:rsidRDefault="00FF659E" w:rsidP="0039171D">
      <w:pPr>
        <w:pStyle w:val="TEKSTIIIII"/>
        <w:rPr>
          <w:lang w:val="sq-AL"/>
        </w:rPr>
      </w:pPr>
      <w:r w:rsidRPr="00795698">
        <w:rPr>
          <w:noProof/>
          <w:lang w:val="sq-AL"/>
        </w:rPr>
        <w:lastRenderedPageBreak/>
        <w:drawing>
          <wp:inline distT="0" distB="0" distL="0" distR="0" wp14:anchorId="5FEF2CF5" wp14:editId="5FEF2CF6">
            <wp:extent cx="5711825" cy="3108325"/>
            <wp:effectExtent l="0" t="0" r="22225" b="1587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FEEFA89" w14:textId="77777777" w:rsidR="00FF659E" w:rsidRPr="00795698" w:rsidRDefault="00FF659E" w:rsidP="0039171D">
      <w:pPr>
        <w:pStyle w:val="TEKSTIIIII"/>
        <w:rPr>
          <w:lang w:val="sq-AL"/>
        </w:rPr>
      </w:pPr>
    </w:p>
    <w:p w14:paraId="5FEEFA8A" w14:textId="77777777" w:rsidR="00FF659E" w:rsidRPr="00795698" w:rsidRDefault="00FF659E" w:rsidP="0039171D">
      <w:pPr>
        <w:pStyle w:val="TEKSTIIIII"/>
        <w:rPr>
          <w:lang w:val="sq-AL"/>
        </w:rPr>
      </w:pPr>
      <w:r w:rsidRPr="00795698">
        <w:rPr>
          <w:noProof/>
          <w:lang w:val="sq-AL"/>
        </w:rPr>
        <w:drawing>
          <wp:inline distT="0" distB="0" distL="0" distR="0" wp14:anchorId="5FEF2CF7" wp14:editId="7E3755DA">
            <wp:extent cx="5647334" cy="4262476"/>
            <wp:effectExtent l="0" t="0" r="10795" b="508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EEFA8B" w14:textId="77777777" w:rsidR="00F87E82" w:rsidRPr="00795698" w:rsidRDefault="00F87E82" w:rsidP="00ED5F82">
      <w:pPr>
        <w:pStyle w:val="TEKSTIIIII"/>
        <w:rPr>
          <w:i/>
          <w:sz w:val="18"/>
          <w:lang w:val="sq-AL"/>
        </w:rPr>
      </w:pPr>
    </w:p>
    <w:p w14:paraId="5FEEFA8C" w14:textId="185BE312" w:rsidR="00FF659E" w:rsidRPr="00795698" w:rsidRDefault="00FF659E" w:rsidP="00FF659E">
      <w:pPr>
        <w:pStyle w:val="TEKSTIIIII"/>
        <w:rPr>
          <w:lang w:val="sq-AL"/>
        </w:rPr>
      </w:pPr>
      <w:r w:rsidRPr="00795698">
        <w:rPr>
          <w:lang w:val="sq-AL"/>
        </w:rPr>
        <w:t>Sipas qëllimeve të politikave kostimi i Planeve të Veprimit të integruar</w:t>
      </w:r>
      <w:r w:rsidR="007C064A" w:rsidRPr="00795698">
        <w:rPr>
          <w:lang w:val="sq-AL"/>
        </w:rPr>
        <w:t xml:space="preserve"> </w:t>
      </w:r>
      <w:r w:rsidRPr="00795698">
        <w:rPr>
          <w:lang w:val="sq-AL"/>
        </w:rPr>
        <w:t xml:space="preserve">përkatësisht: Planit të Veprimit të Luftës </w:t>
      </w:r>
      <w:r w:rsidR="004478B9" w:rsidRPr="00795698">
        <w:rPr>
          <w:lang w:val="sq-AL"/>
        </w:rPr>
        <w:t>k</w:t>
      </w:r>
      <w:r w:rsidRPr="00795698">
        <w:rPr>
          <w:lang w:val="sq-AL"/>
        </w:rPr>
        <w:t xml:space="preserve">undër Terrorizmit </w:t>
      </w:r>
      <w:r w:rsidR="006249E3" w:rsidRPr="00795698">
        <w:rPr>
          <w:lang w:val="sq-AL"/>
        </w:rPr>
        <w:t>2023–2025</w:t>
      </w:r>
      <w:r w:rsidRPr="00795698">
        <w:rPr>
          <w:lang w:val="sq-AL"/>
        </w:rPr>
        <w:t xml:space="preserve"> dhe Planit të Veprimit të Parandalimit dhe Kundërshtimit të Ekstremizmit të Dhunshëm </w:t>
      </w:r>
      <w:r w:rsidR="006249E3" w:rsidRPr="00795698">
        <w:rPr>
          <w:lang w:val="sq-AL"/>
        </w:rPr>
        <w:t>2023–2025</w:t>
      </w:r>
      <w:r w:rsidRPr="00795698">
        <w:rPr>
          <w:lang w:val="sq-AL"/>
        </w:rPr>
        <w:t xml:space="preserve"> paraqitet si më poshtë vijon:</w:t>
      </w:r>
    </w:p>
    <w:p w14:paraId="5FEEFA8D" w14:textId="77777777" w:rsidR="00376FE9" w:rsidRPr="00795698" w:rsidRDefault="00376FE9" w:rsidP="00FF659E">
      <w:pPr>
        <w:pStyle w:val="TEKSTIIIII"/>
        <w:rPr>
          <w:lang w:val="sq-AL"/>
        </w:rPr>
      </w:pPr>
    </w:p>
    <w:tbl>
      <w:tblPr>
        <w:tblpPr w:leftFromText="180" w:rightFromText="180" w:vertAnchor="text" w:horzAnchor="margin" w:tblpY="-335"/>
        <w:tblW w:w="9344" w:type="dxa"/>
        <w:tblLook w:val="04A0" w:firstRow="1" w:lastRow="0" w:firstColumn="1" w:lastColumn="0" w:noHBand="0" w:noVBand="1"/>
      </w:tblPr>
      <w:tblGrid>
        <w:gridCol w:w="2808"/>
        <w:gridCol w:w="1440"/>
        <w:gridCol w:w="1596"/>
        <w:gridCol w:w="1910"/>
        <w:gridCol w:w="1590"/>
      </w:tblGrid>
      <w:tr w:rsidR="00376FE9" w:rsidRPr="00795698" w14:paraId="5FEEFA93" w14:textId="77777777" w:rsidTr="00D256C8">
        <w:trPr>
          <w:trHeight w:val="302"/>
        </w:trPr>
        <w:tc>
          <w:tcPr>
            <w:tcW w:w="2808"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5FEEFA8E" w14:textId="77777777" w:rsidR="00376FE9" w:rsidRPr="00795698" w:rsidRDefault="00376FE9" w:rsidP="00D256C8">
            <w:pPr>
              <w:spacing w:line="276" w:lineRule="auto"/>
              <w:jc w:val="both"/>
              <w:rPr>
                <w:rFonts w:ascii="Garamond" w:hAnsi="Garamond"/>
                <w:b/>
                <w:color w:val="FFFFFF"/>
                <w:sz w:val="16"/>
              </w:rPr>
            </w:pPr>
            <w:r w:rsidRPr="00795698">
              <w:rPr>
                <w:rFonts w:ascii="Garamond" w:hAnsi="Garamond"/>
                <w:b/>
                <w:color w:val="FFFFFF"/>
                <w:sz w:val="16"/>
              </w:rPr>
              <w:t>QËLLIMET E POLITIKAVE</w:t>
            </w:r>
          </w:p>
        </w:tc>
        <w:tc>
          <w:tcPr>
            <w:tcW w:w="1440" w:type="dxa"/>
            <w:vMerge w:val="restart"/>
            <w:tcBorders>
              <w:top w:val="single" w:sz="8" w:space="0" w:color="auto"/>
              <w:left w:val="nil"/>
              <w:bottom w:val="single" w:sz="8" w:space="0" w:color="4472C4"/>
              <w:right w:val="nil"/>
            </w:tcBorders>
            <w:shd w:val="clear" w:color="000000" w:fill="4472C4"/>
            <w:vAlign w:val="center"/>
            <w:hideMark/>
          </w:tcPr>
          <w:p w14:paraId="5FEEFA8F" w14:textId="77777777" w:rsidR="00376FE9" w:rsidRPr="00795698" w:rsidRDefault="00376FE9" w:rsidP="00D256C8">
            <w:pPr>
              <w:spacing w:line="276" w:lineRule="auto"/>
              <w:jc w:val="center"/>
              <w:rPr>
                <w:rFonts w:ascii="Garamond" w:hAnsi="Garamond"/>
                <w:b/>
                <w:color w:val="FFFFFF"/>
                <w:sz w:val="16"/>
              </w:rPr>
            </w:pPr>
            <w:r w:rsidRPr="00795698">
              <w:rPr>
                <w:rFonts w:ascii="Garamond" w:hAnsi="Garamond"/>
                <w:b/>
                <w:color w:val="FFFFFF"/>
                <w:sz w:val="16"/>
              </w:rPr>
              <w:t>NATYRA E KOSTOVE</w:t>
            </w:r>
          </w:p>
        </w:tc>
        <w:tc>
          <w:tcPr>
            <w:tcW w:w="1596" w:type="dxa"/>
            <w:tcBorders>
              <w:top w:val="single" w:sz="8" w:space="0" w:color="auto"/>
              <w:left w:val="nil"/>
              <w:bottom w:val="nil"/>
              <w:right w:val="nil"/>
            </w:tcBorders>
            <w:shd w:val="clear" w:color="000000" w:fill="4472C4"/>
            <w:vAlign w:val="center"/>
            <w:hideMark/>
          </w:tcPr>
          <w:p w14:paraId="5FEEFA90" w14:textId="77777777" w:rsidR="00376FE9" w:rsidRPr="00795698" w:rsidRDefault="00376FE9" w:rsidP="00D256C8">
            <w:pPr>
              <w:spacing w:line="276" w:lineRule="auto"/>
              <w:jc w:val="center"/>
              <w:rPr>
                <w:rFonts w:ascii="Garamond" w:hAnsi="Garamond"/>
                <w:b/>
                <w:color w:val="FFFFFF"/>
                <w:sz w:val="16"/>
              </w:rPr>
            </w:pPr>
            <w:r w:rsidRPr="00795698">
              <w:rPr>
                <w:rFonts w:ascii="Garamond" w:hAnsi="Garamond"/>
                <w:b/>
                <w:color w:val="FFFFFF"/>
                <w:sz w:val="16"/>
              </w:rPr>
              <w:t>KOSTOT TOTALE</w:t>
            </w:r>
          </w:p>
        </w:tc>
        <w:tc>
          <w:tcPr>
            <w:tcW w:w="1910" w:type="dxa"/>
            <w:tcBorders>
              <w:top w:val="single" w:sz="8" w:space="0" w:color="auto"/>
              <w:left w:val="nil"/>
              <w:bottom w:val="nil"/>
              <w:right w:val="nil"/>
            </w:tcBorders>
            <w:shd w:val="clear" w:color="000000" w:fill="4472C4"/>
            <w:vAlign w:val="center"/>
            <w:hideMark/>
          </w:tcPr>
          <w:p w14:paraId="5FEEFA91" w14:textId="77777777" w:rsidR="00376FE9" w:rsidRPr="00795698" w:rsidRDefault="00376FE9" w:rsidP="00D256C8">
            <w:pPr>
              <w:spacing w:line="276" w:lineRule="auto"/>
              <w:jc w:val="center"/>
              <w:rPr>
                <w:rFonts w:ascii="Garamond" w:hAnsi="Garamond"/>
                <w:b/>
                <w:color w:val="FFFFFF"/>
                <w:sz w:val="16"/>
              </w:rPr>
            </w:pPr>
            <w:r w:rsidRPr="00795698">
              <w:rPr>
                <w:rFonts w:ascii="Garamond" w:hAnsi="Garamond"/>
                <w:b/>
                <w:color w:val="FFFFFF"/>
                <w:sz w:val="16"/>
              </w:rPr>
              <w:t>PLANIFIKUAR NË</w:t>
            </w:r>
          </w:p>
        </w:tc>
        <w:tc>
          <w:tcPr>
            <w:tcW w:w="1590" w:type="dxa"/>
            <w:tcBorders>
              <w:top w:val="single" w:sz="8" w:space="0" w:color="auto"/>
              <w:left w:val="nil"/>
              <w:bottom w:val="nil"/>
              <w:right w:val="single" w:sz="8" w:space="0" w:color="auto"/>
            </w:tcBorders>
            <w:shd w:val="clear" w:color="000000" w:fill="4472C4"/>
            <w:vAlign w:val="center"/>
            <w:hideMark/>
          </w:tcPr>
          <w:p w14:paraId="5FEEFA92" w14:textId="77777777" w:rsidR="00376FE9" w:rsidRPr="00795698" w:rsidRDefault="00376FE9" w:rsidP="00D256C8">
            <w:pPr>
              <w:spacing w:line="276" w:lineRule="auto"/>
              <w:rPr>
                <w:rFonts w:ascii="Garamond" w:hAnsi="Garamond"/>
                <w:b/>
                <w:color w:val="FFFFFF"/>
                <w:sz w:val="16"/>
              </w:rPr>
            </w:pPr>
            <w:r w:rsidRPr="00795698">
              <w:rPr>
                <w:rFonts w:ascii="Garamond" w:hAnsi="Garamond"/>
                <w:b/>
                <w:color w:val="FFFFFF"/>
                <w:sz w:val="16"/>
              </w:rPr>
              <w:t>HENDEKU FINANCIAR</w:t>
            </w:r>
          </w:p>
        </w:tc>
      </w:tr>
      <w:tr w:rsidR="00376FE9" w:rsidRPr="00795698" w14:paraId="5FEEFA99" w14:textId="77777777" w:rsidTr="004478B9">
        <w:trPr>
          <w:trHeight w:val="46"/>
        </w:trPr>
        <w:tc>
          <w:tcPr>
            <w:tcW w:w="2808" w:type="dxa"/>
            <w:vMerge/>
            <w:tcBorders>
              <w:top w:val="single" w:sz="8" w:space="0" w:color="auto"/>
              <w:left w:val="single" w:sz="8" w:space="0" w:color="auto"/>
              <w:bottom w:val="single" w:sz="8" w:space="0" w:color="4472C4"/>
              <w:right w:val="nil"/>
            </w:tcBorders>
            <w:vAlign w:val="center"/>
            <w:hideMark/>
          </w:tcPr>
          <w:p w14:paraId="5FEEFA94" w14:textId="77777777" w:rsidR="00376FE9" w:rsidRPr="00795698" w:rsidRDefault="00376FE9" w:rsidP="00D256C8">
            <w:pPr>
              <w:spacing w:line="276" w:lineRule="auto"/>
              <w:rPr>
                <w:rFonts w:ascii="Garamond" w:hAnsi="Garamond"/>
                <w:b/>
                <w:color w:val="FFFFFF"/>
                <w:sz w:val="16"/>
              </w:rPr>
            </w:pPr>
          </w:p>
        </w:tc>
        <w:tc>
          <w:tcPr>
            <w:tcW w:w="1440" w:type="dxa"/>
            <w:vMerge/>
            <w:tcBorders>
              <w:top w:val="single" w:sz="8" w:space="0" w:color="auto"/>
              <w:left w:val="nil"/>
              <w:bottom w:val="single" w:sz="8" w:space="0" w:color="4472C4"/>
              <w:right w:val="nil"/>
            </w:tcBorders>
            <w:vAlign w:val="center"/>
            <w:hideMark/>
          </w:tcPr>
          <w:p w14:paraId="5FEEFA95" w14:textId="77777777" w:rsidR="00376FE9" w:rsidRPr="00795698" w:rsidRDefault="00376FE9" w:rsidP="00D256C8">
            <w:pPr>
              <w:spacing w:line="276" w:lineRule="auto"/>
              <w:rPr>
                <w:rFonts w:ascii="Garamond" w:hAnsi="Garamond"/>
                <w:b/>
                <w:color w:val="FFFFFF"/>
                <w:sz w:val="16"/>
              </w:rPr>
            </w:pPr>
          </w:p>
        </w:tc>
        <w:tc>
          <w:tcPr>
            <w:tcW w:w="1596" w:type="dxa"/>
            <w:tcBorders>
              <w:top w:val="nil"/>
              <w:left w:val="nil"/>
              <w:bottom w:val="nil"/>
              <w:right w:val="nil"/>
            </w:tcBorders>
            <w:shd w:val="clear" w:color="000000" w:fill="4472C4"/>
            <w:vAlign w:val="center"/>
            <w:hideMark/>
          </w:tcPr>
          <w:p w14:paraId="5FEEFA96" w14:textId="5B3277DF" w:rsidR="00376FE9" w:rsidRPr="00795698" w:rsidRDefault="006249E3" w:rsidP="00D256C8">
            <w:pPr>
              <w:spacing w:line="276" w:lineRule="auto"/>
              <w:jc w:val="center"/>
              <w:rPr>
                <w:rFonts w:ascii="Garamond" w:hAnsi="Garamond"/>
                <w:b/>
                <w:color w:val="FFFFFF"/>
                <w:sz w:val="16"/>
              </w:rPr>
            </w:pPr>
            <w:r w:rsidRPr="00795698">
              <w:rPr>
                <w:rFonts w:ascii="Garamond" w:hAnsi="Garamond"/>
                <w:b/>
                <w:color w:val="FFFFFF"/>
                <w:sz w:val="16"/>
              </w:rPr>
              <w:t>2023–2025</w:t>
            </w:r>
          </w:p>
        </w:tc>
        <w:tc>
          <w:tcPr>
            <w:tcW w:w="1910" w:type="dxa"/>
            <w:tcBorders>
              <w:top w:val="nil"/>
              <w:left w:val="nil"/>
              <w:bottom w:val="nil"/>
              <w:right w:val="nil"/>
            </w:tcBorders>
            <w:shd w:val="clear" w:color="000000" w:fill="4472C4"/>
            <w:vAlign w:val="center"/>
            <w:hideMark/>
          </w:tcPr>
          <w:p w14:paraId="5FEEFA97" w14:textId="7F3B181B" w:rsidR="00376FE9" w:rsidRPr="00795698" w:rsidRDefault="00376FE9" w:rsidP="00D256C8">
            <w:pPr>
              <w:spacing w:line="276" w:lineRule="auto"/>
              <w:jc w:val="center"/>
              <w:rPr>
                <w:rFonts w:ascii="Garamond" w:hAnsi="Garamond"/>
                <w:b/>
                <w:color w:val="FFFFFF"/>
                <w:sz w:val="16"/>
              </w:rPr>
            </w:pPr>
            <w:r w:rsidRPr="00795698">
              <w:rPr>
                <w:rFonts w:ascii="Garamond" w:hAnsi="Garamond"/>
                <w:b/>
                <w:color w:val="FFFFFF"/>
                <w:sz w:val="16"/>
              </w:rPr>
              <w:t xml:space="preserve">PBA </w:t>
            </w:r>
            <w:r w:rsidR="006249E3" w:rsidRPr="00795698">
              <w:rPr>
                <w:rFonts w:ascii="Garamond" w:hAnsi="Garamond"/>
                <w:b/>
                <w:color w:val="FFFFFF"/>
                <w:sz w:val="16"/>
              </w:rPr>
              <w:t>2023–2025</w:t>
            </w:r>
          </w:p>
        </w:tc>
        <w:tc>
          <w:tcPr>
            <w:tcW w:w="1590" w:type="dxa"/>
            <w:tcBorders>
              <w:top w:val="nil"/>
              <w:left w:val="nil"/>
              <w:bottom w:val="nil"/>
              <w:right w:val="single" w:sz="8" w:space="0" w:color="auto"/>
            </w:tcBorders>
            <w:shd w:val="clear" w:color="000000" w:fill="4472C4"/>
            <w:vAlign w:val="center"/>
            <w:hideMark/>
          </w:tcPr>
          <w:p w14:paraId="5FEEFA98" w14:textId="6383D719" w:rsidR="00376FE9" w:rsidRPr="00795698" w:rsidRDefault="006249E3" w:rsidP="00D256C8">
            <w:pPr>
              <w:spacing w:line="276" w:lineRule="auto"/>
              <w:rPr>
                <w:rFonts w:ascii="Garamond" w:hAnsi="Garamond"/>
                <w:b/>
                <w:color w:val="FFFFFF"/>
                <w:sz w:val="16"/>
              </w:rPr>
            </w:pPr>
            <w:r w:rsidRPr="00795698">
              <w:rPr>
                <w:rFonts w:ascii="Garamond" w:hAnsi="Garamond"/>
                <w:b/>
                <w:color w:val="FFFFFF"/>
                <w:sz w:val="16"/>
              </w:rPr>
              <w:t>2023–2025</w:t>
            </w:r>
          </w:p>
        </w:tc>
      </w:tr>
      <w:tr w:rsidR="00376FE9" w:rsidRPr="00795698" w14:paraId="5FEEFA9F" w14:textId="77777777" w:rsidTr="004478B9">
        <w:trPr>
          <w:trHeight w:val="46"/>
        </w:trPr>
        <w:tc>
          <w:tcPr>
            <w:tcW w:w="2808" w:type="dxa"/>
            <w:vMerge/>
            <w:tcBorders>
              <w:top w:val="single" w:sz="8" w:space="0" w:color="auto"/>
              <w:left w:val="single" w:sz="8" w:space="0" w:color="auto"/>
              <w:bottom w:val="single" w:sz="8" w:space="0" w:color="4472C4"/>
              <w:right w:val="nil"/>
            </w:tcBorders>
            <w:vAlign w:val="center"/>
            <w:hideMark/>
          </w:tcPr>
          <w:p w14:paraId="5FEEFA9A" w14:textId="77777777" w:rsidR="00376FE9" w:rsidRPr="00795698" w:rsidRDefault="00376FE9" w:rsidP="00D256C8">
            <w:pPr>
              <w:spacing w:line="276" w:lineRule="auto"/>
              <w:rPr>
                <w:rFonts w:ascii="Garamond" w:hAnsi="Garamond"/>
                <w:b/>
                <w:color w:val="FFFFFF"/>
                <w:sz w:val="16"/>
              </w:rPr>
            </w:pPr>
          </w:p>
        </w:tc>
        <w:tc>
          <w:tcPr>
            <w:tcW w:w="1440" w:type="dxa"/>
            <w:vMerge/>
            <w:tcBorders>
              <w:top w:val="single" w:sz="8" w:space="0" w:color="auto"/>
              <w:left w:val="nil"/>
              <w:bottom w:val="single" w:sz="8" w:space="0" w:color="4472C4"/>
              <w:right w:val="nil"/>
            </w:tcBorders>
            <w:vAlign w:val="center"/>
            <w:hideMark/>
          </w:tcPr>
          <w:p w14:paraId="5FEEFA9B" w14:textId="77777777" w:rsidR="00376FE9" w:rsidRPr="00795698" w:rsidRDefault="00376FE9" w:rsidP="00D256C8">
            <w:pPr>
              <w:spacing w:line="276" w:lineRule="auto"/>
              <w:rPr>
                <w:rFonts w:ascii="Garamond" w:hAnsi="Garamond"/>
                <w:b/>
                <w:color w:val="FFFFFF"/>
                <w:sz w:val="16"/>
              </w:rPr>
            </w:pPr>
          </w:p>
        </w:tc>
        <w:tc>
          <w:tcPr>
            <w:tcW w:w="1596" w:type="dxa"/>
            <w:tcBorders>
              <w:top w:val="nil"/>
              <w:left w:val="nil"/>
              <w:bottom w:val="single" w:sz="8" w:space="0" w:color="4472C4"/>
              <w:right w:val="nil"/>
            </w:tcBorders>
            <w:shd w:val="clear" w:color="000000" w:fill="4472C4"/>
            <w:vAlign w:val="center"/>
            <w:hideMark/>
          </w:tcPr>
          <w:p w14:paraId="5FEEFA9C" w14:textId="77777777" w:rsidR="00376FE9" w:rsidRPr="00795698" w:rsidRDefault="00376FE9" w:rsidP="00D256C8">
            <w:pPr>
              <w:spacing w:line="276" w:lineRule="auto"/>
              <w:rPr>
                <w:rFonts w:ascii="Garamond" w:hAnsi="Garamond"/>
                <w:color w:val="000000"/>
                <w:sz w:val="16"/>
              </w:rPr>
            </w:pPr>
            <w:r w:rsidRPr="00795698">
              <w:rPr>
                <w:rFonts w:ascii="Garamond" w:hAnsi="Garamond"/>
                <w:color w:val="000000"/>
                <w:sz w:val="16"/>
              </w:rPr>
              <w:t> </w:t>
            </w:r>
          </w:p>
        </w:tc>
        <w:tc>
          <w:tcPr>
            <w:tcW w:w="1910" w:type="dxa"/>
            <w:tcBorders>
              <w:top w:val="nil"/>
              <w:left w:val="nil"/>
              <w:bottom w:val="single" w:sz="8" w:space="0" w:color="4472C4"/>
              <w:right w:val="nil"/>
            </w:tcBorders>
            <w:shd w:val="clear" w:color="000000" w:fill="4472C4"/>
            <w:vAlign w:val="center"/>
            <w:hideMark/>
          </w:tcPr>
          <w:p w14:paraId="5FEEFA9D" w14:textId="77777777" w:rsidR="00376FE9" w:rsidRPr="00795698" w:rsidRDefault="00376FE9" w:rsidP="00D256C8">
            <w:pPr>
              <w:spacing w:line="276" w:lineRule="auto"/>
              <w:jc w:val="center"/>
              <w:rPr>
                <w:rFonts w:ascii="Garamond" w:hAnsi="Garamond"/>
                <w:b/>
                <w:color w:val="FFFFFF"/>
                <w:sz w:val="16"/>
              </w:rPr>
            </w:pPr>
            <w:r w:rsidRPr="00795698">
              <w:rPr>
                <w:rFonts w:ascii="Garamond" w:hAnsi="Garamond"/>
                <w:b/>
                <w:color w:val="FFFFFF"/>
                <w:sz w:val="16"/>
              </w:rPr>
              <w:t>BUXHETI DHE DONATORËT</w:t>
            </w:r>
          </w:p>
        </w:tc>
        <w:tc>
          <w:tcPr>
            <w:tcW w:w="1590" w:type="dxa"/>
            <w:tcBorders>
              <w:top w:val="nil"/>
              <w:left w:val="nil"/>
              <w:bottom w:val="single" w:sz="8" w:space="0" w:color="4472C4"/>
              <w:right w:val="single" w:sz="8" w:space="0" w:color="auto"/>
            </w:tcBorders>
            <w:shd w:val="clear" w:color="000000" w:fill="4472C4"/>
            <w:vAlign w:val="center"/>
            <w:hideMark/>
          </w:tcPr>
          <w:p w14:paraId="5FEEFA9E" w14:textId="77777777" w:rsidR="00376FE9" w:rsidRPr="00795698" w:rsidRDefault="00376FE9" w:rsidP="00D256C8">
            <w:pPr>
              <w:spacing w:line="276" w:lineRule="auto"/>
              <w:rPr>
                <w:rFonts w:ascii="Garamond" w:hAnsi="Garamond"/>
                <w:color w:val="000000"/>
                <w:sz w:val="16"/>
              </w:rPr>
            </w:pPr>
            <w:r w:rsidRPr="00795698">
              <w:rPr>
                <w:rFonts w:ascii="Garamond" w:hAnsi="Garamond"/>
                <w:color w:val="000000"/>
                <w:sz w:val="16"/>
              </w:rPr>
              <w:t> </w:t>
            </w:r>
          </w:p>
        </w:tc>
      </w:tr>
      <w:tr w:rsidR="00376FE9" w:rsidRPr="00795698" w14:paraId="5FEEFAA5" w14:textId="77777777" w:rsidTr="00D256C8">
        <w:trPr>
          <w:trHeight w:val="292"/>
        </w:trPr>
        <w:tc>
          <w:tcPr>
            <w:tcW w:w="2808" w:type="dxa"/>
            <w:vMerge w:val="restart"/>
            <w:tcBorders>
              <w:top w:val="nil"/>
              <w:left w:val="single" w:sz="8" w:space="0" w:color="auto"/>
              <w:bottom w:val="single" w:sz="8" w:space="0" w:color="4472C4"/>
              <w:right w:val="single" w:sz="8" w:space="0" w:color="8EAADB"/>
            </w:tcBorders>
            <w:shd w:val="clear" w:color="000000" w:fill="D9E2F3"/>
            <w:vAlign w:val="center"/>
            <w:hideMark/>
          </w:tcPr>
          <w:p w14:paraId="5FEEFAA0"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1: Mbajtja e kërcënimit terrorist në nivel “të ulët”</w:t>
            </w:r>
          </w:p>
        </w:tc>
        <w:tc>
          <w:tcPr>
            <w:tcW w:w="1440" w:type="dxa"/>
            <w:tcBorders>
              <w:top w:val="nil"/>
              <w:left w:val="nil"/>
              <w:bottom w:val="single" w:sz="8" w:space="0" w:color="8EAADB"/>
              <w:right w:val="single" w:sz="8" w:space="0" w:color="8EAADB"/>
            </w:tcBorders>
            <w:shd w:val="clear" w:color="000000" w:fill="D9E2F3"/>
            <w:vAlign w:val="center"/>
            <w:hideMark/>
          </w:tcPr>
          <w:p w14:paraId="5FEEFAA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A2"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369,067,601</w:t>
            </w:r>
          </w:p>
        </w:tc>
        <w:tc>
          <w:tcPr>
            <w:tcW w:w="1910" w:type="dxa"/>
            <w:tcBorders>
              <w:top w:val="nil"/>
              <w:left w:val="nil"/>
              <w:bottom w:val="single" w:sz="8" w:space="0" w:color="8EAADB"/>
              <w:right w:val="single" w:sz="8" w:space="0" w:color="8EAADB"/>
            </w:tcBorders>
            <w:shd w:val="clear" w:color="000000" w:fill="D9E2F3"/>
            <w:vAlign w:val="center"/>
            <w:hideMark/>
          </w:tcPr>
          <w:p w14:paraId="5FEEFAA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369,067,601</w:t>
            </w:r>
          </w:p>
        </w:tc>
        <w:tc>
          <w:tcPr>
            <w:tcW w:w="159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5FEEFAA4"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AB" w14:textId="77777777" w:rsidTr="00D256C8">
        <w:trPr>
          <w:trHeight w:val="254"/>
        </w:trPr>
        <w:tc>
          <w:tcPr>
            <w:tcW w:w="2808" w:type="dxa"/>
            <w:vMerge/>
            <w:tcBorders>
              <w:top w:val="nil"/>
              <w:left w:val="single" w:sz="8" w:space="0" w:color="auto"/>
              <w:bottom w:val="single" w:sz="8" w:space="0" w:color="4472C4"/>
              <w:right w:val="single" w:sz="8" w:space="0" w:color="8EAADB"/>
            </w:tcBorders>
            <w:vAlign w:val="center"/>
            <w:hideMark/>
          </w:tcPr>
          <w:p w14:paraId="5FEEFAA6"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A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A8"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A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nil"/>
              <w:left w:val="single" w:sz="8" w:space="0" w:color="8EAADB"/>
              <w:bottom w:val="single" w:sz="8" w:space="0" w:color="8EAADB"/>
              <w:right w:val="single" w:sz="8" w:space="0" w:color="auto"/>
            </w:tcBorders>
            <w:vAlign w:val="center"/>
            <w:hideMark/>
          </w:tcPr>
          <w:p w14:paraId="5FEEFAAA"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B1" w14:textId="77777777" w:rsidTr="00D256C8">
        <w:trPr>
          <w:trHeight w:val="272"/>
        </w:trPr>
        <w:tc>
          <w:tcPr>
            <w:tcW w:w="280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5FEEFAAC"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2: Ndërprerja e aktiviteteve të faqeve dhe platformave dixhitale si dhe individëve që tërheqin njerëz në terrorizëm</w:t>
            </w:r>
          </w:p>
        </w:tc>
        <w:tc>
          <w:tcPr>
            <w:tcW w:w="1440" w:type="dxa"/>
            <w:tcBorders>
              <w:top w:val="nil"/>
              <w:left w:val="nil"/>
              <w:bottom w:val="single" w:sz="8" w:space="0" w:color="8EAADB"/>
              <w:right w:val="single" w:sz="8" w:space="0" w:color="8EAADB"/>
            </w:tcBorders>
            <w:shd w:val="clear" w:color="000000" w:fill="D9E2F3"/>
            <w:vAlign w:val="center"/>
            <w:hideMark/>
          </w:tcPr>
          <w:p w14:paraId="5FEEFAAD"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AE"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458,503,800</w:t>
            </w:r>
          </w:p>
        </w:tc>
        <w:tc>
          <w:tcPr>
            <w:tcW w:w="1910" w:type="dxa"/>
            <w:tcBorders>
              <w:top w:val="nil"/>
              <w:left w:val="nil"/>
              <w:bottom w:val="single" w:sz="8" w:space="0" w:color="8EAADB"/>
              <w:right w:val="single" w:sz="8" w:space="0" w:color="8EAADB"/>
            </w:tcBorders>
            <w:shd w:val="clear" w:color="000000" w:fill="D9E2F3"/>
            <w:vAlign w:val="center"/>
            <w:hideMark/>
          </w:tcPr>
          <w:p w14:paraId="5FEEFAAF"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458,503,800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B0"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B7" w14:textId="77777777" w:rsidTr="00D256C8">
        <w:trPr>
          <w:trHeight w:val="283"/>
        </w:trPr>
        <w:tc>
          <w:tcPr>
            <w:tcW w:w="2808" w:type="dxa"/>
            <w:vMerge/>
            <w:tcBorders>
              <w:top w:val="nil"/>
              <w:left w:val="single" w:sz="8" w:space="0" w:color="auto"/>
              <w:bottom w:val="single" w:sz="8" w:space="0" w:color="8EAADB"/>
              <w:right w:val="single" w:sz="8" w:space="0" w:color="8EAADB"/>
            </w:tcBorders>
            <w:vAlign w:val="center"/>
            <w:hideMark/>
          </w:tcPr>
          <w:p w14:paraId="5FEEFAB2"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B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B4"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B5"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B6"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BD" w14:textId="77777777" w:rsidTr="00D256C8">
        <w:trPr>
          <w:trHeight w:val="331"/>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AB8"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3: Kuptimi i kërcënimeve të terrorizmit në vendin tonë përmes identifikimit të hershëm të grupeve të synuara dhe metodave radikale.</w:t>
            </w:r>
          </w:p>
        </w:tc>
        <w:tc>
          <w:tcPr>
            <w:tcW w:w="1440" w:type="dxa"/>
            <w:tcBorders>
              <w:top w:val="nil"/>
              <w:left w:val="nil"/>
              <w:bottom w:val="single" w:sz="8" w:space="0" w:color="8EAADB"/>
              <w:right w:val="single" w:sz="8" w:space="0" w:color="8EAADB"/>
            </w:tcBorders>
            <w:shd w:val="clear" w:color="000000" w:fill="D9E2F3"/>
            <w:vAlign w:val="center"/>
            <w:hideMark/>
          </w:tcPr>
          <w:p w14:paraId="5FEEFAB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BA"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303,019,200</w:t>
            </w:r>
          </w:p>
        </w:tc>
        <w:tc>
          <w:tcPr>
            <w:tcW w:w="1910" w:type="dxa"/>
            <w:tcBorders>
              <w:top w:val="nil"/>
              <w:left w:val="nil"/>
              <w:bottom w:val="single" w:sz="8" w:space="0" w:color="8EAADB"/>
              <w:right w:val="single" w:sz="8" w:space="0" w:color="8EAADB"/>
            </w:tcBorders>
            <w:shd w:val="clear" w:color="000000" w:fill="D9E2F3"/>
            <w:vAlign w:val="center"/>
            <w:hideMark/>
          </w:tcPr>
          <w:p w14:paraId="5FEEFABB"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303,019,200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BC"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C3" w14:textId="77777777" w:rsidTr="00D256C8">
        <w:trPr>
          <w:trHeight w:val="336"/>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ABE"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BF"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C0"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C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C2"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C9" w14:textId="77777777" w:rsidTr="00D256C8">
        <w:trPr>
          <w:trHeight w:val="272"/>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AC4"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4: Zgjerimi i kapaciteteve operacionale të policisë dhe kapaciteteve të inteligjencës.</w:t>
            </w:r>
          </w:p>
        </w:tc>
        <w:tc>
          <w:tcPr>
            <w:tcW w:w="1440" w:type="dxa"/>
            <w:tcBorders>
              <w:top w:val="nil"/>
              <w:left w:val="nil"/>
              <w:bottom w:val="single" w:sz="8" w:space="0" w:color="8EAADB"/>
              <w:right w:val="single" w:sz="8" w:space="0" w:color="8EAADB"/>
            </w:tcBorders>
            <w:shd w:val="clear" w:color="000000" w:fill="D9E2F3"/>
            <w:vAlign w:val="center"/>
            <w:hideMark/>
          </w:tcPr>
          <w:p w14:paraId="5FEEFAC5"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C6"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37,500,000</w:t>
            </w:r>
          </w:p>
        </w:tc>
        <w:tc>
          <w:tcPr>
            <w:tcW w:w="1910" w:type="dxa"/>
            <w:tcBorders>
              <w:top w:val="nil"/>
              <w:left w:val="nil"/>
              <w:bottom w:val="single" w:sz="8" w:space="0" w:color="8EAADB"/>
              <w:right w:val="single" w:sz="8" w:space="0" w:color="8EAADB"/>
            </w:tcBorders>
            <w:shd w:val="clear" w:color="000000" w:fill="D9E2F3"/>
            <w:vAlign w:val="center"/>
            <w:hideMark/>
          </w:tcPr>
          <w:p w14:paraId="5FEEFAC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37,500,000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C8"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CF" w14:textId="77777777" w:rsidTr="00D256C8">
        <w:trPr>
          <w:trHeight w:val="317"/>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ACA"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CB"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CC"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CD"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CE"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D5"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AD0"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5: Zhvillimi i komunikimit strategjik</w:t>
            </w:r>
          </w:p>
        </w:tc>
        <w:tc>
          <w:tcPr>
            <w:tcW w:w="1440" w:type="dxa"/>
            <w:tcBorders>
              <w:top w:val="nil"/>
              <w:left w:val="nil"/>
              <w:bottom w:val="single" w:sz="8" w:space="0" w:color="8EAADB"/>
              <w:right w:val="single" w:sz="8" w:space="0" w:color="8EAADB"/>
            </w:tcBorders>
            <w:shd w:val="clear" w:color="000000" w:fill="D9E2F3"/>
            <w:vAlign w:val="center"/>
            <w:hideMark/>
          </w:tcPr>
          <w:p w14:paraId="5FEEFAD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D2"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434,250,479</w:t>
            </w:r>
          </w:p>
        </w:tc>
        <w:tc>
          <w:tcPr>
            <w:tcW w:w="1910" w:type="dxa"/>
            <w:tcBorders>
              <w:top w:val="nil"/>
              <w:left w:val="nil"/>
              <w:bottom w:val="single" w:sz="8" w:space="0" w:color="8EAADB"/>
              <w:right w:val="single" w:sz="8" w:space="0" w:color="8EAADB"/>
            </w:tcBorders>
            <w:shd w:val="clear" w:color="000000" w:fill="D9E2F3"/>
            <w:vAlign w:val="center"/>
            <w:hideMark/>
          </w:tcPr>
          <w:p w14:paraId="5FEEFAD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434,250,479</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D4"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DB" w14:textId="77777777" w:rsidTr="00D256C8">
        <w:trPr>
          <w:trHeight w:val="312"/>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AD6"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D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D8"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500,000</w:t>
            </w:r>
          </w:p>
        </w:tc>
        <w:tc>
          <w:tcPr>
            <w:tcW w:w="1910" w:type="dxa"/>
            <w:tcBorders>
              <w:top w:val="nil"/>
              <w:left w:val="nil"/>
              <w:bottom w:val="single" w:sz="8" w:space="0" w:color="8EAADB"/>
              <w:right w:val="single" w:sz="8" w:space="0" w:color="8EAADB"/>
            </w:tcBorders>
            <w:shd w:val="clear" w:color="auto" w:fill="auto"/>
            <w:vAlign w:val="center"/>
            <w:hideMark/>
          </w:tcPr>
          <w:p w14:paraId="5FEEFAD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500,000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DA"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E1"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ADC"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6: Hetimi, zbulimi dhe goditja e veprave penale në fushën e terrorizmit dhe financimit të tij</w:t>
            </w:r>
          </w:p>
        </w:tc>
        <w:tc>
          <w:tcPr>
            <w:tcW w:w="1440" w:type="dxa"/>
            <w:tcBorders>
              <w:top w:val="nil"/>
              <w:left w:val="nil"/>
              <w:bottom w:val="single" w:sz="8" w:space="0" w:color="8EAADB"/>
              <w:right w:val="single" w:sz="8" w:space="0" w:color="8EAADB"/>
            </w:tcBorders>
            <w:shd w:val="clear" w:color="000000" w:fill="D9E2F3"/>
            <w:vAlign w:val="center"/>
            <w:hideMark/>
          </w:tcPr>
          <w:p w14:paraId="5FEEFADD"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DE"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634,935,215</w:t>
            </w:r>
          </w:p>
        </w:tc>
        <w:tc>
          <w:tcPr>
            <w:tcW w:w="1910" w:type="dxa"/>
            <w:tcBorders>
              <w:top w:val="nil"/>
              <w:left w:val="nil"/>
              <w:bottom w:val="single" w:sz="8" w:space="0" w:color="8EAADB"/>
              <w:right w:val="single" w:sz="8" w:space="0" w:color="8EAADB"/>
            </w:tcBorders>
            <w:shd w:val="clear" w:color="000000" w:fill="D9E2F3"/>
            <w:vAlign w:val="center"/>
            <w:hideMark/>
          </w:tcPr>
          <w:p w14:paraId="5FEEFADF"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634,935,215</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E0"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E7" w14:textId="77777777" w:rsidTr="00D256C8">
        <w:trPr>
          <w:trHeight w:val="283"/>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AE2"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E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E4"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E5"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E6"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ED"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AE8"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7: Përmirësimi i sistemeve të mbledhjes, ruajtjes, analizimit dhe shpërndarjes së informacionit</w:t>
            </w:r>
          </w:p>
        </w:tc>
        <w:tc>
          <w:tcPr>
            <w:tcW w:w="1440" w:type="dxa"/>
            <w:tcBorders>
              <w:top w:val="nil"/>
              <w:left w:val="nil"/>
              <w:bottom w:val="single" w:sz="8" w:space="0" w:color="8EAADB"/>
              <w:right w:val="single" w:sz="8" w:space="0" w:color="8EAADB"/>
            </w:tcBorders>
            <w:shd w:val="clear" w:color="000000" w:fill="D9E2F3"/>
            <w:vAlign w:val="center"/>
            <w:hideMark/>
          </w:tcPr>
          <w:p w14:paraId="5FEEFAE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EA"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51,185,500</w:t>
            </w:r>
          </w:p>
        </w:tc>
        <w:tc>
          <w:tcPr>
            <w:tcW w:w="1910" w:type="dxa"/>
            <w:tcBorders>
              <w:top w:val="nil"/>
              <w:left w:val="nil"/>
              <w:bottom w:val="single" w:sz="8" w:space="0" w:color="8EAADB"/>
              <w:right w:val="single" w:sz="8" w:space="0" w:color="8EAADB"/>
            </w:tcBorders>
            <w:shd w:val="clear" w:color="000000" w:fill="D9E2F3"/>
            <w:vAlign w:val="center"/>
            <w:hideMark/>
          </w:tcPr>
          <w:p w14:paraId="5FEEFAEB"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51,185,500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EC"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F3" w14:textId="77777777" w:rsidTr="00D256C8">
        <w:trPr>
          <w:trHeight w:val="283"/>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AEE"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EF"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F0"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F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F2"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AF9"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AF4" w14:textId="0802D326"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8: Reagim nëpërmjet forcimit të kapaciteteve të institucioneve përkatëse për t</w:t>
            </w:r>
            <w:r w:rsidR="0041767D" w:rsidRPr="00795698">
              <w:rPr>
                <w:rFonts w:ascii="Garamond" w:hAnsi="Garamond"/>
                <w:bCs/>
                <w:color w:val="000000"/>
                <w:sz w:val="16"/>
                <w:szCs w:val="16"/>
              </w:rPr>
              <w:t>’</w:t>
            </w:r>
            <w:r w:rsidRPr="00795698">
              <w:rPr>
                <w:rFonts w:ascii="Garamond" w:hAnsi="Garamond"/>
                <w:bCs/>
                <w:color w:val="000000"/>
                <w:sz w:val="16"/>
                <w:szCs w:val="16"/>
              </w:rPr>
              <w:t>iu përgjigjur sulmeve terroriste.</w:t>
            </w:r>
          </w:p>
        </w:tc>
        <w:tc>
          <w:tcPr>
            <w:tcW w:w="1440" w:type="dxa"/>
            <w:tcBorders>
              <w:top w:val="nil"/>
              <w:left w:val="nil"/>
              <w:bottom w:val="single" w:sz="8" w:space="0" w:color="8EAADB"/>
              <w:right w:val="single" w:sz="8" w:space="0" w:color="8EAADB"/>
            </w:tcBorders>
            <w:shd w:val="clear" w:color="000000" w:fill="D9E2F3"/>
            <w:vAlign w:val="center"/>
            <w:hideMark/>
          </w:tcPr>
          <w:p w14:paraId="5FEEFAF5"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AF6"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12,780,000</w:t>
            </w:r>
          </w:p>
        </w:tc>
        <w:tc>
          <w:tcPr>
            <w:tcW w:w="1910" w:type="dxa"/>
            <w:tcBorders>
              <w:top w:val="nil"/>
              <w:left w:val="nil"/>
              <w:bottom w:val="single" w:sz="8" w:space="0" w:color="8EAADB"/>
              <w:right w:val="single" w:sz="8" w:space="0" w:color="8EAADB"/>
            </w:tcBorders>
            <w:shd w:val="clear" w:color="000000" w:fill="D9E2F3"/>
            <w:vAlign w:val="center"/>
            <w:hideMark/>
          </w:tcPr>
          <w:p w14:paraId="5FEEFAF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12,780,000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AF8"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AFF" w14:textId="77777777" w:rsidTr="00D256C8">
        <w:trPr>
          <w:trHeight w:val="283"/>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AFA"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AFB"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AFC"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AFD"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AFE"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B05"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B00"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9: Reagim nëpërmjet reduktimit dhe lehtësimit të pasojave nga një sulm terrorist</w:t>
            </w:r>
          </w:p>
        </w:tc>
        <w:tc>
          <w:tcPr>
            <w:tcW w:w="1440" w:type="dxa"/>
            <w:tcBorders>
              <w:top w:val="nil"/>
              <w:left w:val="nil"/>
              <w:bottom w:val="single" w:sz="8" w:space="0" w:color="8EAADB"/>
              <w:right w:val="single" w:sz="8" w:space="0" w:color="8EAADB"/>
            </w:tcBorders>
            <w:shd w:val="clear" w:color="000000" w:fill="D9E2F3"/>
            <w:vAlign w:val="center"/>
            <w:hideMark/>
          </w:tcPr>
          <w:p w14:paraId="5FEEFB0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B02"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22,396,520</w:t>
            </w:r>
          </w:p>
        </w:tc>
        <w:tc>
          <w:tcPr>
            <w:tcW w:w="1910" w:type="dxa"/>
            <w:tcBorders>
              <w:top w:val="nil"/>
              <w:left w:val="nil"/>
              <w:bottom w:val="single" w:sz="8" w:space="0" w:color="8EAADB"/>
              <w:right w:val="single" w:sz="8" w:space="0" w:color="8EAADB"/>
            </w:tcBorders>
            <w:shd w:val="clear" w:color="000000" w:fill="D9E2F3"/>
            <w:vAlign w:val="center"/>
            <w:hideMark/>
          </w:tcPr>
          <w:p w14:paraId="5FEEFB0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22,396,520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B04"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B0B" w14:textId="77777777" w:rsidTr="00D256C8">
        <w:trPr>
          <w:trHeight w:val="363"/>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B06"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B0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B08"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500,000</w:t>
            </w:r>
          </w:p>
        </w:tc>
        <w:tc>
          <w:tcPr>
            <w:tcW w:w="1910" w:type="dxa"/>
            <w:tcBorders>
              <w:top w:val="nil"/>
              <w:left w:val="nil"/>
              <w:bottom w:val="single" w:sz="8" w:space="0" w:color="8EAADB"/>
              <w:right w:val="single" w:sz="8" w:space="0" w:color="8EAADB"/>
            </w:tcBorders>
            <w:shd w:val="clear" w:color="auto" w:fill="auto"/>
            <w:vAlign w:val="center"/>
            <w:hideMark/>
          </w:tcPr>
          <w:p w14:paraId="5FEEFB0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500,000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B0A"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B11"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B0C"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 xml:space="preserve">Qëllimi i politikës 10: Përgatitja për menaxhimin e incidenteve terroriste që përfshijnë përdorimin e materialeve cbrn </w:t>
            </w:r>
          </w:p>
        </w:tc>
        <w:tc>
          <w:tcPr>
            <w:tcW w:w="1440" w:type="dxa"/>
            <w:tcBorders>
              <w:top w:val="nil"/>
              <w:left w:val="nil"/>
              <w:bottom w:val="single" w:sz="8" w:space="0" w:color="8EAADB"/>
              <w:right w:val="single" w:sz="8" w:space="0" w:color="8EAADB"/>
            </w:tcBorders>
            <w:shd w:val="clear" w:color="000000" w:fill="D9E2F3"/>
            <w:vAlign w:val="center"/>
            <w:hideMark/>
          </w:tcPr>
          <w:p w14:paraId="5FEEFB0D"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B0E"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2,700,000</w:t>
            </w:r>
          </w:p>
        </w:tc>
        <w:tc>
          <w:tcPr>
            <w:tcW w:w="1910" w:type="dxa"/>
            <w:tcBorders>
              <w:top w:val="nil"/>
              <w:left w:val="nil"/>
              <w:bottom w:val="single" w:sz="8" w:space="0" w:color="8EAADB"/>
              <w:right w:val="single" w:sz="8" w:space="0" w:color="8EAADB"/>
            </w:tcBorders>
            <w:shd w:val="clear" w:color="000000" w:fill="D9E2F3"/>
            <w:vAlign w:val="center"/>
            <w:hideMark/>
          </w:tcPr>
          <w:p w14:paraId="5FEEFB0F"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2,700,000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B10"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B17" w14:textId="77777777" w:rsidTr="00D256C8">
        <w:trPr>
          <w:trHeight w:val="283"/>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B12"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B1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B14"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B15"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B16"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B1D"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B18"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11: Rritja e nivelit të sigurisë në fushën e transportit, tregtisë, shkëmbimit të mallrave dhe shërbimeve</w:t>
            </w:r>
          </w:p>
        </w:tc>
        <w:tc>
          <w:tcPr>
            <w:tcW w:w="1440" w:type="dxa"/>
            <w:tcBorders>
              <w:top w:val="nil"/>
              <w:left w:val="nil"/>
              <w:bottom w:val="single" w:sz="8" w:space="0" w:color="8EAADB"/>
              <w:right w:val="single" w:sz="8" w:space="0" w:color="8EAADB"/>
            </w:tcBorders>
            <w:shd w:val="clear" w:color="000000" w:fill="D9E2F3"/>
            <w:vAlign w:val="center"/>
            <w:hideMark/>
          </w:tcPr>
          <w:p w14:paraId="5FEEFB1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B1A"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13,932,000</w:t>
            </w:r>
          </w:p>
        </w:tc>
        <w:tc>
          <w:tcPr>
            <w:tcW w:w="1910" w:type="dxa"/>
            <w:tcBorders>
              <w:top w:val="nil"/>
              <w:left w:val="nil"/>
              <w:bottom w:val="single" w:sz="8" w:space="0" w:color="8EAADB"/>
              <w:right w:val="single" w:sz="8" w:space="0" w:color="8EAADB"/>
            </w:tcBorders>
            <w:shd w:val="clear" w:color="000000" w:fill="D9E2F3"/>
            <w:vAlign w:val="center"/>
            <w:hideMark/>
          </w:tcPr>
          <w:p w14:paraId="5FEEFB1B"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13,932,000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B1C"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B23" w14:textId="77777777" w:rsidTr="00D256C8">
        <w:trPr>
          <w:trHeight w:val="283"/>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B1E"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B1F"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B20"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B2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B22"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B29"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B24" w14:textId="77777777"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12: Rritja e nivelit të mbrojtjes së infrastrukturës kritike.</w:t>
            </w:r>
          </w:p>
        </w:tc>
        <w:tc>
          <w:tcPr>
            <w:tcW w:w="1440" w:type="dxa"/>
            <w:tcBorders>
              <w:top w:val="nil"/>
              <w:left w:val="nil"/>
              <w:bottom w:val="single" w:sz="8" w:space="0" w:color="8EAADB"/>
              <w:right w:val="single" w:sz="8" w:space="0" w:color="8EAADB"/>
            </w:tcBorders>
            <w:shd w:val="clear" w:color="000000" w:fill="D9E2F3"/>
            <w:vAlign w:val="center"/>
            <w:hideMark/>
          </w:tcPr>
          <w:p w14:paraId="5FEEFB25"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B26"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6,598,000</w:t>
            </w:r>
          </w:p>
        </w:tc>
        <w:tc>
          <w:tcPr>
            <w:tcW w:w="1910" w:type="dxa"/>
            <w:tcBorders>
              <w:top w:val="nil"/>
              <w:left w:val="nil"/>
              <w:bottom w:val="single" w:sz="8" w:space="0" w:color="8EAADB"/>
              <w:right w:val="single" w:sz="8" w:space="0" w:color="8EAADB"/>
            </w:tcBorders>
            <w:shd w:val="clear" w:color="000000" w:fill="D9E2F3"/>
            <w:vAlign w:val="center"/>
            <w:hideMark/>
          </w:tcPr>
          <w:p w14:paraId="5FEEFB2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6,598,000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B28"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B2F" w14:textId="77777777" w:rsidTr="00D256C8">
        <w:trPr>
          <w:trHeight w:val="245"/>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B2A" w14:textId="77777777" w:rsidR="00376FE9" w:rsidRPr="00795698" w:rsidRDefault="00376FE9" w:rsidP="00376FE9">
            <w:pPr>
              <w:spacing w:line="276" w:lineRule="auto"/>
              <w:rPr>
                <w:rFonts w:ascii="Garamond" w:hAnsi="Garamond"/>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B2B"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B2C"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B2D"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B2E"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B35" w14:textId="77777777" w:rsidTr="00D256C8">
        <w:trPr>
          <w:trHeight w:val="283"/>
        </w:trPr>
        <w:tc>
          <w:tcPr>
            <w:tcW w:w="2808"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EFB30" w14:textId="5971D818" w:rsidR="00376FE9" w:rsidRPr="00795698" w:rsidRDefault="00376FE9" w:rsidP="00376FE9">
            <w:pPr>
              <w:spacing w:line="276" w:lineRule="auto"/>
              <w:rPr>
                <w:rFonts w:ascii="Garamond" w:hAnsi="Garamond"/>
                <w:bCs/>
                <w:color w:val="000000"/>
                <w:sz w:val="16"/>
                <w:szCs w:val="16"/>
              </w:rPr>
            </w:pPr>
            <w:r w:rsidRPr="00795698">
              <w:rPr>
                <w:rFonts w:ascii="Garamond" w:hAnsi="Garamond"/>
                <w:bCs/>
                <w:color w:val="000000"/>
                <w:sz w:val="16"/>
                <w:szCs w:val="16"/>
              </w:rPr>
              <w:t>Qëllimi i politikës 13: Mbrojtja nga kërcënimet terroriste që</w:t>
            </w:r>
            <w:r w:rsidR="005E41AA" w:rsidRPr="00795698">
              <w:rPr>
                <w:rFonts w:ascii="Garamond" w:hAnsi="Garamond"/>
                <w:bCs/>
                <w:color w:val="000000"/>
                <w:sz w:val="16"/>
                <w:szCs w:val="16"/>
              </w:rPr>
              <w:t xml:space="preserve"> cenoj</w:t>
            </w:r>
            <w:r w:rsidRPr="00795698">
              <w:rPr>
                <w:rFonts w:ascii="Garamond" w:hAnsi="Garamond"/>
                <w:bCs/>
                <w:color w:val="000000"/>
                <w:sz w:val="16"/>
                <w:szCs w:val="16"/>
              </w:rPr>
              <w:t>në venddislokimet/ infrastrukturën, pajisjet kritike dhe sistemet e mbrojtjes së ministrisë së mbrojtjes dhe farsh-së.</w:t>
            </w:r>
          </w:p>
        </w:tc>
        <w:tc>
          <w:tcPr>
            <w:tcW w:w="1440" w:type="dxa"/>
            <w:tcBorders>
              <w:top w:val="nil"/>
              <w:left w:val="nil"/>
              <w:bottom w:val="single" w:sz="8" w:space="0" w:color="8EAADB"/>
              <w:right w:val="single" w:sz="8" w:space="0" w:color="8EAADB"/>
            </w:tcBorders>
            <w:shd w:val="clear" w:color="000000" w:fill="D9E2F3"/>
            <w:vAlign w:val="center"/>
            <w:hideMark/>
          </w:tcPr>
          <w:p w14:paraId="5FEEFB31"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Korente</w:t>
            </w:r>
          </w:p>
        </w:tc>
        <w:tc>
          <w:tcPr>
            <w:tcW w:w="1596" w:type="dxa"/>
            <w:tcBorders>
              <w:top w:val="nil"/>
              <w:left w:val="nil"/>
              <w:bottom w:val="single" w:sz="8" w:space="0" w:color="8EAADB"/>
              <w:right w:val="single" w:sz="8" w:space="0" w:color="8EAADB"/>
            </w:tcBorders>
            <w:shd w:val="clear" w:color="000000" w:fill="D9E2F3"/>
            <w:vAlign w:val="center"/>
            <w:hideMark/>
          </w:tcPr>
          <w:p w14:paraId="5FEEFB32"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16,092,000</w:t>
            </w:r>
          </w:p>
        </w:tc>
        <w:tc>
          <w:tcPr>
            <w:tcW w:w="1910" w:type="dxa"/>
            <w:tcBorders>
              <w:top w:val="nil"/>
              <w:left w:val="nil"/>
              <w:bottom w:val="single" w:sz="8" w:space="0" w:color="8EAADB"/>
              <w:right w:val="single" w:sz="8" w:space="0" w:color="8EAADB"/>
            </w:tcBorders>
            <w:shd w:val="clear" w:color="000000" w:fill="D9E2F3"/>
            <w:vAlign w:val="center"/>
            <w:hideMark/>
          </w:tcPr>
          <w:p w14:paraId="5FEEFB33"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16,092,000</w:t>
            </w:r>
          </w:p>
        </w:tc>
        <w:tc>
          <w:tcPr>
            <w:tcW w:w="159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EFB34" w14:textId="77777777" w:rsidR="00376FE9" w:rsidRPr="00795698" w:rsidRDefault="00376FE9" w:rsidP="00D256C8">
            <w:pPr>
              <w:spacing w:line="276" w:lineRule="auto"/>
              <w:jc w:val="center"/>
              <w:rPr>
                <w:rFonts w:ascii="Garamond" w:hAnsi="Garamond"/>
                <w:b/>
                <w:bCs/>
                <w:i/>
                <w:iCs/>
                <w:color w:val="000000"/>
                <w:sz w:val="16"/>
                <w:szCs w:val="16"/>
              </w:rPr>
            </w:pPr>
            <w:r w:rsidRPr="00795698">
              <w:rPr>
                <w:rFonts w:ascii="Garamond" w:hAnsi="Garamond"/>
                <w:b/>
                <w:bCs/>
                <w:i/>
                <w:iCs/>
                <w:color w:val="000000"/>
                <w:sz w:val="16"/>
                <w:szCs w:val="16"/>
              </w:rPr>
              <w:t>0</w:t>
            </w:r>
          </w:p>
        </w:tc>
      </w:tr>
      <w:tr w:rsidR="00376FE9" w:rsidRPr="00795698" w14:paraId="5FEEFB3B" w14:textId="77777777" w:rsidTr="00D256C8">
        <w:trPr>
          <w:trHeight w:val="426"/>
        </w:trPr>
        <w:tc>
          <w:tcPr>
            <w:tcW w:w="2808" w:type="dxa"/>
            <w:vMerge/>
            <w:tcBorders>
              <w:top w:val="single" w:sz="8" w:space="0" w:color="4472C4"/>
              <w:left w:val="single" w:sz="8" w:space="0" w:color="auto"/>
              <w:bottom w:val="single" w:sz="8" w:space="0" w:color="8EAADB"/>
              <w:right w:val="single" w:sz="8" w:space="0" w:color="8EAADB"/>
            </w:tcBorders>
            <w:vAlign w:val="center"/>
            <w:hideMark/>
          </w:tcPr>
          <w:p w14:paraId="5FEEFB36" w14:textId="77777777" w:rsidR="00376FE9" w:rsidRPr="00795698" w:rsidRDefault="00376FE9" w:rsidP="00D256C8">
            <w:pPr>
              <w:spacing w:line="276" w:lineRule="auto"/>
              <w:rPr>
                <w:rFonts w:ascii="Garamond" w:hAnsi="Garamond"/>
                <w:b/>
                <w:bCs/>
                <w:color w:val="000000"/>
                <w:sz w:val="16"/>
                <w:szCs w:val="16"/>
              </w:rPr>
            </w:pPr>
          </w:p>
        </w:tc>
        <w:tc>
          <w:tcPr>
            <w:tcW w:w="1440" w:type="dxa"/>
            <w:tcBorders>
              <w:top w:val="nil"/>
              <w:left w:val="nil"/>
              <w:bottom w:val="single" w:sz="8" w:space="0" w:color="8EAADB"/>
              <w:right w:val="single" w:sz="8" w:space="0" w:color="8EAADB"/>
            </w:tcBorders>
            <w:shd w:val="clear" w:color="auto" w:fill="auto"/>
            <w:vAlign w:val="center"/>
            <w:hideMark/>
          </w:tcPr>
          <w:p w14:paraId="5FEEFB37"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Kapitale</w:t>
            </w:r>
          </w:p>
        </w:tc>
        <w:tc>
          <w:tcPr>
            <w:tcW w:w="1596" w:type="dxa"/>
            <w:tcBorders>
              <w:top w:val="nil"/>
              <w:left w:val="nil"/>
              <w:bottom w:val="single" w:sz="8" w:space="0" w:color="8EAADB"/>
              <w:right w:val="single" w:sz="8" w:space="0" w:color="8EAADB"/>
            </w:tcBorders>
            <w:shd w:val="clear" w:color="auto" w:fill="auto"/>
            <w:vAlign w:val="center"/>
            <w:hideMark/>
          </w:tcPr>
          <w:p w14:paraId="5FEEFB38"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910" w:type="dxa"/>
            <w:tcBorders>
              <w:top w:val="nil"/>
              <w:left w:val="nil"/>
              <w:bottom w:val="single" w:sz="8" w:space="0" w:color="8EAADB"/>
              <w:right w:val="single" w:sz="8" w:space="0" w:color="8EAADB"/>
            </w:tcBorders>
            <w:shd w:val="clear" w:color="auto" w:fill="auto"/>
            <w:vAlign w:val="center"/>
            <w:hideMark/>
          </w:tcPr>
          <w:p w14:paraId="5FEEFB39" w14:textId="77777777" w:rsidR="00376FE9" w:rsidRPr="00795698" w:rsidRDefault="00376FE9" w:rsidP="00D256C8">
            <w:pPr>
              <w:spacing w:line="276" w:lineRule="auto"/>
              <w:jc w:val="center"/>
              <w:rPr>
                <w:rFonts w:ascii="Garamond" w:hAnsi="Garamond"/>
                <w:color w:val="000000"/>
                <w:sz w:val="16"/>
                <w:szCs w:val="16"/>
              </w:rPr>
            </w:pPr>
            <w:r w:rsidRPr="00795698">
              <w:rPr>
                <w:rFonts w:ascii="Garamond" w:hAnsi="Garamond"/>
                <w:color w:val="000000"/>
                <w:sz w:val="16"/>
                <w:szCs w:val="16"/>
              </w:rPr>
              <w:t>0</w:t>
            </w:r>
          </w:p>
        </w:tc>
        <w:tc>
          <w:tcPr>
            <w:tcW w:w="1590" w:type="dxa"/>
            <w:vMerge/>
            <w:tcBorders>
              <w:top w:val="single" w:sz="8" w:space="0" w:color="4472C4"/>
              <w:left w:val="single" w:sz="8" w:space="0" w:color="8EAADB"/>
              <w:bottom w:val="single" w:sz="8" w:space="0" w:color="8EAADB"/>
              <w:right w:val="single" w:sz="8" w:space="0" w:color="auto"/>
            </w:tcBorders>
            <w:vAlign w:val="center"/>
            <w:hideMark/>
          </w:tcPr>
          <w:p w14:paraId="5FEEFB3A" w14:textId="77777777" w:rsidR="00376FE9" w:rsidRPr="00795698" w:rsidRDefault="00376FE9" w:rsidP="00D256C8">
            <w:pPr>
              <w:spacing w:line="276" w:lineRule="auto"/>
              <w:rPr>
                <w:rFonts w:ascii="Garamond" w:hAnsi="Garamond"/>
                <w:b/>
                <w:bCs/>
                <w:i/>
                <w:iCs/>
                <w:color w:val="000000"/>
                <w:sz w:val="16"/>
                <w:szCs w:val="16"/>
              </w:rPr>
            </w:pPr>
          </w:p>
        </w:tc>
      </w:tr>
      <w:tr w:rsidR="00376FE9" w:rsidRPr="00795698" w14:paraId="5FEEFB41" w14:textId="77777777" w:rsidTr="006D3973">
        <w:trPr>
          <w:trHeight w:val="46"/>
        </w:trPr>
        <w:tc>
          <w:tcPr>
            <w:tcW w:w="2808" w:type="dxa"/>
            <w:tcBorders>
              <w:top w:val="nil"/>
              <w:left w:val="single" w:sz="8" w:space="0" w:color="auto"/>
              <w:bottom w:val="single" w:sz="8" w:space="0" w:color="8EAADB"/>
              <w:right w:val="single" w:sz="8" w:space="0" w:color="8EAADB"/>
            </w:tcBorders>
            <w:shd w:val="clear" w:color="000000" w:fill="D9E2F3"/>
            <w:vAlign w:val="center"/>
            <w:hideMark/>
          </w:tcPr>
          <w:p w14:paraId="5FEEFB3C" w14:textId="77777777" w:rsidR="00376FE9" w:rsidRPr="00795698" w:rsidRDefault="00376FE9" w:rsidP="00D256C8">
            <w:pPr>
              <w:spacing w:line="276" w:lineRule="auto"/>
              <w:jc w:val="right"/>
              <w:rPr>
                <w:rFonts w:ascii="Garamond" w:hAnsi="Garamond"/>
                <w:b/>
                <w:bCs/>
                <w:color w:val="000000"/>
                <w:sz w:val="16"/>
                <w:szCs w:val="16"/>
              </w:rPr>
            </w:pPr>
            <w:r w:rsidRPr="00795698">
              <w:rPr>
                <w:rFonts w:ascii="Garamond" w:hAnsi="Garamond"/>
                <w:b/>
                <w:bCs/>
                <w:color w:val="000000"/>
                <w:sz w:val="16"/>
                <w:szCs w:val="16"/>
              </w:rPr>
              <w:t>TOTALI [Lekë]</w:t>
            </w:r>
          </w:p>
        </w:tc>
        <w:tc>
          <w:tcPr>
            <w:tcW w:w="1440" w:type="dxa"/>
            <w:tcBorders>
              <w:top w:val="nil"/>
              <w:left w:val="nil"/>
              <w:bottom w:val="single" w:sz="8" w:space="0" w:color="8EAADB"/>
              <w:right w:val="single" w:sz="8" w:space="0" w:color="8EAADB"/>
            </w:tcBorders>
            <w:shd w:val="clear" w:color="000000" w:fill="D9E2F3"/>
            <w:vAlign w:val="center"/>
            <w:hideMark/>
          </w:tcPr>
          <w:p w14:paraId="5FEEFB3D"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 </w:t>
            </w:r>
          </w:p>
        </w:tc>
        <w:tc>
          <w:tcPr>
            <w:tcW w:w="1596" w:type="dxa"/>
            <w:tcBorders>
              <w:top w:val="nil"/>
              <w:left w:val="nil"/>
              <w:bottom w:val="single" w:sz="8" w:space="0" w:color="8EAADB"/>
              <w:right w:val="single" w:sz="8" w:space="0" w:color="8EAADB"/>
            </w:tcBorders>
            <w:shd w:val="clear" w:color="000000" w:fill="D9E2F3"/>
            <w:vAlign w:val="center"/>
            <w:hideMark/>
          </w:tcPr>
          <w:p w14:paraId="5FEEFB3E"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2,363,960,315</w:t>
            </w:r>
          </w:p>
        </w:tc>
        <w:tc>
          <w:tcPr>
            <w:tcW w:w="1910" w:type="dxa"/>
            <w:tcBorders>
              <w:top w:val="nil"/>
              <w:left w:val="nil"/>
              <w:bottom w:val="single" w:sz="8" w:space="0" w:color="8EAADB"/>
              <w:right w:val="single" w:sz="8" w:space="0" w:color="8EAADB"/>
            </w:tcBorders>
            <w:shd w:val="clear" w:color="000000" w:fill="D9E2F3"/>
            <w:hideMark/>
          </w:tcPr>
          <w:p w14:paraId="5FEEFB3F"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2,363,960,315</w:t>
            </w:r>
          </w:p>
        </w:tc>
        <w:tc>
          <w:tcPr>
            <w:tcW w:w="1590" w:type="dxa"/>
            <w:tcBorders>
              <w:top w:val="single" w:sz="8" w:space="0" w:color="4472C4"/>
              <w:left w:val="single" w:sz="8" w:space="0" w:color="4472C4"/>
              <w:bottom w:val="nil"/>
              <w:right w:val="nil"/>
            </w:tcBorders>
            <w:shd w:val="clear" w:color="000000" w:fill="D9E2F3"/>
            <w:vAlign w:val="center"/>
            <w:hideMark/>
          </w:tcPr>
          <w:p w14:paraId="5FEEFB40" w14:textId="77777777" w:rsidR="00376FE9" w:rsidRPr="00795698" w:rsidRDefault="00376FE9" w:rsidP="00D256C8">
            <w:pPr>
              <w:spacing w:line="276" w:lineRule="auto"/>
              <w:ind w:right="-74"/>
              <w:jc w:val="center"/>
              <w:rPr>
                <w:rFonts w:ascii="Garamond" w:hAnsi="Garamond"/>
                <w:b/>
                <w:bCs/>
                <w:color w:val="000000"/>
                <w:sz w:val="16"/>
                <w:szCs w:val="16"/>
              </w:rPr>
            </w:pPr>
            <w:r w:rsidRPr="00795698">
              <w:rPr>
                <w:rFonts w:ascii="Garamond" w:hAnsi="Garamond"/>
                <w:b/>
                <w:bCs/>
                <w:color w:val="000000"/>
                <w:sz w:val="16"/>
                <w:szCs w:val="16"/>
              </w:rPr>
              <w:t>0</w:t>
            </w:r>
          </w:p>
        </w:tc>
      </w:tr>
      <w:tr w:rsidR="00376FE9" w:rsidRPr="00795698" w14:paraId="5FEEFB47" w14:textId="77777777" w:rsidTr="00D256C8">
        <w:trPr>
          <w:trHeight w:val="187"/>
        </w:trPr>
        <w:tc>
          <w:tcPr>
            <w:tcW w:w="2808" w:type="dxa"/>
            <w:tcBorders>
              <w:top w:val="nil"/>
              <w:left w:val="single" w:sz="8" w:space="0" w:color="auto"/>
              <w:bottom w:val="nil"/>
              <w:right w:val="single" w:sz="8" w:space="0" w:color="8EAADB"/>
            </w:tcBorders>
            <w:shd w:val="clear" w:color="auto" w:fill="auto"/>
            <w:vAlign w:val="center"/>
            <w:hideMark/>
          </w:tcPr>
          <w:p w14:paraId="5FEEFB42" w14:textId="77777777" w:rsidR="00376FE9" w:rsidRPr="00795698" w:rsidRDefault="00376FE9" w:rsidP="00D256C8">
            <w:pPr>
              <w:spacing w:line="276" w:lineRule="auto"/>
              <w:jc w:val="right"/>
              <w:rPr>
                <w:rFonts w:ascii="Garamond" w:hAnsi="Garamond"/>
                <w:b/>
                <w:bCs/>
                <w:color w:val="000000"/>
                <w:sz w:val="16"/>
                <w:szCs w:val="16"/>
              </w:rPr>
            </w:pPr>
            <w:r w:rsidRPr="00795698">
              <w:rPr>
                <w:rFonts w:ascii="Garamond" w:hAnsi="Garamond"/>
                <w:b/>
                <w:bCs/>
                <w:color w:val="000000"/>
                <w:sz w:val="16"/>
                <w:szCs w:val="16"/>
              </w:rPr>
              <w:t>TOTALI [Euro]</w:t>
            </w:r>
          </w:p>
        </w:tc>
        <w:tc>
          <w:tcPr>
            <w:tcW w:w="144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EFB43"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 </w:t>
            </w:r>
          </w:p>
        </w:tc>
        <w:tc>
          <w:tcPr>
            <w:tcW w:w="1596"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EFB44"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19,219,190</w:t>
            </w:r>
          </w:p>
        </w:tc>
        <w:tc>
          <w:tcPr>
            <w:tcW w:w="1910" w:type="dxa"/>
            <w:vMerge w:val="restart"/>
            <w:tcBorders>
              <w:top w:val="nil"/>
              <w:left w:val="single" w:sz="8" w:space="0" w:color="8EAADB"/>
              <w:bottom w:val="single" w:sz="8" w:space="0" w:color="000000"/>
              <w:right w:val="single" w:sz="8" w:space="0" w:color="8EAADB"/>
            </w:tcBorders>
            <w:shd w:val="clear" w:color="auto" w:fill="auto"/>
            <w:hideMark/>
          </w:tcPr>
          <w:p w14:paraId="5FEEFB45"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19,219,190</w:t>
            </w:r>
          </w:p>
        </w:tc>
        <w:tc>
          <w:tcPr>
            <w:tcW w:w="1590" w:type="dxa"/>
            <w:vMerge w:val="restart"/>
            <w:tcBorders>
              <w:top w:val="single" w:sz="8" w:space="0" w:color="4472C4"/>
              <w:left w:val="single" w:sz="8" w:space="0" w:color="8EAADB"/>
              <w:bottom w:val="single" w:sz="8" w:space="0" w:color="000000"/>
              <w:right w:val="nil"/>
            </w:tcBorders>
            <w:shd w:val="clear" w:color="auto" w:fill="auto"/>
            <w:vAlign w:val="center"/>
            <w:hideMark/>
          </w:tcPr>
          <w:p w14:paraId="5FEEFB46" w14:textId="77777777" w:rsidR="00376FE9" w:rsidRPr="00795698" w:rsidRDefault="00376FE9" w:rsidP="00D256C8">
            <w:pPr>
              <w:spacing w:line="276" w:lineRule="auto"/>
              <w:jc w:val="center"/>
              <w:rPr>
                <w:rFonts w:ascii="Garamond" w:hAnsi="Garamond"/>
                <w:b/>
                <w:bCs/>
                <w:color w:val="000000"/>
                <w:sz w:val="16"/>
                <w:szCs w:val="16"/>
              </w:rPr>
            </w:pPr>
            <w:r w:rsidRPr="00795698">
              <w:rPr>
                <w:rFonts w:ascii="Garamond" w:hAnsi="Garamond"/>
                <w:b/>
                <w:bCs/>
                <w:color w:val="000000"/>
                <w:sz w:val="16"/>
                <w:szCs w:val="16"/>
              </w:rPr>
              <w:t>0</w:t>
            </w:r>
          </w:p>
        </w:tc>
      </w:tr>
      <w:tr w:rsidR="00376FE9" w:rsidRPr="00795698" w14:paraId="5FEEFB4D" w14:textId="77777777" w:rsidTr="004478B9">
        <w:trPr>
          <w:trHeight w:val="46"/>
        </w:trPr>
        <w:tc>
          <w:tcPr>
            <w:tcW w:w="2808" w:type="dxa"/>
            <w:tcBorders>
              <w:top w:val="nil"/>
              <w:left w:val="single" w:sz="8" w:space="0" w:color="auto"/>
              <w:bottom w:val="single" w:sz="8" w:space="0" w:color="auto"/>
              <w:right w:val="single" w:sz="8" w:space="0" w:color="8EAADB"/>
            </w:tcBorders>
            <w:shd w:val="clear" w:color="auto" w:fill="auto"/>
            <w:vAlign w:val="center"/>
            <w:hideMark/>
          </w:tcPr>
          <w:p w14:paraId="5FEEFB48" w14:textId="77777777" w:rsidR="00376FE9" w:rsidRPr="00795698" w:rsidRDefault="00376FE9" w:rsidP="00D256C8">
            <w:pPr>
              <w:spacing w:line="276" w:lineRule="auto"/>
              <w:jc w:val="right"/>
              <w:rPr>
                <w:rFonts w:ascii="Garamond" w:hAnsi="Garamond"/>
                <w:b/>
                <w:i/>
                <w:color w:val="FF0000"/>
                <w:sz w:val="16"/>
              </w:rPr>
            </w:pPr>
            <w:r w:rsidRPr="00795698">
              <w:rPr>
                <w:rFonts w:ascii="Garamond" w:hAnsi="Garamond"/>
                <w:b/>
                <w:i/>
                <w:color w:val="FF0000"/>
                <w:sz w:val="16"/>
              </w:rPr>
              <w:t>1 euro 123 Lekë</w:t>
            </w:r>
          </w:p>
        </w:tc>
        <w:tc>
          <w:tcPr>
            <w:tcW w:w="1440" w:type="dxa"/>
            <w:vMerge/>
            <w:tcBorders>
              <w:top w:val="nil"/>
              <w:left w:val="single" w:sz="8" w:space="0" w:color="8EAADB"/>
              <w:bottom w:val="single" w:sz="8" w:space="0" w:color="000000"/>
              <w:right w:val="single" w:sz="8" w:space="0" w:color="8EAADB"/>
            </w:tcBorders>
            <w:vAlign w:val="center"/>
            <w:hideMark/>
          </w:tcPr>
          <w:p w14:paraId="5FEEFB49" w14:textId="77777777" w:rsidR="00376FE9" w:rsidRPr="00795698" w:rsidRDefault="00376FE9" w:rsidP="00D256C8">
            <w:pPr>
              <w:spacing w:line="276" w:lineRule="auto"/>
              <w:rPr>
                <w:rFonts w:ascii="Garamond" w:hAnsi="Garamond"/>
                <w:b/>
                <w:color w:val="000000"/>
                <w:sz w:val="16"/>
              </w:rPr>
            </w:pPr>
          </w:p>
        </w:tc>
        <w:tc>
          <w:tcPr>
            <w:tcW w:w="1596" w:type="dxa"/>
            <w:vMerge/>
            <w:tcBorders>
              <w:top w:val="nil"/>
              <w:left w:val="single" w:sz="8" w:space="0" w:color="8EAADB"/>
              <w:bottom w:val="single" w:sz="8" w:space="0" w:color="000000"/>
              <w:right w:val="single" w:sz="8" w:space="0" w:color="8EAADB"/>
            </w:tcBorders>
            <w:vAlign w:val="center"/>
            <w:hideMark/>
          </w:tcPr>
          <w:p w14:paraId="5FEEFB4A" w14:textId="77777777" w:rsidR="00376FE9" w:rsidRPr="00795698" w:rsidRDefault="00376FE9" w:rsidP="00D256C8">
            <w:pPr>
              <w:spacing w:line="276" w:lineRule="auto"/>
              <w:rPr>
                <w:rFonts w:ascii="Garamond" w:hAnsi="Garamond"/>
                <w:b/>
                <w:color w:val="000000"/>
                <w:sz w:val="16"/>
              </w:rPr>
            </w:pPr>
          </w:p>
        </w:tc>
        <w:tc>
          <w:tcPr>
            <w:tcW w:w="1910" w:type="dxa"/>
            <w:vMerge/>
            <w:tcBorders>
              <w:top w:val="nil"/>
              <w:left w:val="single" w:sz="8" w:space="0" w:color="8EAADB"/>
              <w:bottom w:val="single" w:sz="8" w:space="0" w:color="000000"/>
              <w:right w:val="single" w:sz="8" w:space="0" w:color="8EAADB"/>
            </w:tcBorders>
            <w:vAlign w:val="center"/>
            <w:hideMark/>
          </w:tcPr>
          <w:p w14:paraId="5FEEFB4B" w14:textId="77777777" w:rsidR="00376FE9" w:rsidRPr="00795698" w:rsidRDefault="00376FE9" w:rsidP="00D256C8">
            <w:pPr>
              <w:spacing w:line="276" w:lineRule="auto"/>
              <w:rPr>
                <w:rFonts w:ascii="Garamond" w:hAnsi="Garamond"/>
                <w:b/>
                <w:color w:val="000000"/>
                <w:sz w:val="16"/>
              </w:rPr>
            </w:pPr>
          </w:p>
        </w:tc>
        <w:tc>
          <w:tcPr>
            <w:tcW w:w="1590" w:type="dxa"/>
            <w:vMerge/>
            <w:tcBorders>
              <w:top w:val="single" w:sz="8" w:space="0" w:color="4472C4"/>
              <w:left w:val="single" w:sz="8" w:space="0" w:color="8EAADB"/>
              <w:bottom w:val="single" w:sz="8" w:space="0" w:color="000000"/>
              <w:right w:val="nil"/>
            </w:tcBorders>
            <w:vAlign w:val="center"/>
            <w:hideMark/>
          </w:tcPr>
          <w:p w14:paraId="5FEEFB4C" w14:textId="77777777" w:rsidR="00376FE9" w:rsidRPr="00795698" w:rsidRDefault="00376FE9" w:rsidP="00D256C8">
            <w:pPr>
              <w:spacing w:line="276" w:lineRule="auto"/>
              <w:rPr>
                <w:rFonts w:ascii="Garamond" w:hAnsi="Garamond"/>
                <w:b/>
                <w:color w:val="000000"/>
                <w:sz w:val="16"/>
              </w:rPr>
            </w:pPr>
          </w:p>
        </w:tc>
      </w:tr>
    </w:tbl>
    <w:p w14:paraId="5FEEFB51" w14:textId="08C40865" w:rsidR="00376FE9" w:rsidRPr="00795698" w:rsidRDefault="00376FE9" w:rsidP="00376FE9">
      <w:pPr>
        <w:pStyle w:val="TEKSTIIIII"/>
        <w:rPr>
          <w:lang w:val="sq-AL"/>
        </w:rPr>
      </w:pPr>
      <w:r w:rsidRPr="00795698">
        <w:rPr>
          <w:b/>
          <w:lang w:val="sq-AL"/>
        </w:rPr>
        <w:t>II. Kostot sipas planeve të veçanta të veprimit</w:t>
      </w:r>
    </w:p>
    <w:p w14:paraId="5FEEFB52" w14:textId="0D070E4F" w:rsidR="00376FE9" w:rsidRPr="00795698" w:rsidRDefault="00376FE9" w:rsidP="00376FE9">
      <w:pPr>
        <w:pStyle w:val="TEKSTIIIII"/>
        <w:rPr>
          <w:lang w:val="sq-AL"/>
        </w:rPr>
      </w:pPr>
      <w:r w:rsidRPr="00795698">
        <w:rPr>
          <w:lang w:val="sq-AL"/>
        </w:rPr>
        <w:t xml:space="preserve">Kosto totale e Planit të Veprimit të Luftës </w:t>
      </w:r>
      <w:r w:rsidR="004478B9" w:rsidRPr="00795698">
        <w:rPr>
          <w:lang w:val="sq-AL"/>
        </w:rPr>
        <w:t>k</w:t>
      </w:r>
      <w:r w:rsidRPr="00795698">
        <w:rPr>
          <w:lang w:val="sq-AL"/>
        </w:rPr>
        <w:t xml:space="preserve">undër Terrorizmit është 2,326,949,515 Lekë i financuar 100% nga PBA </w:t>
      </w:r>
      <w:r w:rsidR="006249E3" w:rsidRPr="00795698">
        <w:rPr>
          <w:lang w:val="sq-AL"/>
        </w:rPr>
        <w:t>2023–2025</w:t>
      </w:r>
      <w:r w:rsidRPr="00795698">
        <w:rPr>
          <w:lang w:val="sq-AL"/>
        </w:rPr>
        <w:t xml:space="preserve"> Aktivitetet e parashikuara janë të financuara plotësisht nga programet buxhetore të institucioneve përgjegjëse dhe nuk ka hendek financiar. </w:t>
      </w:r>
    </w:p>
    <w:tbl>
      <w:tblPr>
        <w:tblW w:w="887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4437"/>
        <w:gridCol w:w="2218"/>
        <w:gridCol w:w="2218"/>
      </w:tblGrid>
      <w:tr w:rsidR="001F7EF9" w:rsidRPr="00795698" w14:paraId="5FEEFB56" w14:textId="77777777" w:rsidTr="004478B9">
        <w:trPr>
          <w:trHeight w:val="56"/>
        </w:trPr>
        <w:tc>
          <w:tcPr>
            <w:tcW w:w="4437" w:type="dxa"/>
            <w:tcBorders>
              <w:bottom w:val="single" w:sz="12" w:space="0" w:color="8EAADB"/>
            </w:tcBorders>
            <w:shd w:val="clear" w:color="auto" w:fill="auto"/>
          </w:tcPr>
          <w:p w14:paraId="5FEEFB53" w14:textId="77777777" w:rsidR="001F7EF9" w:rsidRPr="00795698" w:rsidRDefault="001F7EF9" w:rsidP="00D256C8">
            <w:pPr>
              <w:spacing w:line="276" w:lineRule="auto"/>
              <w:rPr>
                <w:rFonts w:ascii="Garamond" w:hAnsi="Garamond"/>
                <w:b/>
                <w:color w:val="2F5496"/>
                <w:sz w:val="20"/>
              </w:rPr>
            </w:pPr>
          </w:p>
        </w:tc>
        <w:tc>
          <w:tcPr>
            <w:tcW w:w="2218" w:type="dxa"/>
            <w:tcBorders>
              <w:bottom w:val="single" w:sz="12" w:space="0" w:color="8EAADB"/>
            </w:tcBorders>
            <w:shd w:val="clear" w:color="auto" w:fill="auto"/>
            <w:noWrap/>
          </w:tcPr>
          <w:p w14:paraId="5FEEFB54" w14:textId="77777777" w:rsidR="001F7EF9" w:rsidRPr="00795698" w:rsidRDefault="001F7EF9" w:rsidP="00D256C8">
            <w:pPr>
              <w:spacing w:line="276" w:lineRule="auto"/>
              <w:rPr>
                <w:rFonts w:ascii="Garamond" w:hAnsi="Garamond"/>
                <w:b/>
                <w:color w:val="2F5496"/>
                <w:sz w:val="20"/>
              </w:rPr>
            </w:pPr>
            <w:r w:rsidRPr="00795698">
              <w:rPr>
                <w:rFonts w:ascii="Garamond" w:hAnsi="Garamond"/>
                <w:b/>
                <w:color w:val="2F5496"/>
                <w:sz w:val="20"/>
              </w:rPr>
              <w:t>LEKË</w:t>
            </w:r>
          </w:p>
        </w:tc>
        <w:tc>
          <w:tcPr>
            <w:tcW w:w="2218" w:type="dxa"/>
            <w:tcBorders>
              <w:bottom w:val="single" w:sz="12" w:space="0" w:color="8EAADB"/>
            </w:tcBorders>
            <w:shd w:val="clear" w:color="auto" w:fill="auto"/>
          </w:tcPr>
          <w:p w14:paraId="5FEEFB55" w14:textId="77777777" w:rsidR="001F7EF9" w:rsidRPr="00795698" w:rsidRDefault="001F7EF9" w:rsidP="00D256C8">
            <w:pPr>
              <w:spacing w:line="276" w:lineRule="auto"/>
              <w:rPr>
                <w:rFonts w:ascii="Garamond" w:hAnsi="Garamond"/>
                <w:b/>
                <w:color w:val="2F5496"/>
                <w:sz w:val="20"/>
              </w:rPr>
            </w:pPr>
            <w:r w:rsidRPr="00795698">
              <w:rPr>
                <w:rFonts w:ascii="Garamond" w:hAnsi="Garamond"/>
                <w:b/>
                <w:color w:val="2F5496"/>
                <w:sz w:val="20"/>
              </w:rPr>
              <w:t>EURO</w:t>
            </w:r>
          </w:p>
        </w:tc>
      </w:tr>
      <w:tr w:rsidR="001F7EF9" w:rsidRPr="00795698" w14:paraId="5FEEFB5A" w14:textId="77777777" w:rsidTr="004478B9">
        <w:trPr>
          <w:trHeight w:val="36"/>
        </w:trPr>
        <w:tc>
          <w:tcPr>
            <w:tcW w:w="4437" w:type="dxa"/>
            <w:shd w:val="clear" w:color="auto" w:fill="D9E2F3"/>
            <w:hideMark/>
          </w:tcPr>
          <w:p w14:paraId="5FEEFB57" w14:textId="77777777" w:rsidR="001F7EF9" w:rsidRPr="00795698" w:rsidRDefault="001F7EF9" w:rsidP="00D256C8">
            <w:pPr>
              <w:spacing w:line="276" w:lineRule="auto"/>
              <w:rPr>
                <w:rFonts w:ascii="Garamond" w:hAnsi="Garamond"/>
                <w:b/>
                <w:sz w:val="20"/>
              </w:rPr>
            </w:pPr>
            <w:r w:rsidRPr="00795698">
              <w:rPr>
                <w:rFonts w:ascii="Garamond" w:hAnsi="Garamond"/>
                <w:b/>
                <w:sz w:val="20"/>
              </w:rPr>
              <w:t>KOSTO TOTALE E PV</w:t>
            </w:r>
          </w:p>
        </w:tc>
        <w:tc>
          <w:tcPr>
            <w:tcW w:w="2218" w:type="dxa"/>
            <w:shd w:val="clear" w:color="auto" w:fill="D9E2F3"/>
            <w:noWrap/>
            <w:hideMark/>
          </w:tcPr>
          <w:p w14:paraId="5FEEFB58" w14:textId="77777777" w:rsidR="001F7EF9" w:rsidRPr="00795698" w:rsidRDefault="001F7EF9" w:rsidP="00D256C8">
            <w:pPr>
              <w:spacing w:line="276" w:lineRule="auto"/>
              <w:rPr>
                <w:rFonts w:ascii="Garamond" w:hAnsi="Garamond"/>
                <w:b/>
                <w:sz w:val="20"/>
              </w:rPr>
            </w:pPr>
            <w:r w:rsidRPr="00795698">
              <w:rPr>
                <w:rFonts w:ascii="Garamond" w:hAnsi="Garamond"/>
                <w:b/>
                <w:sz w:val="20"/>
              </w:rPr>
              <w:t>2,326,949,515</w:t>
            </w:r>
          </w:p>
        </w:tc>
        <w:tc>
          <w:tcPr>
            <w:tcW w:w="2218" w:type="dxa"/>
            <w:shd w:val="clear" w:color="auto" w:fill="D9E2F3"/>
          </w:tcPr>
          <w:p w14:paraId="5FEEFB59" w14:textId="77777777" w:rsidR="001F7EF9" w:rsidRPr="00795698" w:rsidRDefault="001F7EF9" w:rsidP="00D256C8">
            <w:pPr>
              <w:spacing w:line="276" w:lineRule="auto"/>
              <w:rPr>
                <w:rFonts w:ascii="Garamond" w:hAnsi="Garamond"/>
                <w:b/>
                <w:sz w:val="20"/>
              </w:rPr>
            </w:pPr>
            <w:r w:rsidRPr="00795698">
              <w:rPr>
                <w:rFonts w:ascii="Garamond" w:hAnsi="Garamond"/>
                <w:b/>
                <w:sz w:val="20"/>
              </w:rPr>
              <w:t>18,918,289</w:t>
            </w:r>
          </w:p>
        </w:tc>
      </w:tr>
      <w:tr w:rsidR="001F7EF9" w:rsidRPr="00795698" w14:paraId="5FEEFB5E" w14:textId="77777777" w:rsidTr="004478B9">
        <w:trPr>
          <w:trHeight w:val="56"/>
        </w:trPr>
        <w:tc>
          <w:tcPr>
            <w:tcW w:w="4437" w:type="dxa"/>
            <w:shd w:val="clear" w:color="auto" w:fill="auto"/>
            <w:hideMark/>
          </w:tcPr>
          <w:p w14:paraId="5FEEFB5B" w14:textId="1F6D4F0C" w:rsidR="001F7EF9" w:rsidRPr="00795698" w:rsidRDefault="001F7EF9" w:rsidP="00D256C8">
            <w:pPr>
              <w:spacing w:line="276" w:lineRule="auto"/>
              <w:rPr>
                <w:rFonts w:ascii="Garamond" w:hAnsi="Garamond"/>
                <w:b/>
                <w:sz w:val="20"/>
              </w:rPr>
            </w:pPr>
            <w:r w:rsidRPr="00795698">
              <w:rPr>
                <w:rFonts w:ascii="Garamond" w:hAnsi="Garamond"/>
                <w:b/>
                <w:sz w:val="20"/>
              </w:rPr>
              <w:t xml:space="preserve">PBA </w:t>
            </w:r>
            <w:r w:rsidR="006249E3" w:rsidRPr="00795698">
              <w:rPr>
                <w:rFonts w:ascii="Garamond" w:hAnsi="Garamond"/>
                <w:b/>
                <w:sz w:val="20"/>
              </w:rPr>
              <w:t>2023–2025</w:t>
            </w:r>
          </w:p>
        </w:tc>
        <w:tc>
          <w:tcPr>
            <w:tcW w:w="2218" w:type="dxa"/>
            <w:shd w:val="clear" w:color="auto" w:fill="auto"/>
            <w:noWrap/>
            <w:hideMark/>
          </w:tcPr>
          <w:p w14:paraId="5FEEFB5C" w14:textId="77777777" w:rsidR="001F7EF9" w:rsidRPr="00795698" w:rsidRDefault="001F7EF9" w:rsidP="00D256C8">
            <w:pPr>
              <w:spacing w:line="276" w:lineRule="auto"/>
              <w:rPr>
                <w:rFonts w:ascii="Garamond" w:hAnsi="Garamond"/>
                <w:sz w:val="20"/>
              </w:rPr>
            </w:pPr>
            <w:r w:rsidRPr="00795698">
              <w:rPr>
                <w:rFonts w:ascii="Garamond" w:hAnsi="Garamond"/>
                <w:sz w:val="20"/>
              </w:rPr>
              <w:t>2,326,949,515</w:t>
            </w:r>
          </w:p>
        </w:tc>
        <w:tc>
          <w:tcPr>
            <w:tcW w:w="2218" w:type="dxa"/>
            <w:shd w:val="clear" w:color="auto" w:fill="auto"/>
          </w:tcPr>
          <w:p w14:paraId="5FEEFB5D" w14:textId="77777777" w:rsidR="001F7EF9" w:rsidRPr="00795698" w:rsidRDefault="001F7EF9" w:rsidP="00D256C8">
            <w:pPr>
              <w:spacing w:line="276" w:lineRule="auto"/>
              <w:rPr>
                <w:rFonts w:ascii="Garamond" w:hAnsi="Garamond"/>
                <w:sz w:val="20"/>
              </w:rPr>
            </w:pPr>
            <w:r w:rsidRPr="00795698">
              <w:rPr>
                <w:rFonts w:ascii="Garamond" w:hAnsi="Garamond"/>
                <w:sz w:val="20"/>
              </w:rPr>
              <w:t>18,918,289</w:t>
            </w:r>
          </w:p>
        </w:tc>
      </w:tr>
      <w:tr w:rsidR="001F7EF9" w:rsidRPr="00795698" w14:paraId="5FEEFB62" w14:textId="77777777" w:rsidTr="004478B9">
        <w:trPr>
          <w:trHeight w:val="56"/>
        </w:trPr>
        <w:tc>
          <w:tcPr>
            <w:tcW w:w="4437" w:type="dxa"/>
            <w:shd w:val="clear" w:color="auto" w:fill="D9E2F3"/>
            <w:hideMark/>
          </w:tcPr>
          <w:p w14:paraId="5FEEFB5F" w14:textId="77777777" w:rsidR="001F7EF9" w:rsidRPr="00795698" w:rsidRDefault="001F7EF9" w:rsidP="00D256C8">
            <w:pPr>
              <w:spacing w:line="276" w:lineRule="auto"/>
              <w:rPr>
                <w:rFonts w:ascii="Garamond" w:hAnsi="Garamond"/>
                <w:b/>
                <w:sz w:val="20"/>
              </w:rPr>
            </w:pPr>
            <w:r w:rsidRPr="00795698">
              <w:rPr>
                <w:rFonts w:ascii="Garamond" w:hAnsi="Garamond"/>
                <w:b/>
                <w:sz w:val="20"/>
              </w:rPr>
              <w:t>FINANCIM I HUAJ</w:t>
            </w:r>
          </w:p>
        </w:tc>
        <w:tc>
          <w:tcPr>
            <w:tcW w:w="2218" w:type="dxa"/>
            <w:shd w:val="clear" w:color="auto" w:fill="D9E2F3"/>
            <w:noWrap/>
            <w:hideMark/>
          </w:tcPr>
          <w:p w14:paraId="5FEEFB60" w14:textId="77777777" w:rsidR="001F7EF9" w:rsidRPr="00795698" w:rsidRDefault="001F7EF9" w:rsidP="00D256C8">
            <w:pPr>
              <w:spacing w:line="276" w:lineRule="auto"/>
              <w:rPr>
                <w:rFonts w:ascii="Garamond" w:hAnsi="Garamond"/>
                <w:sz w:val="20"/>
              </w:rPr>
            </w:pPr>
            <w:r w:rsidRPr="00795698">
              <w:rPr>
                <w:rFonts w:ascii="Garamond" w:hAnsi="Garamond"/>
                <w:sz w:val="20"/>
              </w:rPr>
              <w:t>0</w:t>
            </w:r>
          </w:p>
        </w:tc>
        <w:tc>
          <w:tcPr>
            <w:tcW w:w="2218" w:type="dxa"/>
            <w:shd w:val="clear" w:color="auto" w:fill="D9E2F3"/>
          </w:tcPr>
          <w:p w14:paraId="5FEEFB61" w14:textId="77777777" w:rsidR="001F7EF9" w:rsidRPr="00795698" w:rsidRDefault="001F7EF9" w:rsidP="00D256C8">
            <w:pPr>
              <w:spacing w:line="276" w:lineRule="auto"/>
              <w:rPr>
                <w:rFonts w:ascii="Garamond" w:hAnsi="Garamond"/>
                <w:color w:val="2F5496"/>
                <w:sz w:val="20"/>
              </w:rPr>
            </w:pPr>
          </w:p>
        </w:tc>
      </w:tr>
      <w:tr w:rsidR="001F7EF9" w:rsidRPr="00795698" w14:paraId="5FEEFB66" w14:textId="77777777" w:rsidTr="004478B9">
        <w:trPr>
          <w:trHeight w:val="56"/>
        </w:trPr>
        <w:tc>
          <w:tcPr>
            <w:tcW w:w="4437" w:type="dxa"/>
            <w:shd w:val="clear" w:color="auto" w:fill="auto"/>
            <w:hideMark/>
          </w:tcPr>
          <w:p w14:paraId="5FEEFB63" w14:textId="68B5DECC" w:rsidR="001F7EF9" w:rsidRPr="00795698" w:rsidRDefault="001F7EF9" w:rsidP="00D256C8">
            <w:pPr>
              <w:spacing w:line="276" w:lineRule="auto"/>
              <w:rPr>
                <w:rFonts w:ascii="Garamond" w:hAnsi="Garamond"/>
                <w:b/>
                <w:sz w:val="20"/>
              </w:rPr>
            </w:pPr>
            <w:r w:rsidRPr="00795698">
              <w:rPr>
                <w:rFonts w:ascii="Garamond" w:hAnsi="Garamond"/>
                <w:b/>
                <w:sz w:val="20"/>
              </w:rPr>
              <w:t xml:space="preserve">HENDEK FINANCIAR </w:t>
            </w:r>
            <w:r w:rsidR="006249E3" w:rsidRPr="00795698">
              <w:rPr>
                <w:rFonts w:ascii="Garamond" w:hAnsi="Garamond"/>
                <w:b/>
                <w:sz w:val="20"/>
              </w:rPr>
              <w:t>2023–2025</w:t>
            </w:r>
          </w:p>
        </w:tc>
        <w:tc>
          <w:tcPr>
            <w:tcW w:w="2218" w:type="dxa"/>
            <w:shd w:val="clear" w:color="auto" w:fill="auto"/>
            <w:noWrap/>
            <w:hideMark/>
          </w:tcPr>
          <w:p w14:paraId="5FEEFB64" w14:textId="77777777" w:rsidR="001F7EF9" w:rsidRPr="00795698" w:rsidRDefault="001F7EF9" w:rsidP="00D256C8">
            <w:pPr>
              <w:spacing w:line="276" w:lineRule="auto"/>
              <w:rPr>
                <w:rFonts w:ascii="Garamond" w:hAnsi="Garamond"/>
                <w:sz w:val="20"/>
              </w:rPr>
            </w:pPr>
            <w:r w:rsidRPr="00795698">
              <w:rPr>
                <w:rFonts w:ascii="Garamond" w:hAnsi="Garamond"/>
                <w:sz w:val="20"/>
              </w:rPr>
              <w:t>0</w:t>
            </w:r>
          </w:p>
        </w:tc>
        <w:tc>
          <w:tcPr>
            <w:tcW w:w="2218" w:type="dxa"/>
            <w:shd w:val="clear" w:color="auto" w:fill="auto"/>
          </w:tcPr>
          <w:p w14:paraId="5FEEFB65" w14:textId="77777777" w:rsidR="001F7EF9" w:rsidRPr="00795698" w:rsidRDefault="001F7EF9" w:rsidP="00D256C8">
            <w:pPr>
              <w:spacing w:line="276" w:lineRule="auto"/>
              <w:rPr>
                <w:rFonts w:ascii="Garamond" w:hAnsi="Garamond"/>
                <w:color w:val="2F5496"/>
                <w:sz w:val="20"/>
              </w:rPr>
            </w:pPr>
          </w:p>
        </w:tc>
      </w:tr>
    </w:tbl>
    <w:p w14:paraId="5FEEFB67" w14:textId="77777777" w:rsidR="00FF659E" w:rsidRPr="00795698" w:rsidRDefault="00FF659E" w:rsidP="00FF659E">
      <w:pPr>
        <w:pStyle w:val="TEKSTIIIII"/>
        <w:rPr>
          <w:i/>
          <w:sz w:val="18"/>
          <w:lang w:val="sq-AL"/>
        </w:rPr>
      </w:pPr>
    </w:p>
    <w:p w14:paraId="5FEEFB69" w14:textId="6382B626" w:rsidR="00484F64" w:rsidRPr="00795698" w:rsidRDefault="00484F64" w:rsidP="00484F64">
      <w:pPr>
        <w:pStyle w:val="TEKSTIIIII"/>
        <w:rPr>
          <w:i/>
          <w:sz w:val="18"/>
          <w:lang w:val="sq-AL"/>
        </w:rPr>
      </w:pPr>
      <w:r w:rsidRPr="00795698">
        <w:rPr>
          <w:lang w:val="sq-AL"/>
        </w:rPr>
        <w:t xml:space="preserve">Sipas qëllimeve të politikave kostimi i Planit të Veprimit të Luftës </w:t>
      </w:r>
      <w:r w:rsidR="004478B9" w:rsidRPr="00795698">
        <w:rPr>
          <w:lang w:val="sq-AL"/>
        </w:rPr>
        <w:t>k</w:t>
      </w:r>
      <w:r w:rsidRPr="00795698">
        <w:rPr>
          <w:lang w:val="sq-AL"/>
        </w:rPr>
        <w:t xml:space="preserve">undër Terrorizmit </w:t>
      </w:r>
      <w:r w:rsidR="00666444" w:rsidRPr="00795698">
        <w:rPr>
          <w:lang w:val="sq-AL"/>
        </w:rPr>
        <w:t>2022–</w:t>
      </w:r>
      <w:r w:rsidRPr="00795698">
        <w:rPr>
          <w:lang w:val="sq-AL"/>
        </w:rPr>
        <w:t>2025 paraqitet si më poshtë vijon: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358"/>
        <w:gridCol w:w="1890"/>
        <w:gridCol w:w="1620"/>
        <w:gridCol w:w="3199"/>
      </w:tblGrid>
      <w:tr w:rsidR="00484F64" w:rsidRPr="00795698" w14:paraId="5FEEFB6E" w14:textId="77777777" w:rsidTr="004478B9">
        <w:trPr>
          <w:trHeight w:val="56"/>
        </w:trPr>
        <w:tc>
          <w:tcPr>
            <w:tcW w:w="2358" w:type="dxa"/>
            <w:shd w:val="clear" w:color="auto" w:fill="D9D9D9"/>
            <w:noWrap/>
            <w:hideMark/>
          </w:tcPr>
          <w:p w14:paraId="5FEEFB6A" w14:textId="77777777" w:rsidR="00484F64" w:rsidRPr="00795698" w:rsidRDefault="00484F64" w:rsidP="00D256C8">
            <w:pPr>
              <w:spacing w:line="276" w:lineRule="auto"/>
              <w:jc w:val="center"/>
              <w:rPr>
                <w:rFonts w:ascii="Garamond" w:hAnsi="Garamond"/>
                <w:b/>
                <w:bCs/>
                <w:color w:val="222A35"/>
                <w:sz w:val="20"/>
                <w:lang w:eastAsia="en-GB"/>
              </w:rPr>
            </w:pPr>
            <w:r w:rsidRPr="00795698">
              <w:rPr>
                <w:rFonts w:ascii="Garamond" w:hAnsi="Garamond"/>
                <w:b/>
                <w:bCs/>
                <w:color w:val="222A35"/>
                <w:sz w:val="20"/>
                <w:lang w:eastAsia="en-GB"/>
              </w:rPr>
              <w:t> </w:t>
            </w:r>
          </w:p>
        </w:tc>
        <w:tc>
          <w:tcPr>
            <w:tcW w:w="1890" w:type="dxa"/>
            <w:shd w:val="clear" w:color="auto" w:fill="D9D9D9"/>
            <w:noWrap/>
            <w:hideMark/>
          </w:tcPr>
          <w:p w14:paraId="5FEEFB6B" w14:textId="71DBC51A" w:rsidR="00484F64" w:rsidRPr="00795698" w:rsidRDefault="00484F64" w:rsidP="004478B9">
            <w:pPr>
              <w:spacing w:line="276" w:lineRule="auto"/>
              <w:jc w:val="center"/>
              <w:rPr>
                <w:rFonts w:ascii="Garamond" w:hAnsi="Garamond"/>
                <w:b/>
                <w:bCs/>
                <w:color w:val="222A35"/>
                <w:sz w:val="20"/>
                <w:lang w:eastAsia="en-GB"/>
              </w:rPr>
            </w:pPr>
            <w:r w:rsidRPr="00795698">
              <w:rPr>
                <w:rFonts w:ascii="Garamond" w:hAnsi="Garamond"/>
                <w:b/>
                <w:bCs/>
                <w:color w:val="222A35"/>
                <w:sz w:val="20"/>
                <w:lang w:eastAsia="en-GB"/>
              </w:rPr>
              <w:t xml:space="preserve">Kosto </w:t>
            </w:r>
            <w:r w:rsidR="004478B9" w:rsidRPr="00795698">
              <w:rPr>
                <w:rFonts w:ascii="Garamond" w:hAnsi="Garamond"/>
                <w:b/>
                <w:bCs/>
                <w:color w:val="222A35"/>
                <w:sz w:val="20"/>
                <w:lang w:eastAsia="en-GB"/>
              </w:rPr>
              <w:t>k</w:t>
            </w:r>
            <w:r w:rsidRPr="00795698">
              <w:rPr>
                <w:rFonts w:ascii="Garamond" w:hAnsi="Garamond"/>
                <w:b/>
                <w:bCs/>
                <w:color w:val="222A35"/>
                <w:sz w:val="20"/>
                <w:lang w:eastAsia="en-GB"/>
              </w:rPr>
              <w:t>orente</w:t>
            </w:r>
          </w:p>
        </w:tc>
        <w:tc>
          <w:tcPr>
            <w:tcW w:w="1620" w:type="dxa"/>
            <w:shd w:val="clear" w:color="auto" w:fill="D9D9D9"/>
            <w:noWrap/>
            <w:hideMark/>
          </w:tcPr>
          <w:p w14:paraId="5FEEFB6C" w14:textId="43BDD5AB" w:rsidR="00484F64" w:rsidRPr="00795698" w:rsidRDefault="00484F64" w:rsidP="004478B9">
            <w:pPr>
              <w:spacing w:line="276" w:lineRule="auto"/>
              <w:jc w:val="center"/>
              <w:rPr>
                <w:rFonts w:ascii="Garamond" w:hAnsi="Garamond"/>
                <w:b/>
                <w:bCs/>
                <w:color w:val="222A35"/>
                <w:sz w:val="20"/>
                <w:lang w:eastAsia="en-GB"/>
              </w:rPr>
            </w:pPr>
            <w:r w:rsidRPr="00795698">
              <w:rPr>
                <w:rFonts w:ascii="Garamond" w:hAnsi="Garamond"/>
                <w:b/>
                <w:bCs/>
                <w:color w:val="222A35"/>
                <w:sz w:val="20"/>
                <w:lang w:eastAsia="en-GB"/>
              </w:rPr>
              <w:t xml:space="preserve">Kosto </w:t>
            </w:r>
            <w:r w:rsidR="004478B9" w:rsidRPr="00795698">
              <w:rPr>
                <w:rFonts w:ascii="Garamond" w:hAnsi="Garamond"/>
                <w:b/>
                <w:bCs/>
                <w:color w:val="222A35"/>
                <w:sz w:val="20"/>
                <w:lang w:eastAsia="en-GB"/>
              </w:rPr>
              <w:t>k</w:t>
            </w:r>
            <w:r w:rsidRPr="00795698">
              <w:rPr>
                <w:rFonts w:ascii="Garamond" w:hAnsi="Garamond"/>
                <w:b/>
                <w:bCs/>
                <w:color w:val="222A35"/>
                <w:sz w:val="20"/>
                <w:lang w:eastAsia="en-GB"/>
              </w:rPr>
              <w:t>apitale</w:t>
            </w:r>
          </w:p>
        </w:tc>
        <w:tc>
          <w:tcPr>
            <w:tcW w:w="3199" w:type="dxa"/>
            <w:shd w:val="clear" w:color="auto" w:fill="D9D9D9"/>
            <w:noWrap/>
            <w:hideMark/>
          </w:tcPr>
          <w:p w14:paraId="5FEEFB6D" w14:textId="77777777" w:rsidR="00484F64" w:rsidRPr="00795698" w:rsidRDefault="00484F64" w:rsidP="00D256C8">
            <w:pPr>
              <w:spacing w:line="276" w:lineRule="auto"/>
              <w:jc w:val="center"/>
              <w:rPr>
                <w:rFonts w:ascii="Garamond" w:hAnsi="Garamond"/>
                <w:b/>
                <w:bCs/>
                <w:color w:val="222A35"/>
                <w:sz w:val="20"/>
                <w:lang w:eastAsia="en-GB"/>
              </w:rPr>
            </w:pPr>
            <w:r w:rsidRPr="00795698">
              <w:rPr>
                <w:rFonts w:ascii="Garamond" w:hAnsi="Garamond"/>
                <w:b/>
                <w:bCs/>
                <w:color w:val="222A35"/>
                <w:sz w:val="20"/>
                <w:lang w:eastAsia="en-GB"/>
              </w:rPr>
              <w:t>% në raport me koston totale të PV</w:t>
            </w:r>
          </w:p>
        </w:tc>
      </w:tr>
      <w:tr w:rsidR="00484F64" w:rsidRPr="00795698" w14:paraId="5FEEFB73" w14:textId="77777777" w:rsidTr="004478B9">
        <w:trPr>
          <w:trHeight w:val="56"/>
        </w:trPr>
        <w:tc>
          <w:tcPr>
            <w:tcW w:w="2358" w:type="dxa"/>
            <w:shd w:val="clear" w:color="auto" w:fill="F2F2F2"/>
            <w:noWrap/>
            <w:hideMark/>
          </w:tcPr>
          <w:p w14:paraId="5FEEFB6F" w14:textId="6E22C474"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I</w:t>
            </w:r>
          </w:p>
        </w:tc>
        <w:tc>
          <w:tcPr>
            <w:tcW w:w="1890" w:type="dxa"/>
            <w:shd w:val="clear" w:color="auto" w:fill="F2F2F2"/>
            <w:noWrap/>
            <w:hideMark/>
          </w:tcPr>
          <w:p w14:paraId="5FEEFB70"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354,450,000</w:t>
            </w:r>
          </w:p>
        </w:tc>
        <w:tc>
          <w:tcPr>
            <w:tcW w:w="1620" w:type="dxa"/>
            <w:shd w:val="clear" w:color="auto" w:fill="F2F2F2"/>
            <w:noWrap/>
            <w:hideMark/>
          </w:tcPr>
          <w:p w14:paraId="5FEEFB71"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72"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354,450,000</w:t>
            </w:r>
          </w:p>
        </w:tc>
      </w:tr>
      <w:tr w:rsidR="00484F64" w:rsidRPr="00795698" w14:paraId="5FEEFB78" w14:textId="77777777" w:rsidTr="004478B9">
        <w:trPr>
          <w:trHeight w:val="56"/>
        </w:trPr>
        <w:tc>
          <w:tcPr>
            <w:tcW w:w="2358" w:type="dxa"/>
            <w:shd w:val="clear" w:color="auto" w:fill="F2F2F2"/>
            <w:noWrap/>
            <w:hideMark/>
          </w:tcPr>
          <w:p w14:paraId="5FEEFB74" w14:textId="173AE39D"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II</w:t>
            </w:r>
          </w:p>
        </w:tc>
        <w:tc>
          <w:tcPr>
            <w:tcW w:w="1890" w:type="dxa"/>
            <w:shd w:val="clear" w:color="auto" w:fill="F2F2F2"/>
            <w:noWrap/>
            <w:hideMark/>
          </w:tcPr>
          <w:p w14:paraId="5FEEFB75"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458,503,800</w:t>
            </w:r>
          </w:p>
        </w:tc>
        <w:tc>
          <w:tcPr>
            <w:tcW w:w="1620" w:type="dxa"/>
            <w:shd w:val="clear" w:color="auto" w:fill="F2F2F2"/>
            <w:noWrap/>
            <w:hideMark/>
          </w:tcPr>
          <w:p w14:paraId="5FEEFB76"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77"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458,503,800</w:t>
            </w:r>
          </w:p>
        </w:tc>
      </w:tr>
      <w:tr w:rsidR="00484F64" w:rsidRPr="00795698" w14:paraId="5FEEFB7D" w14:textId="77777777" w:rsidTr="004478B9">
        <w:trPr>
          <w:trHeight w:val="56"/>
        </w:trPr>
        <w:tc>
          <w:tcPr>
            <w:tcW w:w="2358" w:type="dxa"/>
            <w:shd w:val="clear" w:color="auto" w:fill="F2F2F2"/>
            <w:noWrap/>
            <w:hideMark/>
          </w:tcPr>
          <w:p w14:paraId="5FEEFB79" w14:textId="744EC3BE"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III</w:t>
            </w:r>
          </w:p>
        </w:tc>
        <w:tc>
          <w:tcPr>
            <w:tcW w:w="1890" w:type="dxa"/>
            <w:shd w:val="clear" w:color="auto" w:fill="F2F2F2"/>
            <w:noWrap/>
            <w:hideMark/>
          </w:tcPr>
          <w:p w14:paraId="5FEEFB7A"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303,019,200</w:t>
            </w:r>
          </w:p>
        </w:tc>
        <w:tc>
          <w:tcPr>
            <w:tcW w:w="1620" w:type="dxa"/>
            <w:shd w:val="clear" w:color="auto" w:fill="F2F2F2"/>
            <w:noWrap/>
            <w:hideMark/>
          </w:tcPr>
          <w:p w14:paraId="5FEEFB7B"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7C"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303,019,200</w:t>
            </w:r>
          </w:p>
        </w:tc>
      </w:tr>
      <w:tr w:rsidR="00484F64" w:rsidRPr="00795698" w14:paraId="5FEEFB82" w14:textId="77777777" w:rsidTr="004478B9">
        <w:trPr>
          <w:trHeight w:val="56"/>
        </w:trPr>
        <w:tc>
          <w:tcPr>
            <w:tcW w:w="2358" w:type="dxa"/>
            <w:shd w:val="clear" w:color="auto" w:fill="F2F2F2"/>
            <w:noWrap/>
            <w:hideMark/>
          </w:tcPr>
          <w:p w14:paraId="5FEEFB7E" w14:textId="67C5D107"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IV</w:t>
            </w:r>
          </w:p>
        </w:tc>
        <w:tc>
          <w:tcPr>
            <w:tcW w:w="1890" w:type="dxa"/>
            <w:shd w:val="clear" w:color="auto" w:fill="F2F2F2"/>
            <w:noWrap/>
            <w:hideMark/>
          </w:tcPr>
          <w:p w14:paraId="5FEEFB7F"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37,500,000</w:t>
            </w:r>
          </w:p>
        </w:tc>
        <w:tc>
          <w:tcPr>
            <w:tcW w:w="1620" w:type="dxa"/>
            <w:shd w:val="clear" w:color="auto" w:fill="F2F2F2"/>
            <w:noWrap/>
            <w:hideMark/>
          </w:tcPr>
          <w:p w14:paraId="5FEEFB80"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81"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37,500,000</w:t>
            </w:r>
          </w:p>
        </w:tc>
      </w:tr>
      <w:tr w:rsidR="00484F64" w:rsidRPr="00795698" w14:paraId="5FEEFB87" w14:textId="77777777" w:rsidTr="004478B9">
        <w:trPr>
          <w:trHeight w:val="56"/>
        </w:trPr>
        <w:tc>
          <w:tcPr>
            <w:tcW w:w="2358" w:type="dxa"/>
            <w:shd w:val="clear" w:color="auto" w:fill="F2F2F2"/>
            <w:noWrap/>
            <w:hideMark/>
          </w:tcPr>
          <w:p w14:paraId="5FEEFB83" w14:textId="76624651"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V</w:t>
            </w:r>
          </w:p>
        </w:tc>
        <w:tc>
          <w:tcPr>
            <w:tcW w:w="1890" w:type="dxa"/>
            <w:shd w:val="clear" w:color="auto" w:fill="F2F2F2"/>
            <w:noWrap/>
            <w:hideMark/>
          </w:tcPr>
          <w:p w14:paraId="5FEEFB84"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424,753,800</w:t>
            </w:r>
          </w:p>
        </w:tc>
        <w:tc>
          <w:tcPr>
            <w:tcW w:w="1620" w:type="dxa"/>
            <w:shd w:val="clear" w:color="auto" w:fill="F2F2F2"/>
            <w:noWrap/>
            <w:hideMark/>
          </w:tcPr>
          <w:p w14:paraId="5FEEFB85"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86"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424,753,800</w:t>
            </w:r>
          </w:p>
        </w:tc>
      </w:tr>
      <w:tr w:rsidR="00484F64" w:rsidRPr="00795698" w14:paraId="5FEEFB8C" w14:textId="77777777" w:rsidTr="004478B9">
        <w:trPr>
          <w:trHeight w:val="56"/>
        </w:trPr>
        <w:tc>
          <w:tcPr>
            <w:tcW w:w="2358" w:type="dxa"/>
            <w:shd w:val="clear" w:color="auto" w:fill="F2F2F2"/>
            <w:noWrap/>
            <w:hideMark/>
          </w:tcPr>
          <w:p w14:paraId="5FEEFB88" w14:textId="10196611"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VI</w:t>
            </w:r>
          </w:p>
        </w:tc>
        <w:tc>
          <w:tcPr>
            <w:tcW w:w="1890" w:type="dxa"/>
            <w:shd w:val="clear" w:color="auto" w:fill="F2F2F2"/>
            <w:noWrap/>
            <w:hideMark/>
          </w:tcPr>
          <w:p w14:paraId="5FEEFB89"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634,935,215</w:t>
            </w:r>
          </w:p>
        </w:tc>
        <w:tc>
          <w:tcPr>
            <w:tcW w:w="1620" w:type="dxa"/>
            <w:shd w:val="clear" w:color="auto" w:fill="F2F2F2"/>
            <w:noWrap/>
            <w:hideMark/>
          </w:tcPr>
          <w:p w14:paraId="5FEEFB8A"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8B"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634,935,215</w:t>
            </w:r>
          </w:p>
        </w:tc>
      </w:tr>
      <w:tr w:rsidR="00484F64" w:rsidRPr="00795698" w14:paraId="5FEEFB91" w14:textId="77777777" w:rsidTr="004478B9">
        <w:trPr>
          <w:trHeight w:val="56"/>
        </w:trPr>
        <w:tc>
          <w:tcPr>
            <w:tcW w:w="2358" w:type="dxa"/>
            <w:shd w:val="clear" w:color="auto" w:fill="F2F2F2"/>
            <w:noWrap/>
            <w:hideMark/>
          </w:tcPr>
          <w:p w14:paraId="5FEEFB8D" w14:textId="304EBC98"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VII</w:t>
            </w:r>
          </w:p>
        </w:tc>
        <w:tc>
          <w:tcPr>
            <w:tcW w:w="1890" w:type="dxa"/>
            <w:shd w:val="clear" w:color="auto" w:fill="F2F2F2"/>
            <w:noWrap/>
            <w:hideMark/>
          </w:tcPr>
          <w:p w14:paraId="5FEEFB8E"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51,185,500</w:t>
            </w:r>
          </w:p>
        </w:tc>
        <w:tc>
          <w:tcPr>
            <w:tcW w:w="1620" w:type="dxa"/>
            <w:shd w:val="clear" w:color="auto" w:fill="F2F2F2"/>
            <w:noWrap/>
            <w:hideMark/>
          </w:tcPr>
          <w:p w14:paraId="5FEEFB8F"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90"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51,185,500</w:t>
            </w:r>
          </w:p>
        </w:tc>
      </w:tr>
      <w:tr w:rsidR="00484F64" w:rsidRPr="00795698" w14:paraId="5FEEFB96" w14:textId="77777777" w:rsidTr="004478B9">
        <w:trPr>
          <w:trHeight w:val="56"/>
        </w:trPr>
        <w:tc>
          <w:tcPr>
            <w:tcW w:w="2358" w:type="dxa"/>
            <w:shd w:val="clear" w:color="auto" w:fill="F2F2F2"/>
            <w:noWrap/>
            <w:hideMark/>
          </w:tcPr>
          <w:p w14:paraId="5FEEFB92" w14:textId="0FAFF639"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VIII</w:t>
            </w:r>
          </w:p>
        </w:tc>
        <w:tc>
          <w:tcPr>
            <w:tcW w:w="1890" w:type="dxa"/>
            <w:shd w:val="clear" w:color="auto" w:fill="F2F2F2"/>
            <w:noWrap/>
            <w:hideMark/>
          </w:tcPr>
          <w:p w14:paraId="5FEEFB93"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12,780,000</w:t>
            </w:r>
          </w:p>
        </w:tc>
        <w:tc>
          <w:tcPr>
            <w:tcW w:w="1620" w:type="dxa"/>
            <w:shd w:val="clear" w:color="auto" w:fill="F2F2F2"/>
            <w:noWrap/>
            <w:hideMark/>
          </w:tcPr>
          <w:p w14:paraId="5FEEFB94"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95"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12,780,000</w:t>
            </w:r>
          </w:p>
        </w:tc>
      </w:tr>
      <w:tr w:rsidR="00484F64" w:rsidRPr="00795698" w14:paraId="5FEEFB9B" w14:textId="77777777" w:rsidTr="004478B9">
        <w:trPr>
          <w:trHeight w:val="56"/>
        </w:trPr>
        <w:tc>
          <w:tcPr>
            <w:tcW w:w="2358" w:type="dxa"/>
            <w:shd w:val="clear" w:color="auto" w:fill="F2F2F2"/>
            <w:noWrap/>
            <w:hideMark/>
          </w:tcPr>
          <w:p w14:paraId="5FEEFB97" w14:textId="6054BFC0"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IX</w:t>
            </w:r>
          </w:p>
        </w:tc>
        <w:tc>
          <w:tcPr>
            <w:tcW w:w="1890" w:type="dxa"/>
            <w:shd w:val="clear" w:color="auto" w:fill="F2F2F2"/>
            <w:noWrap/>
            <w:hideMark/>
          </w:tcPr>
          <w:p w14:paraId="5FEEFB98"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10,500,000</w:t>
            </w:r>
          </w:p>
        </w:tc>
        <w:tc>
          <w:tcPr>
            <w:tcW w:w="1620" w:type="dxa"/>
            <w:shd w:val="clear" w:color="auto" w:fill="F2F2F2"/>
            <w:noWrap/>
            <w:hideMark/>
          </w:tcPr>
          <w:p w14:paraId="5FEEFB99"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9A"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10,500,000</w:t>
            </w:r>
          </w:p>
        </w:tc>
      </w:tr>
      <w:tr w:rsidR="00484F64" w:rsidRPr="00795698" w14:paraId="5FEEFBA0" w14:textId="77777777" w:rsidTr="004478B9">
        <w:trPr>
          <w:trHeight w:val="56"/>
        </w:trPr>
        <w:tc>
          <w:tcPr>
            <w:tcW w:w="2358" w:type="dxa"/>
            <w:shd w:val="clear" w:color="auto" w:fill="F2F2F2"/>
            <w:noWrap/>
            <w:hideMark/>
          </w:tcPr>
          <w:p w14:paraId="5FEEFB9C" w14:textId="5B0D30AA"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X</w:t>
            </w:r>
          </w:p>
        </w:tc>
        <w:tc>
          <w:tcPr>
            <w:tcW w:w="1890" w:type="dxa"/>
            <w:shd w:val="clear" w:color="auto" w:fill="F2F2F2"/>
            <w:noWrap/>
            <w:hideMark/>
          </w:tcPr>
          <w:p w14:paraId="5FEEFB9D"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2,700,000</w:t>
            </w:r>
          </w:p>
        </w:tc>
        <w:tc>
          <w:tcPr>
            <w:tcW w:w="1620" w:type="dxa"/>
            <w:shd w:val="clear" w:color="auto" w:fill="F2F2F2"/>
            <w:noWrap/>
            <w:hideMark/>
          </w:tcPr>
          <w:p w14:paraId="5FEEFB9E"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9F"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2,700,000</w:t>
            </w:r>
          </w:p>
        </w:tc>
      </w:tr>
      <w:tr w:rsidR="00484F64" w:rsidRPr="00795698" w14:paraId="5FEEFBA5" w14:textId="77777777" w:rsidTr="004478B9">
        <w:trPr>
          <w:trHeight w:val="56"/>
        </w:trPr>
        <w:tc>
          <w:tcPr>
            <w:tcW w:w="2358" w:type="dxa"/>
            <w:shd w:val="clear" w:color="auto" w:fill="F2F2F2"/>
            <w:noWrap/>
            <w:hideMark/>
          </w:tcPr>
          <w:p w14:paraId="5FEEFBA1" w14:textId="349F3A10"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XI</w:t>
            </w:r>
          </w:p>
        </w:tc>
        <w:tc>
          <w:tcPr>
            <w:tcW w:w="1890" w:type="dxa"/>
            <w:shd w:val="clear" w:color="auto" w:fill="F2F2F2"/>
            <w:noWrap/>
            <w:hideMark/>
          </w:tcPr>
          <w:p w14:paraId="5FEEFBA2"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13,932,000</w:t>
            </w:r>
          </w:p>
        </w:tc>
        <w:tc>
          <w:tcPr>
            <w:tcW w:w="1620" w:type="dxa"/>
            <w:shd w:val="clear" w:color="auto" w:fill="F2F2F2"/>
            <w:noWrap/>
            <w:hideMark/>
          </w:tcPr>
          <w:p w14:paraId="5FEEFBA3"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A4"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13,932,000</w:t>
            </w:r>
          </w:p>
        </w:tc>
      </w:tr>
      <w:tr w:rsidR="00484F64" w:rsidRPr="00795698" w14:paraId="5FEEFBAA" w14:textId="77777777" w:rsidTr="004478B9">
        <w:trPr>
          <w:trHeight w:val="56"/>
        </w:trPr>
        <w:tc>
          <w:tcPr>
            <w:tcW w:w="2358" w:type="dxa"/>
            <w:shd w:val="clear" w:color="auto" w:fill="F2F2F2"/>
            <w:noWrap/>
            <w:hideMark/>
          </w:tcPr>
          <w:p w14:paraId="5FEEFBA6" w14:textId="02985F42"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XII</w:t>
            </w:r>
          </w:p>
        </w:tc>
        <w:tc>
          <w:tcPr>
            <w:tcW w:w="1890" w:type="dxa"/>
            <w:shd w:val="clear" w:color="auto" w:fill="F2F2F2"/>
            <w:noWrap/>
            <w:hideMark/>
          </w:tcPr>
          <w:p w14:paraId="5FEEFBA7"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6,598,000</w:t>
            </w:r>
          </w:p>
        </w:tc>
        <w:tc>
          <w:tcPr>
            <w:tcW w:w="1620" w:type="dxa"/>
            <w:shd w:val="clear" w:color="auto" w:fill="F2F2F2"/>
            <w:noWrap/>
            <w:hideMark/>
          </w:tcPr>
          <w:p w14:paraId="5FEEFBA8"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A9"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6,598,000</w:t>
            </w:r>
          </w:p>
        </w:tc>
      </w:tr>
      <w:tr w:rsidR="00484F64" w:rsidRPr="00795698" w14:paraId="5FEEFBAF" w14:textId="77777777" w:rsidTr="004478B9">
        <w:trPr>
          <w:trHeight w:val="56"/>
        </w:trPr>
        <w:tc>
          <w:tcPr>
            <w:tcW w:w="2358" w:type="dxa"/>
            <w:shd w:val="clear" w:color="auto" w:fill="F2F2F2"/>
            <w:noWrap/>
            <w:hideMark/>
          </w:tcPr>
          <w:p w14:paraId="5FEEFBAB" w14:textId="3485B132" w:rsidR="00484F64" w:rsidRPr="00795698" w:rsidRDefault="00484F64" w:rsidP="00D256C8">
            <w:pPr>
              <w:spacing w:line="276" w:lineRule="auto"/>
              <w:rPr>
                <w:rFonts w:ascii="Garamond" w:hAnsi="Garamond"/>
                <w:bCs/>
                <w:color w:val="222A35"/>
                <w:sz w:val="20"/>
                <w:lang w:eastAsia="en-GB"/>
              </w:rPr>
            </w:pPr>
            <w:r w:rsidRPr="00795698">
              <w:rPr>
                <w:rFonts w:ascii="Garamond" w:hAnsi="Garamond"/>
                <w:bCs/>
                <w:color w:val="222A35"/>
                <w:sz w:val="20"/>
                <w:lang w:eastAsia="en-GB"/>
              </w:rPr>
              <w:t xml:space="preserve">Qëllimi i </w:t>
            </w:r>
            <w:r w:rsidR="004478B9" w:rsidRPr="00795698">
              <w:rPr>
                <w:rFonts w:ascii="Garamond" w:hAnsi="Garamond"/>
                <w:bCs/>
                <w:color w:val="222A35"/>
                <w:sz w:val="20"/>
                <w:lang w:eastAsia="en-GB"/>
              </w:rPr>
              <w:t xml:space="preserve">politikës </w:t>
            </w:r>
            <w:r w:rsidRPr="00795698">
              <w:rPr>
                <w:rFonts w:ascii="Garamond" w:hAnsi="Garamond"/>
                <w:bCs/>
                <w:color w:val="222A35"/>
                <w:sz w:val="20"/>
                <w:lang w:eastAsia="en-GB"/>
              </w:rPr>
              <w:t>XIII</w:t>
            </w:r>
          </w:p>
        </w:tc>
        <w:tc>
          <w:tcPr>
            <w:tcW w:w="1890" w:type="dxa"/>
            <w:shd w:val="clear" w:color="auto" w:fill="F2F2F2"/>
            <w:noWrap/>
            <w:hideMark/>
          </w:tcPr>
          <w:p w14:paraId="5FEEFBAC"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16,092,000</w:t>
            </w:r>
          </w:p>
        </w:tc>
        <w:tc>
          <w:tcPr>
            <w:tcW w:w="1620" w:type="dxa"/>
            <w:shd w:val="clear" w:color="auto" w:fill="F2F2F2"/>
            <w:noWrap/>
            <w:hideMark/>
          </w:tcPr>
          <w:p w14:paraId="5FEEFBAD"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0</w:t>
            </w:r>
          </w:p>
        </w:tc>
        <w:tc>
          <w:tcPr>
            <w:tcW w:w="3199" w:type="dxa"/>
            <w:shd w:val="clear" w:color="auto" w:fill="F2F2F2"/>
            <w:noWrap/>
            <w:hideMark/>
          </w:tcPr>
          <w:p w14:paraId="5FEEFBAE" w14:textId="77777777" w:rsidR="00484F64" w:rsidRPr="00795698" w:rsidRDefault="00484F64" w:rsidP="00D256C8">
            <w:pPr>
              <w:spacing w:line="276" w:lineRule="auto"/>
              <w:jc w:val="center"/>
              <w:rPr>
                <w:rFonts w:ascii="Garamond" w:hAnsi="Garamond"/>
                <w:color w:val="222A35"/>
                <w:sz w:val="20"/>
                <w:lang w:eastAsia="en-GB"/>
              </w:rPr>
            </w:pPr>
            <w:r w:rsidRPr="00795698">
              <w:rPr>
                <w:rFonts w:ascii="Garamond" w:hAnsi="Garamond"/>
                <w:sz w:val="20"/>
              </w:rPr>
              <w:t>16,092,000</w:t>
            </w:r>
          </w:p>
        </w:tc>
      </w:tr>
      <w:tr w:rsidR="00484F64" w:rsidRPr="00795698" w14:paraId="5FEEFBB4" w14:textId="77777777" w:rsidTr="00BD3AF1">
        <w:trPr>
          <w:trHeight w:val="56"/>
        </w:trPr>
        <w:tc>
          <w:tcPr>
            <w:tcW w:w="2358" w:type="dxa"/>
            <w:shd w:val="clear" w:color="auto" w:fill="F2F2F2"/>
            <w:noWrap/>
          </w:tcPr>
          <w:p w14:paraId="5FEEFBB0" w14:textId="77777777" w:rsidR="00484F64" w:rsidRPr="00795698" w:rsidRDefault="00484F64" w:rsidP="00D256C8">
            <w:pPr>
              <w:spacing w:line="276" w:lineRule="auto"/>
              <w:rPr>
                <w:rFonts w:ascii="Garamond" w:hAnsi="Garamond"/>
                <w:b/>
                <w:bCs/>
                <w:color w:val="222A35"/>
                <w:sz w:val="20"/>
                <w:lang w:eastAsia="en-GB"/>
              </w:rPr>
            </w:pPr>
            <w:r w:rsidRPr="00795698">
              <w:rPr>
                <w:rFonts w:ascii="Garamond" w:hAnsi="Garamond"/>
                <w:b/>
                <w:bCs/>
                <w:color w:val="222A35"/>
                <w:sz w:val="20"/>
                <w:lang w:eastAsia="en-GB"/>
              </w:rPr>
              <w:t xml:space="preserve">Total </w:t>
            </w:r>
          </w:p>
        </w:tc>
        <w:tc>
          <w:tcPr>
            <w:tcW w:w="1890" w:type="dxa"/>
            <w:shd w:val="clear" w:color="auto" w:fill="F2F2F2"/>
            <w:noWrap/>
          </w:tcPr>
          <w:p w14:paraId="5FEEFBB1" w14:textId="77777777" w:rsidR="00484F64" w:rsidRPr="00795698" w:rsidRDefault="00484F64" w:rsidP="00D256C8">
            <w:pPr>
              <w:spacing w:line="276" w:lineRule="auto"/>
              <w:jc w:val="center"/>
              <w:rPr>
                <w:rFonts w:ascii="Garamond" w:hAnsi="Garamond"/>
                <w:b/>
                <w:color w:val="000000"/>
                <w:sz w:val="20"/>
              </w:rPr>
            </w:pPr>
            <w:r w:rsidRPr="00795698">
              <w:rPr>
                <w:rFonts w:ascii="Garamond" w:hAnsi="Garamond"/>
                <w:b/>
                <w:color w:val="000000"/>
                <w:sz w:val="20"/>
              </w:rPr>
              <w:t>2,326,949,515</w:t>
            </w:r>
          </w:p>
        </w:tc>
        <w:tc>
          <w:tcPr>
            <w:tcW w:w="1620" w:type="dxa"/>
            <w:shd w:val="clear" w:color="auto" w:fill="F2F2F2"/>
            <w:noWrap/>
          </w:tcPr>
          <w:p w14:paraId="5FEEFBB2" w14:textId="77777777" w:rsidR="00484F64" w:rsidRPr="00795698" w:rsidRDefault="00484F64" w:rsidP="00D256C8">
            <w:pPr>
              <w:spacing w:line="276" w:lineRule="auto"/>
              <w:jc w:val="center"/>
              <w:rPr>
                <w:rFonts w:ascii="Garamond" w:hAnsi="Garamond"/>
                <w:b/>
                <w:sz w:val="20"/>
              </w:rPr>
            </w:pPr>
            <w:r w:rsidRPr="00795698">
              <w:rPr>
                <w:rFonts w:ascii="Garamond" w:hAnsi="Garamond"/>
                <w:b/>
                <w:sz w:val="20"/>
              </w:rPr>
              <w:t>0</w:t>
            </w:r>
          </w:p>
        </w:tc>
        <w:tc>
          <w:tcPr>
            <w:tcW w:w="3199" w:type="dxa"/>
            <w:shd w:val="clear" w:color="auto" w:fill="F2F2F2"/>
            <w:noWrap/>
          </w:tcPr>
          <w:p w14:paraId="5FEEFBB3" w14:textId="77777777" w:rsidR="00484F64" w:rsidRPr="00795698" w:rsidRDefault="00484F64" w:rsidP="00D256C8">
            <w:pPr>
              <w:spacing w:line="276" w:lineRule="auto"/>
              <w:jc w:val="center"/>
              <w:rPr>
                <w:rFonts w:ascii="Garamond" w:hAnsi="Garamond"/>
                <w:b/>
                <w:color w:val="000000"/>
                <w:sz w:val="20"/>
              </w:rPr>
            </w:pPr>
            <w:r w:rsidRPr="00795698">
              <w:rPr>
                <w:rFonts w:ascii="Garamond" w:hAnsi="Garamond"/>
                <w:b/>
                <w:color w:val="000000"/>
                <w:sz w:val="20"/>
              </w:rPr>
              <w:t>2,326,949,515</w:t>
            </w:r>
          </w:p>
        </w:tc>
      </w:tr>
    </w:tbl>
    <w:p w14:paraId="5FEEFBB5" w14:textId="77777777" w:rsidR="00484F64" w:rsidRPr="00795698" w:rsidRDefault="00484F64" w:rsidP="00484F64">
      <w:pPr>
        <w:pStyle w:val="TEKSTIIIII"/>
        <w:rPr>
          <w:i/>
          <w:sz w:val="18"/>
          <w:lang w:val="sq-AL"/>
        </w:rPr>
      </w:pPr>
    </w:p>
    <w:p w14:paraId="5FEEFBB6" w14:textId="77777777" w:rsidR="00484F64" w:rsidRPr="00795698" w:rsidRDefault="00484F64" w:rsidP="00484F64">
      <w:pPr>
        <w:pStyle w:val="TEKSTIIIII"/>
        <w:rPr>
          <w:lang w:val="sq-AL"/>
        </w:rPr>
      </w:pPr>
      <w:r w:rsidRPr="00795698">
        <w:rPr>
          <w:lang w:val="sq-AL"/>
        </w:rPr>
        <w:t>Sa i përket peshës specifike që zënë secili prej qëllimeve të politikave, qëllimi i politikës 6 që lidhet me masat e hetimit, ka peshën më të lartë specifike 27% të kostos totale të planit të veprimit, qëllimi i politikës 2 që lidhet me masat për parandalimin e radikalizmit që çon në terrorizëm online, me 20% të kostos totale të planit të veprimit.</w:t>
      </w:r>
    </w:p>
    <w:p w14:paraId="5FEEFBB7" w14:textId="77777777" w:rsidR="00484F64" w:rsidRPr="00795698" w:rsidRDefault="00484F64" w:rsidP="00484F64">
      <w:pPr>
        <w:pStyle w:val="TEKSTIIIII"/>
        <w:rPr>
          <w:lang w:val="sq-AL"/>
        </w:rPr>
      </w:pPr>
    </w:p>
    <w:p w14:paraId="5FEEFBB8" w14:textId="77777777" w:rsidR="00484F64" w:rsidRPr="00795698" w:rsidRDefault="00484F64" w:rsidP="00484F64">
      <w:pPr>
        <w:pStyle w:val="TEKSTIIIII"/>
        <w:rPr>
          <w:lang w:val="sq-AL"/>
        </w:rPr>
      </w:pPr>
      <w:r w:rsidRPr="00795698">
        <w:rPr>
          <w:lang w:val="sq-AL"/>
        </w:rPr>
        <w:t xml:space="preserve">Të gjitha kostot e aktiviteteve janë kosto korrente. </w:t>
      </w:r>
    </w:p>
    <w:p w14:paraId="5FEEFBB9" w14:textId="77777777" w:rsidR="00484F64" w:rsidRPr="00795698" w:rsidRDefault="00876727" w:rsidP="00484F64">
      <w:pPr>
        <w:pStyle w:val="TEKSTIIIII"/>
        <w:rPr>
          <w:i/>
          <w:sz w:val="18"/>
          <w:lang w:val="sq-AL"/>
        </w:rPr>
      </w:pPr>
      <w:r w:rsidRPr="00795698">
        <w:rPr>
          <w:noProof/>
          <w:lang w:val="sq-AL"/>
        </w:rPr>
        <w:drawing>
          <wp:inline distT="0" distB="0" distL="0" distR="0" wp14:anchorId="5FEF2CF9" wp14:editId="5FEF2CFA">
            <wp:extent cx="5199797" cy="2688609"/>
            <wp:effectExtent l="0" t="0" r="20320" b="1651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EEFBBA" w14:textId="77777777" w:rsidR="00876727" w:rsidRPr="00795698" w:rsidRDefault="00876727" w:rsidP="00484F64">
      <w:pPr>
        <w:pStyle w:val="TEKSTIIIII"/>
        <w:rPr>
          <w:i/>
          <w:sz w:val="18"/>
          <w:lang w:val="sq-AL"/>
        </w:rPr>
      </w:pPr>
    </w:p>
    <w:p w14:paraId="5FEEFBBB" w14:textId="77777777" w:rsidR="00876727" w:rsidRPr="00795698" w:rsidRDefault="00876727" w:rsidP="00484F64">
      <w:pPr>
        <w:pStyle w:val="TEKSTIIIII"/>
        <w:rPr>
          <w:i/>
          <w:sz w:val="18"/>
          <w:lang w:val="sq-AL"/>
        </w:rPr>
      </w:pPr>
    </w:p>
    <w:p w14:paraId="5FEEFBBC" w14:textId="77777777" w:rsidR="00876727" w:rsidRPr="00795698" w:rsidRDefault="00876727" w:rsidP="00484F64">
      <w:pPr>
        <w:pStyle w:val="TEKSTIIIII"/>
        <w:rPr>
          <w:i/>
          <w:sz w:val="18"/>
          <w:lang w:val="sq-AL"/>
        </w:rPr>
      </w:pPr>
      <w:r w:rsidRPr="00795698">
        <w:rPr>
          <w:noProof/>
          <w:lang w:val="sq-AL"/>
        </w:rPr>
        <w:lastRenderedPageBreak/>
        <w:drawing>
          <wp:inline distT="0" distB="0" distL="0" distR="0" wp14:anchorId="5FEF2CFB" wp14:editId="1438E4C0">
            <wp:extent cx="5149901" cy="3247949"/>
            <wp:effectExtent l="0" t="0" r="12700" b="1016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EEFBBD" w14:textId="77777777" w:rsidR="00876727" w:rsidRPr="00795698" w:rsidRDefault="00876727" w:rsidP="00484F64">
      <w:pPr>
        <w:pStyle w:val="TEKSTIIIII"/>
        <w:rPr>
          <w:i/>
          <w:sz w:val="18"/>
          <w:lang w:val="sq-AL"/>
        </w:rPr>
      </w:pPr>
    </w:p>
    <w:p w14:paraId="5FEEFBBE" w14:textId="77777777" w:rsidR="00876727" w:rsidRPr="00795698" w:rsidRDefault="00876727" w:rsidP="00484F64">
      <w:pPr>
        <w:pStyle w:val="TEKSTIIIII"/>
        <w:rPr>
          <w:i/>
          <w:sz w:val="18"/>
          <w:lang w:val="sq-AL"/>
        </w:rPr>
      </w:pPr>
    </w:p>
    <w:p w14:paraId="5FEEFBC0" w14:textId="6B0D0495" w:rsidR="00876727" w:rsidRPr="00795698" w:rsidRDefault="00876727" w:rsidP="00876727">
      <w:pPr>
        <w:pStyle w:val="TEKSTIIIII"/>
        <w:rPr>
          <w:lang w:val="sq-AL"/>
        </w:rPr>
      </w:pPr>
      <w:r w:rsidRPr="00795698">
        <w:rPr>
          <w:lang w:val="sq-AL"/>
        </w:rPr>
        <w:t xml:space="preserve">Në lidhje me Planin e Veprimit për Parandalimin dhe Kundërshtimin e Ekstremizmit të Dhunshëm </w:t>
      </w:r>
      <w:r w:rsidR="006249E3" w:rsidRPr="00795698">
        <w:rPr>
          <w:lang w:val="sq-AL"/>
        </w:rPr>
        <w:t>2023–2025</w:t>
      </w:r>
      <w:r w:rsidRPr="00795698">
        <w:rPr>
          <w:lang w:val="sq-AL"/>
        </w:rPr>
        <w:t>, Kosto totale e Planit të Veprimit është</w:t>
      </w:r>
      <w:r w:rsidR="007C064A" w:rsidRPr="00795698">
        <w:rPr>
          <w:lang w:val="sq-AL"/>
        </w:rPr>
        <w:t xml:space="preserve"> </w:t>
      </w:r>
      <w:r w:rsidRPr="00795698">
        <w:rPr>
          <w:lang w:val="sq-AL"/>
        </w:rPr>
        <w:t xml:space="preserve">37,010,800 </w:t>
      </w:r>
      <w:r w:rsidR="00A1019B" w:rsidRPr="00795698">
        <w:rPr>
          <w:lang w:val="sq-AL"/>
        </w:rPr>
        <w:t>l</w:t>
      </w:r>
      <w:r w:rsidRPr="00795698">
        <w:rPr>
          <w:lang w:val="sq-AL"/>
        </w:rPr>
        <w:t xml:space="preserve">ekë ku 92% (ose 34,083,487 </w:t>
      </w:r>
      <w:r w:rsidR="00A1019B" w:rsidRPr="00795698">
        <w:rPr>
          <w:lang w:val="sq-AL"/>
        </w:rPr>
        <w:t>l</w:t>
      </w:r>
      <w:r w:rsidRPr="00795698">
        <w:rPr>
          <w:lang w:val="sq-AL"/>
        </w:rPr>
        <w:t xml:space="preserve">ekë) e të cilit financohet nga PBA </w:t>
      </w:r>
      <w:r w:rsidR="006249E3" w:rsidRPr="00795698">
        <w:rPr>
          <w:lang w:val="sq-AL"/>
        </w:rPr>
        <w:t>2023–2025</w:t>
      </w:r>
      <w:r w:rsidRPr="00795698">
        <w:rPr>
          <w:lang w:val="sq-AL"/>
        </w:rPr>
        <w:t xml:space="preserve"> dhe 8% (ose 2,927,313 Lekë) me financim të huaj nga donatorë. Aktivitetet e parashikuara janë të financuara plotësisht nga programet buxhetore të institucioneve përgjegjëse ose me donatorë dhe nuk ka hendek financiar.</w:t>
      </w:r>
    </w:p>
    <w:p w14:paraId="5FEEFBC1" w14:textId="77777777" w:rsidR="00876727" w:rsidRPr="00795698" w:rsidRDefault="00876727" w:rsidP="00876727">
      <w:pPr>
        <w:spacing w:line="276" w:lineRule="auto"/>
        <w:jc w:val="both"/>
      </w:pPr>
    </w:p>
    <w:tbl>
      <w:tblPr>
        <w:tblW w:w="7920" w:type="dxa"/>
        <w:tblInd w:w="53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4023"/>
        <w:gridCol w:w="2187"/>
        <w:gridCol w:w="1710"/>
      </w:tblGrid>
      <w:tr w:rsidR="00876727" w:rsidRPr="00795698" w14:paraId="5FEEFBC5" w14:textId="77777777" w:rsidTr="004478B9">
        <w:trPr>
          <w:trHeight w:val="56"/>
        </w:trPr>
        <w:tc>
          <w:tcPr>
            <w:tcW w:w="4023" w:type="dxa"/>
            <w:tcBorders>
              <w:bottom w:val="single" w:sz="12" w:space="0" w:color="9CC2E5"/>
            </w:tcBorders>
            <w:shd w:val="clear" w:color="auto" w:fill="auto"/>
          </w:tcPr>
          <w:p w14:paraId="5FEEFBC2" w14:textId="77777777" w:rsidR="00876727" w:rsidRPr="00795698" w:rsidRDefault="00876727" w:rsidP="00876727">
            <w:pPr>
              <w:rPr>
                <w:rFonts w:ascii="Garamond" w:hAnsi="Garamond"/>
                <w:b/>
                <w:bCs/>
                <w:sz w:val="20"/>
                <w:lang w:eastAsia="en-GB"/>
              </w:rPr>
            </w:pPr>
          </w:p>
        </w:tc>
        <w:tc>
          <w:tcPr>
            <w:tcW w:w="2187" w:type="dxa"/>
            <w:tcBorders>
              <w:bottom w:val="single" w:sz="12" w:space="0" w:color="9CC2E5"/>
            </w:tcBorders>
            <w:shd w:val="clear" w:color="auto" w:fill="auto"/>
            <w:noWrap/>
          </w:tcPr>
          <w:p w14:paraId="5FEEFBC3" w14:textId="77777777" w:rsidR="00876727" w:rsidRPr="00795698" w:rsidRDefault="00876727" w:rsidP="00876727">
            <w:pPr>
              <w:rPr>
                <w:rFonts w:ascii="Garamond" w:hAnsi="Garamond"/>
                <w:b/>
                <w:bCs/>
                <w:sz w:val="20"/>
              </w:rPr>
            </w:pPr>
            <w:r w:rsidRPr="00795698">
              <w:rPr>
                <w:rFonts w:ascii="Garamond" w:hAnsi="Garamond"/>
                <w:b/>
                <w:bCs/>
                <w:sz w:val="20"/>
              </w:rPr>
              <w:t xml:space="preserve">LEKË </w:t>
            </w:r>
          </w:p>
        </w:tc>
        <w:tc>
          <w:tcPr>
            <w:tcW w:w="1710" w:type="dxa"/>
            <w:tcBorders>
              <w:bottom w:val="single" w:sz="12" w:space="0" w:color="9CC2E5"/>
            </w:tcBorders>
            <w:shd w:val="clear" w:color="auto" w:fill="auto"/>
          </w:tcPr>
          <w:p w14:paraId="5FEEFBC4" w14:textId="77777777" w:rsidR="00876727" w:rsidRPr="00795698" w:rsidRDefault="00876727" w:rsidP="00876727">
            <w:pPr>
              <w:rPr>
                <w:rFonts w:ascii="Garamond" w:hAnsi="Garamond"/>
                <w:b/>
                <w:bCs/>
                <w:sz w:val="20"/>
              </w:rPr>
            </w:pPr>
            <w:r w:rsidRPr="00795698">
              <w:rPr>
                <w:rFonts w:ascii="Garamond" w:hAnsi="Garamond"/>
                <w:b/>
                <w:bCs/>
                <w:sz w:val="20"/>
              </w:rPr>
              <w:t xml:space="preserve">EURO </w:t>
            </w:r>
          </w:p>
        </w:tc>
      </w:tr>
      <w:tr w:rsidR="00876727" w:rsidRPr="00795698" w14:paraId="5FEEFBCA" w14:textId="77777777" w:rsidTr="004478B9">
        <w:trPr>
          <w:trHeight w:val="36"/>
        </w:trPr>
        <w:tc>
          <w:tcPr>
            <w:tcW w:w="4023" w:type="dxa"/>
            <w:shd w:val="clear" w:color="auto" w:fill="DEEAF6"/>
            <w:hideMark/>
          </w:tcPr>
          <w:p w14:paraId="5FEEFBC7" w14:textId="77777777" w:rsidR="00876727" w:rsidRPr="00795698" w:rsidRDefault="00876727" w:rsidP="00876727">
            <w:pPr>
              <w:rPr>
                <w:rFonts w:ascii="Garamond" w:hAnsi="Garamond"/>
                <w:b/>
                <w:bCs/>
                <w:sz w:val="20"/>
                <w:lang w:eastAsia="en-GB"/>
              </w:rPr>
            </w:pPr>
            <w:r w:rsidRPr="00795698">
              <w:rPr>
                <w:rFonts w:ascii="Garamond" w:hAnsi="Garamond"/>
                <w:b/>
                <w:bCs/>
                <w:sz w:val="20"/>
                <w:lang w:eastAsia="en-GB"/>
              </w:rPr>
              <w:t>KOSTO TOTALE E PLANIT TË VEPRIMIT</w:t>
            </w:r>
          </w:p>
        </w:tc>
        <w:tc>
          <w:tcPr>
            <w:tcW w:w="2187" w:type="dxa"/>
            <w:shd w:val="clear" w:color="auto" w:fill="DEEAF6"/>
            <w:noWrap/>
            <w:hideMark/>
          </w:tcPr>
          <w:p w14:paraId="5FEEFBC8" w14:textId="77777777" w:rsidR="00876727" w:rsidRPr="00795698" w:rsidRDefault="00876727" w:rsidP="00876727">
            <w:pPr>
              <w:rPr>
                <w:rFonts w:ascii="Garamond" w:eastAsia="Calibri" w:hAnsi="Garamond"/>
                <w:sz w:val="20"/>
              </w:rPr>
            </w:pPr>
            <w:r w:rsidRPr="00795698">
              <w:rPr>
                <w:rFonts w:ascii="Garamond" w:hAnsi="Garamond"/>
                <w:sz w:val="20"/>
              </w:rPr>
              <w:t>37,010,800</w:t>
            </w:r>
          </w:p>
        </w:tc>
        <w:tc>
          <w:tcPr>
            <w:tcW w:w="1710" w:type="dxa"/>
            <w:shd w:val="clear" w:color="auto" w:fill="DEEAF6"/>
          </w:tcPr>
          <w:p w14:paraId="5FEEFBC9" w14:textId="77777777" w:rsidR="00876727" w:rsidRPr="00795698" w:rsidRDefault="00876727" w:rsidP="00876727">
            <w:pPr>
              <w:rPr>
                <w:rFonts w:ascii="Garamond" w:hAnsi="Garamond"/>
                <w:sz w:val="20"/>
              </w:rPr>
            </w:pPr>
            <w:r w:rsidRPr="00795698">
              <w:rPr>
                <w:rFonts w:ascii="Garamond" w:hAnsi="Garamond"/>
                <w:sz w:val="20"/>
              </w:rPr>
              <w:t xml:space="preserve"> 300,901 </w:t>
            </w:r>
          </w:p>
        </w:tc>
      </w:tr>
      <w:tr w:rsidR="00876727" w:rsidRPr="00795698" w14:paraId="5FEEFBCE" w14:textId="77777777" w:rsidTr="004478B9">
        <w:trPr>
          <w:trHeight w:val="56"/>
        </w:trPr>
        <w:tc>
          <w:tcPr>
            <w:tcW w:w="4023" w:type="dxa"/>
            <w:shd w:val="clear" w:color="auto" w:fill="auto"/>
            <w:hideMark/>
          </w:tcPr>
          <w:p w14:paraId="5FEEFBCB" w14:textId="3A8F2A4F" w:rsidR="00876727" w:rsidRPr="00795698" w:rsidRDefault="00876727" w:rsidP="00876727">
            <w:pPr>
              <w:rPr>
                <w:rFonts w:ascii="Garamond" w:hAnsi="Garamond"/>
                <w:b/>
                <w:bCs/>
                <w:sz w:val="20"/>
                <w:lang w:eastAsia="en-GB"/>
              </w:rPr>
            </w:pPr>
            <w:r w:rsidRPr="00795698">
              <w:rPr>
                <w:rFonts w:ascii="Garamond" w:hAnsi="Garamond"/>
                <w:b/>
                <w:bCs/>
                <w:sz w:val="20"/>
                <w:lang w:eastAsia="en-GB"/>
              </w:rPr>
              <w:t xml:space="preserve">PBA </w:t>
            </w:r>
            <w:r w:rsidR="00623407" w:rsidRPr="00795698">
              <w:rPr>
                <w:rFonts w:ascii="Garamond" w:hAnsi="Garamond"/>
                <w:b/>
                <w:bCs/>
                <w:sz w:val="20"/>
                <w:lang w:eastAsia="en-GB"/>
              </w:rPr>
              <w:t>2021–</w:t>
            </w:r>
            <w:r w:rsidRPr="00795698">
              <w:rPr>
                <w:rFonts w:ascii="Garamond" w:hAnsi="Garamond"/>
                <w:b/>
                <w:bCs/>
                <w:sz w:val="20"/>
                <w:lang w:eastAsia="en-GB"/>
              </w:rPr>
              <w:t>2023</w:t>
            </w:r>
          </w:p>
        </w:tc>
        <w:tc>
          <w:tcPr>
            <w:tcW w:w="2187" w:type="dxa"/>
            <w:shd w:val="clear" w:color="auto" w:fill="auto"/>
            <w:noWrap/>
            <w:hideMark/>
          </w:tcPr>
          <w:p w14:paraId="5FEEFBCC" w14:textId="77777777" w:rsidR="00876727" w:rsidRPr="00795698" w:rsidRDefault="00876727" w:rsidP="00876727">
            <w:pPr>
              <w:rPr>
                <w:rFonts w:ascii="Garamond" w:eastAsia="Calibri" w:hAnsi="Garamond"/>
                <w:sz w:val="20"/>
              </w:rPr>
            </w:pPr>
            <w:r w:rsidRPr="00795698">
              <w:rPr>
                <w:rFonts w:ascii="Garamond" w:hAnsi="Garamond"/>
                <w:sz w:val="20"/>
              </w:rPr>
              <w:t>34,083,487</w:t>
            </w:r>
          </w:p>
        </w:tc>
        <w:tc>
          <w:tcPr>
            <w:tcW w:w="1710" w:type="dxa"/>
            <w:shd w:val="clear" w:color="auto" w:fill="auto"/>
          </w:tcPr>
          <w:p w14:paraId="5FEEFBCD" w14:textId="77777777" w:rsidR="00876727" w:rsidRPr="00795698" w:rsidRDefault="00876727" w:rsidP="00876727">
            <w:pPr>
              <w:rPr>
                <w:rFonts w:ascii="Garamond" w:hAnsi="Garamond"/>
                <w:sz w:val="20"/>
              </w:rPr>
            </w:pPr>
            <w:r w:rsidRPr="00795698">
              <w:rPr>
                <w:rFonts w:ascii="Garamond" w:hAnsi="Garamond"/>
                <w:sz w:val="20"/>
              </w:rPr>
              <w:t xml:space="preserve"> 277,102 </w:t>
            </w:r>
          </w:p>
        </w:tc>
      </w:tr>
      <w:tr w:rsidR="00876727" w:rsidRPr="00795698" w14:paraId="5FEEFBD2" w14:textId="77777777" w:rsidTr="00876727">
        <w:trPr>
          <w:trHeight w:val="281"/>
        </w:trPr>
        <w:tc>
          <w:tcPr>
            <w:tcW w:w="4023" w:type="dxa"/>
            <w:shd w:val="clear" w:color="auto" w:fill="DEEAF6"/>
            <w:hideMark/>
          </w:tcPr>
          <w:p w14:paraId="5FEEFBCF" w14:textId="53E89724" w:rsidR="00876727" w:rsidRPr="00795698" w:rsidRDefault="00876727" w:rsidP="00876727">
            <w:pPr>
              <w:rPr>
                <w:rFonts w:ascii="Garamond" w:hAnsi="Garamond"/>
                <w:b/>
                <w:bCs/>
                <w:sz w:val="20"/>
                <w:lang w:eastAsia="en-GB"/>
              </w:rPr>
            </w:pPr>
            <w:r w:rsidRPr="00795698">
              <w:rPr>
                <w:rFonts w:ascii="Garamond" w:hAnsi="Garamond"/>
                <w:b/>
                <w:bCs/>
                <w:sz w:val="20"/>
                <w:lang w:eastAsia="en-GB"/>
              </w:rPr>
              <w:t xml:space="preserve">PBA </w:t>
            </w:r>
            <w:r w:rsidR="006249E3" w:rsidRPr="00795698">
              <w:rPr>
                <w:rFonts w:ascii="Garamond" w:hAnsi="Garamond"/>
                <w:b/>
                <w:bCs/>
                <w:sz w:val="20"/>
                <w:lang w:eastAsia="en-GB"/>
              </w:rPr>
              <w:t>2023–2025</w:t>
            </w:r>
          </w:p>
        </w:tc>
        <w:tc>
          <w:tcPr>
            <w:tcW w:w="2187" w:type="dxa"/>
            <w:shd w:val="clear" w:color="auto" w:fill="DEEAF6"/>
            <w:noWrap/>
            <w:hideMark/>
          </w:tcPr>
          <w:p w14:paraId="5FEEFBD0" w14:textId="77777777" w:rsidR="00876727" w:rsidRPr="00795698" w:rsidRDefault="00876727" w:rsidP="00876727">
            <w:pPr>
              <w:rPr>
                <w:rFonts w:ascii="Garamond" w:eastAsia="Calibri" w:hAnsi="Garamond"/>
                <w:sz w:val="20"/>
              </w:rPr>
            </w:pPr>
            <w:r w:rsidRPr="00795698">
              <w:rPr>
                <w:rFonts w:ascii="Garamond" w:hAnsi="Garamond"/>
                <w:sz w:val="20"/>
              </w:rPr>
              <w:t>2,927,313</w:t>
            </w:r>
          </w:p>
        </w:tc>
        <w:tc>
          <w:tcPr>
            <w:tcW w:w="1710" w:type="dxa"/>
            <w:shd w:val="clear" w:color="auto" w:fill="DEEAF6"/>
          </w:tcPr>
          <w:p w14:paraId="5FEEFBD1" w14:textId="77777777" w:rsidR="00876727" w:rsidRPr="00795698" w:rsidRDefault="00876727" w:rsidP="00876727">
            <w:pPr>
              <w:rPr>
                <w:rFonts w:ascii="Garamond" w:hAnsi="Garamond"/>
                <w:sz w:val="20"/>
              </w:rPr>
            </w:pPr>
            <w:r w:rsidRPr="00795698">
              <w:rPr>
                <w:rFonts w:ascii="Garamond" w:hAnsi="Garamond"/>
                <w:sz w:val="20"/>
              </w:rPr>
              <w:t xml:space="preserve"> 23,799 </w:t>
            </w:r>
          </w:p>
        </w:tc>
      </w:tr>
      <w:tr w:rsidR="00876727" w:rsidRPr="00795698" w14:paraId="5FEEFBD6" w14:textId="77777777" w:rsidTr="004478B9">
        <w:trPr>
          <w:trHeight w:val="56"/>
        </w:trPr>
        <w:tc>
          <w:tcPr>
            <w:tcW w:w="4023" w:type="dxa"/>
            <w:shd w:val="clear" w:color="auto" w:fill="auto"/>
            <w:hideMark/>
          </w:tcPr>
          <w:p w14:paraId="5FEEFBD3" w14:textId="77777777" w:rsidR="00876727" w:rsidRPr="00795698" w:rsidRDefault="00876727" w:rsidP="00876727">
            <w:pPr>
              <w:rPr>
                <w:rFonts w:ascii="Garamond" w:hAnsi="Garamond"/>
                <w:b/>
                <w:bCs/>
                <w:sz w:val="20"/>
                <w:lang w:eastAsia="en-GB"/>
              </w:rPr>
            </w:pPr>
            <w:r w:rsidRPr="00795698">
              <w:rPr>
                <w:rFonts w:ascii="Garamond" w:hAnsi="Garamond"/>
                <w:b/>
                <w:bCs/>
                <w:sz w:val="20"/>
                <w:lang w:eastAsia="en-GB"/>
              </w:rPr>
              <w:t>FINANCIM I HUAJ</w:t>
            </w:r>
          </w:p>
        </w:tc>
        <w:tc>
          <w:tcPr>
            <w:tcW w:w="2187" w:type="dxa"/>
            <w:shd w:val="clear" w:color="auto" w:fill="auto"/>
            <w:noWrap/>
            <w:hideMark/>
          </w:tcPr>
          <w:p w14:paraId="5FEEFBD4" w14:textId="77777777" w:rsidR="00876727" w:rsidRPr="00795698" w:rsidRDefault="00876727" w:rsidP="00876727">
            <w:pPr>
              <w:rPr>
                <w:rFonts w:ascii="Garamond" w:eastAsia="Calibri" w:hAnsi="Garamond"/>
                <w:sz w:val="20"/>
              </w:rPr>
            </w:pPr>
            <w:r w:rsidRPr="00795698">
              <w:rPr>
                <w:rFonts w:ascii="Garamond" w:hAnsi="Garamond"/>
                <w:sz w:val="20"/>
              </w:rPr>
              <w:t>0</w:t>
            </w:r>
          </w:p>
        </w:tc>
        <w:tc>
          <w:tcPr>
            <w:tcW w:w="1710" w:type="dxa"/>
            <w:shd w:val="clear" w:color="auto" w:fill="auto"/>
          </w:tcPr>
          <w:p w14:paraId="5FEEFBD5" w14:textId="77777777" w:rsidR="00876727" w:rsidRPr="00795698" w:rsidRDefault="00876727" w:rsidP="00876727">
            <w:pPr>
              <w:rPr>
                <w:rFonts w:ascii="Garamond" w:hAnsi="Garamond"/>
                <w:sz w:val="20"/>
              </w:rPr>
            </w:pPr>
            <w:r w:rsidRPr="00795698">
              <w:rPr>
                <w:rFonts w:ascii="Garamond" w:hAnsi="Garamond"/>
                <w:sz w:val="20"/>
              </w:rPr>
              <w:t>0</w:t>
            </w:r>
          </w:p>
        </w:tc>
      </w:tr>
      <w:tr w:rsidR="00876727" w:rsidRPr="00795698" w14:paraId="5FEEFBDA" w14:textId="77777777" w:rsidTr="004478B9">
        <w:trPr>
          <w:trHeight w:val="56"/>
        </w:trPr>
        <w:tc>
          <w:tcPr>
            <w:tcW w:w="4023" w:type="dxa"/>
            <w:shd w:val="clear" w:color="auto" w:fill="DEEAF6"/>
            <w:hideMark/>
          </w:tcPr>
          <w:p w14:paraId="5FEEFBD7" w14:textId="7F653346" w:rsidR="00876727" w:rsidRPr="00795698" w:rsidRDefault="00876727" w:rsidP="00876727">
            <w:pPr>
              <w:rPr>
                <w:rFonts w:ascii="Garamond" w:hAnsi="Garamond"/>
                <w:b/>
                <w:bCs/>
                <w:sz w:val="20"/>
                <w:lang w:eastAsia="en-GB"/>
              </w:rPr>
            </w:pPr>
            <w:r w:rsidRPr="00795698">
              <w:rPr>
                <w:rFonts w:ascii="Garamond" w:hAnsi="Garamond"/>
                <w:b/>
                <w:bCs/>
                <w:sz w:val="20"/>
                <w:lang w:eastAsia="en-GB"/>
              </w:rPr>
              <w:t xml:space="preserve">HENDEK FINANCIAR </w:t>
            </w:r>
            <w:r w:rsidR="007C064A" w:rsidRPr="00795698">
              <w:rPr>
                <w:rFonts w:ascii="Garamond" w:hAnsi="Garamond"/>
                <w:b/>
                <w:bCs/>
                <w:sz w:val="20"/>
                <w:lang w:eastAsia="en-GB"/>
              </w:rPr>
              <w:t>2021–2025</w:t>
            </w:r>
          </w:p>
        </w:tc>
        <w:tc>
          <w:tcPr>
            <w:tcW w:w="2187" w:type="dxa"/>
            <w:shd w:val="clear" w:color="auto" w:fill="DEEAF6"/>
            <w:noWrap/>
            <w:hideMark/>
          </w:tcPr>
          <w:p w14:paraId="5FEEFBD8" w14:textId="77777777" w:rsidR="00876727" w:rsidRPr="00795698" w:rsidRDefault="00876727" w:rsidP="00876727">
            <w:pPr>
              <w:rPr>
                <w:rFonts w:ascii="Garamond" w:hAnsi="Garamond"/>
                <w:sz w:val="20"/>
              </w:rPr>
            </w:pPr>
            <w:r w:rsidRPr="00795698">
              <w:rPr>
                <w:rFonts w:ascii="Garamond" w:hAnsi="Garamond"/>
                <w:sz w:val="20"/>
              </w:rPr>
              <w:t>0</w:t>
            </w:r>
          </w:p>
        </w:tc>
        <w:tc>
          <w:tcPr>
            <w:tcW w:w="1710" w:type="dxa"/>
            <w:shd w:val="clear" w:color="auto" w:fill="DEEAF6"/>
          </w:tcPr>
          <w:p w14:paraId="5FEEFBD9" w14:textId="77777777" w:rsidR="00876727" w:rsidRPr="00795698" w:rsidRDefault="00876727" w:rsidP="00876727">
            <w:pPr>
              <w:rPr>
                <w:rFonts w:ascii="Garamond" w:hAnsi="Garamond"/>
                <w:sz w:val="20"/>
              </w:rPr>
            </w:pPr>
            <w:r w:rsidRPr="00795698">
              <w:rPr>
                <w:rFonts w:ascii="Garamond" w:hAnsi="Garamond"/>
                <w:sz w:val="20"/>
              </w:rPr>
              <w:t xml:space="preserve"> 0 </w:t>
            </w:r>
          </w:p>
        </w:tc>
      </w:tr>
    </w:tbl>
    <w:p w14:paraId="5FEEFBDB" w14:textId="77777777" w:rsidR="00876727" w:rsidRPr="00795698" w:rsidRDefault="00876727" w:rsidP="00876727">
      <w:pPr>
        <w:spacing w:line="276" w:lineRule="auto"/>
        <w:jc w:val="both"/>
      </w:pPr>
    </w:p>
    <w:p w14:paraId="5FEEFBDD" w14:textId="65AC5278" w:rsidR="00876727" w:rsidRPr="00795698" w:rsidRDefault="00876727" w:rsidP="006D3973">
      <w:pPr>
        <w:pStyle w:val="TEKSTIIIII"/>
        <w:rPr>
          <w:lang w:val="sq-AL"/>
        </w:rPr>
      </w:pPr>
      <w:r w:rsidRPr="00795698">
        <w:rPr>
          <w:lang w:val="sq-AL"/>
        </w:rPr>
        <w:t xml:space="preserve">Në pjesën më të madhe të tij </w:t>
      </w:r>
      <w:bookmarkStart w:id="127" w:name="_Hlk108385749"/>
      <w:r w:rsidRPr="00795698">
        <w:rPr>
          <w:lang w:val="sq-AL"/>
        </w:rPr>
        <w:t xml:space="preserve">Plani i Veprimit i Parandalimit dhe Kundërshtimit të Ekstremizmit të Dhunshëm </w:t>
      </w:r>
      <w:r w:rsidR="006249E3" w:rsidRPr="00795698">
        <w:rPr>
          <w:lang w:val="sq-AL"/>
        </w:rPr>
        <w:t>2023–2025</w:t>
      </w:r>
      <w:r w:rsidRPr="00795698">
        <w:rPr>
          <w:lang w:val="sq-AL"/>
        </w:rPr>
        <w:t xml:space="preserve"> </w:t>
      </w:r>
      <w:bookmarkEnd w:id="127"/>
      <w:r w:rsidRPr="00795698">
        <w:rPr>
          <w:lang w:val="sq-AL"/>
        </w:rPr>
        <w:t>përbëhet nga kosto korrente rreth 97% ose 36,010,800 lekë dhe 3% ose 1,000,000 lekë nga kosto kapitale.</w:t>
      </w:r>
      <w:r w:rsidR="007C064A" w:rsidRPr="00795698">
        <w:rPr>
          <w:lang w:val="sq-AL"/>
        </w:rPr>
        <w:t xml:space="preserve"> </w:t>
      </w:r>
    </w:p>
    <w:tbl>
      <w:tblPr>
        <w:tblW w:w="0" w:type="auto"/>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510"/>
        <w:gridCol w:w="2250"/>
        <w:gridCol w:w="2880"/>
      </w:tblGrid>
      <w:tr w:rsidR="00876727" w:rsidRPr="00795698" w14:paraId="5FEEFBE1" w14:textId="77777777" w:rsidTr="006D3973">
        <w:trPr>
          <w:trHeight w:val="56"/>
        </w:trPr>
        <w:tc>
          <w:tcPr>
            <w:tcW w:w="3510" w:type="dxa"/>
            <w:tcBorders>
              <w:bottom w:val="single" w:sz="12" w:space="0" w:color="8EAADB"/>
            </w:tcBorders>
            <w:shd w:val="clear" w:color="auto" w:fill="auto"/>
            <w:noWrap/>
          </w:tcPr>
          <w:p w14:paraId="5FEEFBDE" w14:textId="77777777" w:rsidR="00876727" w:rsidRPr="00795698" w:rsidRDefault="00876727" w:rsidP="00D256C8">
            <w:pPr>
              <w:spacing w:line="276" w:lineRule="auto"/>
              <w:jc w:val="both"/>
              <w:rPr>
                <w:rFonts w:ascii="Garamond" w:hAnsi="Garamond"/>
                <w:b/>
                <w:bCs/>
                <w:sz w:val="20"/>
              </w:rPr>
            </w:pPr>
          </w:p>
        </w:tc>
        <w:tc>
          <w:tcPr>
            <w:tcW w:w="2250" w:type="dxa"/>
            <w:tcBorders>
              <w:bottom w:val="single" w:sz="12" w:space="0" w:color="8EAADB"/>
            </w:tcBorders>
            <w:shd w:val="clear" w:color="auto" w:fill="auto"/>
            <w:noWrap/>
          </w:tcPr>
          <w:p w14:paraId="5FEEFBDF" w14:textId="77777777" w:rsidR="00876727" w:rsidRPr="00795698" w:rsidRDefault="00876727" w:rsidP="00D256C8">
            <w:pPr>
              <w:spacing w:line="276" w:lineRule="auto"/>
              <w:jc w:val="both"/>
              <w:rPr>
                <w:rFonts w:ascii="Garamond" w:hAnsi="Garamond"/>
                <w:b/>
                <w:bCs/>
                <w:sz w:val="20"/>
              </w:rPr>
            </w:pPr>
            <w:r w:rsidRPr="00795698">
              <w:rPr>
                <w:rFonts w:ascii="Garamond" w:hAnsi="Garamond"/>
                <w:b/>
                <w:bCs/>
                <w:sz w:val="20"/>
              </w:rPr>
              <w:t xml:space="preserve">LEKË </w:t>
            </w:r>
          </w:p>
        </w:tc>
        <w:tc>
          <w:tcPr>
            <w:tcW w:w="2880" w:type="dxa"/>
            <w:tcBorders>
              <w:bottom w:val="single" w:sz="12" w:space="0" w:color="8EAADB"/>
            </w:tcBorders>
            <w:shd w:val="clear" w:color="auto" w:fill="auto"/>
          </w:tcPr>
          <w:p w14:paraId="5FEEFBE0" w14:textId="77777777" w:rsidR="00876727" w:rsidRPr="00795698" w:rsidRDefault="00876727" w:rsidP="00D256C8">
            <w:pPr>
              <w:spacing w:line="276" w:lineRule="auto"/>
              <w:jc w:val="both"/>
              <w:rPr>
                <w:rFonts w:ascii="Garamond" w:hAnsi="Garamond"/>
                <w:b/>
                <w:bCs/>
                <w:sz w:val="20"/>
              </w:rPr>
            </w:pPr>
            <w:r w:rsidRPr="00795698">
              <w:rPr>
                <w:rFonts w:ascii="Garamond" w:hAnsi="Garamond"/>
                <w:b/>
                <w:bCs/>
                <w:sz w:val="20"/>
              </w:rPr>
              <w:t xml:space="preserve">EURO </w:t>
            </w:r>
          </w:p>
        </w:tc>
      </w:tr>
      <w:tr w:rsidR="00876727" w:rsidRPr="00795698" w14:paraId="5FEEFBE5" w14:textId="77777777" w:rsidTr="004478B9">
        <w:trPr>
          <w:trHeight w:val="36"/>
        </w:trPr>
        <w:tc>
          <w:tcPr>
            <w:tcW w:w="3510" w:type="dxa"/>
            <w:shd w:val="clear" w:color="auto" w:fill="D9E2F3"/>
            <w:noWrap/>
            <w:hideMark/>
          </w:tcPr>
          <w:p w14:paraId="5FEEFBE2" w14:textId="77777777" w:rsidR="00876727" w:rsidRPr="00795698" w:rsidRDefault="00876727" w:rsidP="00D256C8">
            <w:pPr>
              <w:spacing w:line="276" w:lineRule="auto"/>
              <w:jc w:val="both"/>
              <w:rPr>
                <w:rFonts w:ascii="Garamond" w:hAnsi="Garamond"/>
                <w:b/>
                <w:sz w:val="20"/>
              </w:rPr>
            </w:pPr>
            <w:r w:rsidRPr="00795698">
              <w:rPr>
                <w:rFonts w:ascii="Garamond" w:hAnsi="Garamond"/>
                <w:b/>
                <w:bCs/>
                <w:sz w:val="20"/>
              </w:rPr>
              <w:t xml:space="preserve">KOSTO KORENTE </w:t>
            </w:r>
          </w:p>
        </w:tc>
        <w:tc>
          <w:tcPr>
            <w:tcW w:w="2250" w:type="dxa"/>
            <w:shd w:val="clear" w:color="auto" w:fill="D9E2F3"/>
            <w:noWrap/>
            <w:hideMark/>
          </w:tcPr>
          <w:p w14:paraId="5FEEFBE3" w14:textId="77777777" w:rsidR="00876727" w:rsidRPr="00795698" w:rsidRDefault="00876727" w:rsidP="00D256C8">
            <w:pPr>
              <w:spacing w:line="276" w:lineRule="auto"/>
              <w:rPr>
                <w:rFonts w:ascii="Garamond" w:hAnsi="Garamond"/>
                <w:sz w:val="20"/>
              </w:rPr>
            </w:pPr>
            <w:r w:rsidRPr="00795698">
              <w:rPr>
                <w:rFonts w:ascii="Garamond" w:hAnsi="Garamond"/>
                <w:sz w:val="20"/>
              </w:rPr>
              <w:t>36,010,800</w:t>
            </w:r>
          </w:p>
        </w:tc>
        <w:tc>
          <w:tcPr>
            <w:tcW w:w="2880" w:type="dxa"/>
            <w:shd w:val="clear" w:color="auto" w:fill="D9E2F3"/>
          </w:tcPr>
          <w:p w14:paraId="5FEEFBE4" w14:textId="77777777" w:rsidR="00876727" w:rsidRPr="00795698" w:rsidRDefault="00876727" w:rsidP="00D256C8">
            <w:pPr>
              <w:spacing w:line="276" w:lineRule="auto"/>
              <w:rPr>
                <w:rFonts w:ascii="Garamond" w:hAnsi="Garamond"/>
                <w:sz w:val="20"/>
              </w:rPr>
            </w:pPr>
            <w:r w:rsidRPr="00795698">
              <w:rPr>
                <w:rFonts w:ascii="Garamond" w:hAnsi="Garamond"/>
                <w:sz w:val="20"/>
              </w:rPr>
              <w:t xml:space="preserve"> 292,771 </w:t>
            </w:r>
          </w:p>
        </w:tc>
      </w:tr>
      <w:tr w:rsidR="00876727" w:rsidRPr="00795698" w14:paraId="5FEEFBE9" w14:textId="77777777" w:rsidTr="004478B9">
        <w:trPr>
          <w:trHeight w:val="56"/>
        </w:trPr>
        <w:tc>
          <w:tcPr>
            <w:tcW w:w="3510" w:type="dxa"/>
            <w:shd w:val="clear" w:color="auto" w:fill="auto"/>
            <w:noWrap/>
            <w:hideMark/>
          </w:tcPr>
          <w:p w14:paraId="5FEEFBE6" w14:textId="77777777" w:rsidR="00876727" w:rsidRPr="00795698" w:rsidRDefault="00876727" w:rsidP="00D256C8">
            <w:pPr>
              <w:spacing w:line="276" w:lineRule="auto"/>
              <w:jc w:val="both"/>
              <w:rPr>
                <w:rFonts w:ascii="Garamond" w:hAnsi="Garamond"/>
                <w:b/>
                <w:sz w:val="20"/>
              </w:rPr>
            </w:pPr>
            <w:r w:rsidRPr="00795698">
              <w:rPr>
                <w:rFonts w:ascii="Garamond" w:hAnsi="Garamond"/>
                <w:b/>
                <w:bCs/>
                <w:sz w:val="20"/>
              </w:rPr>
              <w:t>KOSTO KAPITALE</w:t>
            </w:r>
          </w:p>
        </w:tc>
        <w:tc>
          <w:tcPr>
            <w:tcW w:w="2250" w:type="dxa"/>
            <w:shd w:val="clear" w:color="auto" w:fill="auto"/>
            <w:noWrap/>
            <w:hideMark/>
          </w:tcPr>
          <w:p w14:paraId="5FEEFBE7" w14:textId="77777777" w:rsidR="00876727" w:rsidRPr="00795698" w:rsidRDefault="00876727" w:rsidP="00D256C8">
            <w:pPr>
              <w:spacing w:line="276" w:lineRule="auto"/>
              <w:rPr>
                <w:rFonts w:ascii="Garamond" w:hAnsi="Garamond"/>
                <w:sz w:val="20"/>
              </w:rPr>
            </w:pPr>
            <w:r w:rsidRPr="00795698">
              <w:rPr>
                <w:rFonts w:ascii="Garamond" w:hAnsi="Garamond"/>
                <w:sz w:val="20"/>
              </w:rPr>
              <w:t>1,000,000</w:t>
            </w:r>
          </w:p>
        </w:tc>
        <w:tc>
          <w:tcPr>
            <w:tcW w:w="2880" w:type="dxa"/>
            <w:shd w:val="clear" w:color="auto" w:fill="auto"/>
          </w:tcPr>
          <w:p w14:paraId="5FEEFBE8" w14:textId="77777777" w:rsidR="00876727" w:rsidRPr="00795698" w:rsidRDefault="00876727" w:rsidP="00D256C8">
            <w:pPr>
              <w:spacing w:line="276" w:lineRule="auto"/>
              <w:rPr>
                <w:rFonts w:ascii="Garamond" w:hAnsi="Garamond"/>
                <w:sz w:val="20"/>
              </w:rPr>
            </w:pPr>
            <w:r w:rsidRPr="00795698">
              <w:rPr>
                <w:rFonts w:ascii="Garamond" w:hAnsi="Garamond"/>
                <w:sz w:val="20"/>
              </w:rPr>
              <w:t xml:space="preserve"> 8,130 </w:t>
            </w:r>
          </w:p>
        </w:tc>
      </w:tr>
      <w:tr w:rsidR="00876727" w:rsidRPr="00795698" w14:paraId="5FEEFBED" w14:textId="77777777" w:rsidTr="004478B9">
        <w:trPr>
          <w:trHeight w:val="56"/>
        </w:trPr>
        <w:tc>
          <w:tcPr>
            <w:tcW w:w="3510" w:type="dxa"/>
            <w:shd w:val="clear" w:color="auto" w:fill="D9E2F3"/>
            <w:noWrap/>
            <w:hideMark/>
          </w:tcPr>
          <w:p w14:paraId="5FEEFBEA" w14:textId="77777777" w:rsidR="00876727" w:rsidRPr="00795698" w:rsidRDefault="00876727" w:rsidP="00D256C8">
            <w:pPr>
              <w:spacing w:line="276" w:lineRule="auto"/>
              <w:jc w:val="both"/>
              <w:rPr>
                <w:rFonts w:ascii="Garamond" w:hAnsi="Garamond"/>
                <w:b/>
                <w:sz w:val="20"/>
              </w:rPr>
            </w:pPr>
            <w:r w:rsidRPr="00795698">
              <w:rPr>
                <w:rFonts w:ascii="Garamond" w:hAnsi="Garamond"/>
                <w:b/>
                <w:bCs/>
                <w:sz w:val="20"/>
              </w:rPr>
              <w:t>TOTAL KOSTO</w:t>
            </w:r>
          </w:p>
        </w:tc>
        <w:tc>
          <w:tcPr>
            <w:tcW w:w="2250" w:type="dxa"/>
            <w:shd w:val="clear" w:color="auto" w:fill="D9E2F3"/>
            <w:noWrap/>
            <w:hideMark/>
          </w:tcPr>
          <w:p w14:paraId="5FEEFBEB" w14:textId="77777777" w:rsidR="00876727" w:rsidRPr="00795698" w:rsidRDefault="00876727" w:rsidP="00D256C8">
            <w:pPr>
              <w:spacing w:line="276" w:lineRule="auto"/>
              <w:rPr>
                <w:rFonts w:ascii="Garamond" w:hAnsi="Garamond"/>
                <w:sz w:val="20"/>
              </w:rPr>
            </w:pPr>
            <w:r w:rsidRPr="00795698">
              <w:rPr>
                <w:rFonts w:ascii="Garamond" w:hAnsi="Garamond"/>
                <w:sz w:val="20"/>
              </w:rPr>
              <w:t>37,010,800</w:t>
            </w:r>
          </w:p>
        </w:tc>
        <w:tc>
          <w:tcPr>
            <w:tcW w:w="2880" w:type="dxa"/>
            <w:shd w:val="clear" w:color="auto" w:fill="D9E2F3"/>
          </w:tcPr>
          <w:p w14:paraId="5FEEFBEC" w14:textId="77777777" w:rsidR="00876727" w:rsidRPr="00795698" w:rsidRDefault="00876727" w:rsidP="00D256C8">
            <w:pPr>
              <w:spacing w:line="276" w:lineRule="auto"/>
              <w:rPr>
                <w:rFonts w:ascii="Garamond" w:hAnsi="Garamond"/>
                <w:sz w:val="20"/>
              </w:rPr>
            </w:pPr>
            <w:r w:rsidRPr="00795698">
              <w:rPr>
                <w:rFonts w:ascii="Garamond" w:hAnsi="Garamond"/>
                <w:sz w:val="20"/>
              </w:rPr>
              <w:t xml:space="preserve"> 300,901 </w:t>
            </w:r>
          </w:p>
        </w:tc>
      </w:tr>
    </w:tbl>
    <w:p w14:paraId="5FEEFBEE" w14:textId="77777777" w:rsidR="00876727" w:rsidRPr="00795698" w:rsidRDefault="00876727" w:rsidP="00876727">
      <w:pPr>
        <w:spacing w:line="276" w:lineRule="auto"/>
        <w:jc w:val="both"/>
      </w:pPr>
    </w:p>
    <w:p w14:paraId="5FEEFBF0" w14:textId="77777777" w:rsidR="00876727" w:rsidRPr="00795698" w:rsidRDefault="00876727" w:rsidP="00876727">
      <w:pPr>
        <w:spacing w:line="276" w:lineRule="auto"/>
        <w:jc w:val="both"/>
      </w:pPr>
      <w:r w:rsidRPr="00795698">
        <w:rPr>
          <w:noProof/>
        </w:rPr>
        <w:lastRenderedPageBreak/>
        <w:drawing>
          <wp:inline distT="0" distB="0" distL="0" distR="0" wp14:anchorId="5FEF2CFD" wp14:editId="078248E1">
            <wp:extent cx="5742432" cy="2648102"/>
            <wp:effectExtent l="0" t="0" r="10795" b="0"/>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FEEFBF1" w14:textId="77777777" w:rsidR="00876727" w:rsidRPr="00795698" w:rsidRDefault="00876727" w:rsidP="00876727">
      <w:pPr>
        <w:spacing w:line="276" w:lineRule="auto"/>
        <w:jc w:val="both"/>
      </w:pPr>
    </w:p>
    <w:p w14:paraId="5FEEFBF2" w14:textId="0270F5FB" w:rsidR="00876727" w:rsidRPr="00795698" w:rsidRDefault="00876727" w:rsidP="00876727">
      <w:pPr>
        <w:pStyle w:val="TEKSTIIIII"/>
        <w:rPr>
          <w:lang w:val="sq-AL"/>
        </w:rPr>
      </w:pPr>
      <w:r w:rsidRPr="00795698">
        <w:rPr>
          <w:lang w:val="sq-AL"/>
        </w:rPr>
        <w:t xml:space="preserve">Sipas qëllimeve të politikave kostimi i Planit të Veprimit të Parandalimit dhe Kundërshtimit të Ekstremizmit të Dhunshëm </w:t>
      </w:r>
      <w:r w:rsidR="00666444" w:rsidRPr="00795698">
        <w:rPr>
          <w:lang w:val="sq-AL"/>
        </w:rPr>
        <w:t>2022–</w:t>
      </w:r>
      <w:r w:rsidRPr="00795698">
        <w:rPr>
          <w:lang w:val="sq-AL"/>
        </w:rPr>
        <w:t xml:space="preserve">2025 paraqitet si më poshtë vijon: </w:t>
      </w:r>
    </w:p>
    <w:p w14:paraId="5FEEFBF3" w14:textId="77777777" w:rsidR="00876727" w:rsidRPr="00795698" w:rsidRDefault="00876727" w:rsidP="00876727">
      <w:pPr>
        <w:spacing w:line="276" w:lineRule="auto"/>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8"/>
        <w:gridCol w:w="1530"/>
        <w:gridCol w:w="1710"/>
        <w:gridCol w:w="1358"/>
      </w:tblGrid>
      <w:tr w:rsidR="00876727" w:rsidRPr="00795698" w14:paraId="5FEEFBF8" w14:textId="77777777" w:rsidTr="004478B9">
        <w:trPr>
          <w:trHeight w:val="56"/>
          <w:jc w:val="center"/>
        </w:trPr>
        <w:tc>
          <w:tcPr>
            <w:tcW w:w="4418" w:type="dxa"/>
            <w:shd w:val="clear" w:color="auto" w:fill="auto"/>
            <w:noWrap/>
            <w:hideMark/>
          </w:tcPr>
          <w:p w14:paraId="5FEEFBF4" w14:textId="77777777" w:rsidR="00876727" w:rsidRPr="00795698" w:rsidRDefault="00876727" w:rsidP="00D256C8">
            <w:pPr>
              <w:spacing w:line="276" w:lineRule="auto"/>
              <w:jc w:val="both"/>
              <w:rPr>
                <w:rFonts w:ascii="Garamond" w:hAnsi="Garamond"/>
                <w:b/>
                <w:bCs/>
                <w:sz w:val="20"/>
              </w:rPr>
            </w:pPr>
            <w:r w:rsidRPr="00795698">
              <w:rPr>
                <w:rFonts w:ascii="Garamond" w:hAnsi="Garamond"/>
                <w:b/>
                <w:bCs/>
                <w:sz w:val="20"/>
              </w:rPr>
              <w:t> </w:t>
            </w:r>
          </w:p>
        </w:tc>
        <w:tc>
          <w:tcPr>
            <w:tcW w:w="1530" w:type="dxa"/>
            <w:shd w:val="clear" w:color="auto" w:fill="auto"/>
            <w:noWrap/>
            <w:hideMark/>
          </w:tcPr>
          <w:p w14:paraId="5FEEFBF5" w14:textId="36FA3934" w:rsidR="00876727" w:rsidRPr="00795698" w:rsidRDefault="00876727" w:rsidP="004478B9">
            <w:pPr>
              <w:spacing w:line="276" w:lineRule="auto"/>
              <w:jc w:val="both"/>
              <w:rPr>
                <w:rFonts w:ascii="Garamond" w:hAnsi="Garamond"/>
                <w:b/>
                <w:bCs/>
                <w:sz w:val="20"/>
              </w:rPr>
            </w:pPr>
            <w:r w:rsidRPr="00795698">
              <w:rPr>
                <w:rFonts w:ascii="Garamond" w:hAnsi="Garamond"/>
                <w:b/>
                <w:bCs/>
                <w:sz w:val="20"/>
              </w:rPr>
              <w:t xml:space="preserve">Kosto </w:t>
            </w:r>
            <w:r w:rsidR="004478B9" w:rsidRPr="00795698">
              <w:rPr>
                <w:rFonts w:ascii="Garamond" w:hAnsi="Garamond"/>
                <w:b/>
                <w:bCs/>
                <w:sz w:val="20"/>
              </w:rPr>
              <w:t>k</w:t>
            </w:r>
            <w:r w:rsidRPr="00795698">
              <w:rPr>
                <w:rFonts w:ascii="Garamond" w:hAnsi="Garamond"/>
                <w:b/>
                <w:bCs/>
                <w:sz w:val="20"/>
              </w:rPr>
              <w:t>orente</w:t>
            </w:r>
          </w:p>
        </w:tc>
        <w:tc>
          <w:tcPr>
            <w:tcW w:w="1710" w:type="dxa"/>
            <w:shd w:val="clear" w:color="auto" w:fill="auto"/>
            <w:noWrap/>
            <w:hideMark/>
          </w:tcPr>
          <w:p w14:paraId="5FEEFBF6" w14:textId="7F26A2E5" w:rsidR="00876727" w:rsidRPr="00795698" w:rsidRDefault="00876727" w:rsidP="004478B9">
            <w:pPr>
              <w:spacing w:line="276" w:lineRule="auto"/>
              <w:jc w:val="both"/>
              <w:rPr>
                <w:rFonts w:ascii="Garamond" w:hAnsi="Garamond"/>
                <w:b/>
                <w:bCs/>
                <w:sz w:val="20"/>
              </w:rPr>
            </w:pPr>
            <w:r w:rsidRPr="00795698">
              <w:rPr>
                <w:rFonts w:ascii="Garamond" w:hAnsi="Garamond"/>
                <w:b/>
                <w:bCs/>
                <w:sz w:val="20"/>
              </w:rPr>
              <w:t xml:space="preserve">Kosto </w:t>
            </w:r>
            <w:r w:rsidR="004478B9" w:rsidRPr="00795698">
              <w:rPr>
                <w:rFonts w:ascii="Garamond" w:hAnsi="Garamond"/>
                <w:b/>
                <w:bCs/>
                <w:sz w:val="20"/>
              </w:rPr>
              <w:t>k</w:t>
            </w:r>
            <w:r w:rsidRPr="00795698">
              <w:rPr>
                <w:rFonts w:ascii="Garamond" w:hAnsi="Garamond"/>
                <w:b/>
                <w:bCs/>
                <w:sz w:val="20"/>
              </w:rPr>
              <w:t>apitale</w:t>
            </w:r>
          </w:p>
        </w:tc>
        <w:tc>
          <w:tcPr>
            <w:tcW w:w="1358" w:type="dxa"/>
            <w:shd w:val="clear" w:color="auto" w:fill="auto"/>
          </w:tcPr>
          <w:p w14:paraId="5FEEFBF7" w14:textId="77777777" w:rsidR="00876727" w:rsidRPr="00795698" w:rsidRDefault="00876727" w:rsidP="00D256C8">
            <w:pPr>
              <w:spacing w:line="276" w:lineRule="auto"/>
              <w:jc w:val="both"/>
              <w:rPr>
                <w:rFonts w:ascii="Garamond" w:hAnsi="Garamond"/>
                <w:b/>
                <w:bCs/>
                <w:color w:val="FFFFFF"/>
                <w:sz w:val="20"/>
              </w:rPr>
            </w:pPr>
            <w:r w:rsidRPr="00795698">
              <w:rPr>
                <w:rFonts w:ascii="Garamond" w:hAnsi="Garamond"/>
                <w:b/>
                <w:bCs/>
                <w:sz w:val="20"/>
              </w:rPr>
              <w:t xml:space="preserve">Totali </w:t>
            </w:r>
          </w:p>
        </w:tc>
      </w:tr>
      <w:tr w:rsidR="00876727" w:rsidRPr="00795698" w14:paraId="5FEEFBFE" w14:textId="77777777" w:rsidTr="004478B9">
        <w:trPr>
          <w:trHeight w:val="56"/>
          <w:jc w:val="center"/>
        </w:trPr>
        <w:tc>
          <w:tcPr>
            <w:tcW w:w="4418" w:type="dxa"/>
            <w:shd w:val="clear" w:color="auto" w:fill="auto"/>
            <w:noWrap/>
            <w:hideMark/>
          </w:tcPr>
          <w:p w14:paraId="5FEEFBF9" w14:textId="4092A5EF" w:rsidR="00876727" w:rsidRPr="00795698" w:rsidRDefault="00876727" w:rsidP="00876727">
            <w:pPr>
              <w:spacing w:line="276" w:lineRule="auto"/>
              <w:rPr>
                <w:rFonts w:ascii="Garamond" w:hAnsi="Garamond"/>
                <w:b/>
                <w:bCs/>
                <w:sz w:val="20"/>
              </w:rPr>
            </w:pPr>
            <w:r w:rsidRPr="00795698">
              <w:rPr>
                <w:rFonts w:ascii="Garamond" w:hAnsi="Garamond"/>
                <w:b/>
                <w:bCs/>
                <w:sz w:val="20"/>
              </w:rPr>
              <w:t xml:space="preserve">Qëllimi i </w:t>
            </w:r>
            <w:r w:rsidR="004478B9" w:rsidRPr="00795698">
              <w:rPr>
                <w:rFonts w:ascii="Garamond" w:hAnsi="Garamond"/>
                <w:b/>
                <w:bCs/>
                <w:sz w:val="20"/>
              </w:rPr>
              <w:t xml:space="preserve">politikës </w:t>
            </w:r>
            <w:r w:rsidRPr="00795698">
              <w:rPr>
                <w:rFonts w:ascii="Garamond" w:hAnsi="Garamond"/>
                <w:b/>
                <w:bCs/>
                <w:sz w:val="20"/>
              </w:rPr>
              <w:t>I</w:t>
            </w:r>
          </w:p>
          <w:p w14:paraId="5FEEFBFA" w14:textId="27F12C3C" w:rsidR="00876727" w:rsidRPr="00795698" w:rsidRDefault="00876727" w:rsidP="004478B9">
            <w:pPr>
              <w:spacing w:line="276" w:lineRule="auto"/>
              <w:rPr>
                <w:rFonts w:ascii="Garamond" w:hAnsi="Garamond"/>
                <w:b/>
                <w:bCs/>
                <w:sz w:val="20"/>
              </w:rPr>
            </w:pPr>
            <w:r w:rsidRPr="00795698">
              <w:rPr>
                <w:rFonts w:ascii="Garamond" w:hAnsi="Garamond"/>
                <w:b/>
                <w:bCs/>
                <w:color w:val="235788"/>
                <w:sz w:val="20"/>
              </w:rPr>
              <w:t xml:space="preserve">(Qëllimi i </w:t>
            </w:r>
            <w:r w:rsidR="004478B9" w:rsidRPr="00795698">
              <w:rPr>
                <w:rFonts w:ascii="Garamond" w:hAnsi="Garamond"/>
                <w:b/>
                <w:bCs/>
                <w:color w:val="235788"/>
                <w:sz w:val="20"/>
              </w:rPr>
              <w:t xml:space="preserve">politikës </w:t>
            </w:r>
            <w:r w:rsidRPr="00795698">
              <w:rPr>
                <w:rFonts w:ascii="Garamond" w:hAnsi="Garamond"/>
                <w:b/>
                <w:bCs/>
                <w:color w:val="235788"/>
                <w:sz w:val="20"/>
              </w:rPr>
              <w:t xml:space="preserve">1 në PV të </w:t>
            </w:r>
            <w:r w:rsidR="00A1019B" w:rsidRPr="00795698">
              <w:rPr>
                <w:rFonts w:ascii="Garamond" w:hAnsi="Garamond"/>
                <w:b/>
                <w:bCs/>
                <w:color w:val="235788"/>
                <w:sz w:val="20"/>
              </w:rPr>
              <w:t>luftës kundër terrorizmit</w:t>
            </w:r>
            <w:r w:rsidRPr="00795698">
              <w:rPr>
                <w:rFonts w:ascii="Garamond" w:hAnsi="Garamond"/>
                <w:b/>
                <w:bCs/>
                <w:color w:val="235788"/>
                <w:sz w:val="20"/>
              </w:rPr>
              <w:t>)</w:t>
            </w:r>
          </w:p>
        </w:tc>
        <w:tc>
          <w:tcPr>
            <w:tcW w:w="1530" w:type="dxa"/>
            <w:shd w:val="clear" w:color="auto" w:fill="auto"/>
            <w:noWrap/>
            <w:hideMark/>
          </w:tcPr>
          <w:p w14:paraId="5FEEFBFB"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14,617,601</w:t>
            </w:r>
          </w:p>
        </w:tc>
        <w:tc>
          <w:tcPr>
            <w:tcW w:w="1710" w:type="dxa"/>
            <w:shd w:val="clear" w:color="auto" w:fill="auto"/>
            <w:noWrap/>
            <w:hideMark/>
          </w:tcPr>
          <w:p w14:paraId="5FEEFBFC"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0</w:t>
            </w:r>
          </w:p>
        </w:tc>
        <w:tc>
          <w:tcPr>
            <w:tcW w:w="1358" w:type="dxa"/>
            <w:shd w:val="clear" w:color="auto" w:fill="auto"/>
          </w:tcPr>
          <w:p w14:paraId="5FEEFBFD"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14,617,601</w:t>
            </w:r>
          </w:p>
        </w:tc>
      </w:tr>
      <w:tr w:rsidR="00876727" w:rsidRPr="00795698" w14:paraId="5FEEFC03" w14:textId="77777777" w:rsidTr="004478B9">
        <w:trPr>
          <w:trHeight w:val="56"/>
          <w:jc w:val="center"/>
        </w:trPr>
        <w:tc>
          <w:tcPr>
            <w:tcW w:w="4418" w:type="dxa"/>
            <w:shd w:val="clear" w:color="auto" w:fill="auto"/>
            <w:noWrap/>
            <w:hideMark/>
          </w:tcPr>
          <w:p w14:paraId="5FEEFBFF" w14:textId="688B8FD2" w:rsidR="00876727" w:rsidRPr="00795698" w:rsidRDefault="00876727" w:rsidP="00876727">
            <w:pPr>
              <w:spacing w:line="276" w:lineRule="auto"/>
              <w:rPr>
                <w:rFonts w:ascii="Garamond" w:hAnsi="Garamond"/>
                <w:b/>
                <w:bCs/>
                <w:sz w:val="20"/>
              </w:rPr>
            </w:pPr>
            <w:r w:rsidRPr="00795698">
              <w:rPr>
                <w:rFonts w:ascii="Garamond" w:hAnsi="Garamond"/>
                <w:b/>
                <w:bCs/>
                <w:sz w:val="20"/>
              </w:rPr>
              <w:t xml:space="preserve">Qëllimi i </w:t>
            </w:r>
            <w:r w:rsidR="004478B9" w:rsidRPr="00795698">
              <w:rPr>
                <w:rFonts w:ascii="Garamond" w:hAnsi="Garamond"/>
                <w:b/>
                <w:bCs/>
                <w:sz w:val="20"/>
              </w:rPr>
              <w:t xml:space="preserve">politikës </w:t>
            </w:r>
            <w:r w:rsidRPr="00795698">
              <w:rPr>
                <w:rFonts w:ascii="Garamond" w:hAnsi="Garamond"/>
                <w:b/>
                <w:bCs/>
                <w:sz w:val="20"/>
              </w:rPr>
              <w:t xml:space="preserve">II </w:t>
            </w:r>
            <w:r w:rsidRPr="00795698">
              <w:rPr>
                <w:rFonts w:ascii="Garamond" w:hAnsi="Garamond"/>
                <w:b/>
                <w:bCs/>
                <w:color w:val="235788"/>
                <w:sz w:val="20"/>
              </w:rPr>
              <w:t xml:space="preserve">(Qëllimi i </w:t>
            </w:r>
            <w:r w:rsidR="00A1019B" w:rsidRPr="00795698">
              <w:rPr>
                <w:rFonts w:ascii="Garamond" w:hAnsi="Garamond"/>
                <w:b/>
                <w:bCs/>
                <w:color w:val="235788"/>
                <w:sz w:val="20"/>
              </w:rPr>
              <w:t xml:space="preserve">politikës </w:t>
            </w:r>
            <w:r w:rsidRPr="00795698">
              <w:rPr>
                <w:rFonts w:ascii="Garamond" w:hAnsi="Garamond"/>
                <w:b/>
                <w:bCs/>
                <w:color w:val="235788"/>
                <w:sz w:val="20"/>
              </w:rPr>
              <w:t xml:space="preserve">5 në PV të </w:t>
            </w:r>
            <w:r w:rsidR="00A1019B" w:rsidRPr="00795698">
              <w:rPr>
                <w:rFonts w:ascii="Garamond" w:hAnsi="Garamond"/>
                <w:b/>
                <w:bCs/>
                <w:color w:val="235788"/>
                <w:sz w:val="20"/>
              </w:rPr>
              <w:t xml:space="preserve">luftës </w:t>
            </w:r>
            <w:r w:rsidR="004478B9" w:rsidRPr="00795698">
              <w:rPr>
                <w:rFonts w:ascii="Garamond" w:hAnsi="Garamond"/>
                <w:b/>
                <w:bCs/>
                <w:color w:val="235788"/>
                <w:sz w:val="20"/>
              </w:rPr>
              <w:t xml:space="preserve">kundër </w:t>
            </w:r>
            <w:r w:rsidR="00A1019B" w:rsidRPr="00795698">
              <w:rPr>
                <w:rFonts w:ascii="Garamond" w:hAnsi="Garamond"/>
                <w:b/>
                <w:bCs/>
                <w:color w:val="235788"/>
                <w:sz w:val="20"/>
              </w:rPr>
              <w:t>terrorizmit</w:t>
            </w:r>
            <w:r w:rsidRPr="00795698">
              <w:rPr>
                <w:rFonts w:ascii="Garamond" w:hAnsi="Garamond"/>
                <w:b/>
                <w:bCs/>
                <w:color w:val="235788"/>
                <w:sz w:val="20"/>
              </w:rPr>
              <w:t xml:space="preserve">) </w:t>
            </w:r>
          </w:p>
        </w:tc>
        <w:tc>
          <w:tcPr>
            <w:tcW w:w="1530" w:type="dxa"/>
            <w:shd w:val="clear" w:color="auto" w:fill="auto"/>
            <w:noWrap/>
            <w:hideMark/>
          </w:tcPr>
          <w:p w14:paraId="5FEEFC00"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9,496,679</w:t>
            </w:r>
          </w:p>
        </w:tc>
        <w:tc>
          <w:tcPr>
            <w:tcW w:w="1710" w:type="dxa"/>
            <w:shd w:val="clear" w:color="auto" w:fill="auto"/>
            <w:noWrap/>
            <w:hideMark/>
          </w:tcPr>
          <w:p w14:paraId="5FEEFC01"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500,000</w:t>
            </w:r>
          </w:p>
        </w:tc>
        <w:tc>
          <w:tcPr>
            <w:tcW w:w="1358" w:type="dxa"/>
            <w:shd w:val="clear" w:color="auto" w:fill="auto"/>
          </w:tcPr>
          <w:p w14:paraId="5FEEFC02"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9,996,679</w:t>
            </w:r>
          </w:p>
        </w:tc>
      </w:tr>
      <w:tr w:rsidR="00876727" w:rsidRPr="00795698" w14:paraId="5FEEFC08" w14:textId="77777777" w:rsidTr="004478B9">
        <w:trPr>
          <w:trHeight w:val="56"/>
          <w:jc w:val="center"/>
        </w:trPr>
        <w:tc>
          <w:tcPr>
            <w:tcW w:w="4418" w:type="dxa"/>
            <w:shd w:val="clear" w:color="auto" w:fill="auto"/>
            <w:noWrap/>
          </w:tcPr>
          <w:p w14:paraId="5FEEFC04" w14:textId="5F8BDCFE" w:rsidR="00876727" w:rsidRPr="00795698" w:rsidRDefault="00876727" w:rsidP="00876727">
            <w:pPr>
              <w:spacing w:line="276" w:lineRule="auto"/>
              <w:rPr>
                <w:rFonts w:ascii="Garamond" w:hAnsi="Garamond"/>
                <w:b/>
                <w:bCs/>
                <w:sz w:val="20"/>
              </w:rPr>
            </w:pPr>
            <w:r w:rsidRPr="00795698">
              <w:rPr>
                <w:rFonts w:ascii="Garamond" w:hAnsi="Garamond"/>
                <w:b/>
                <w:bCs/>
                <w:sz w:val="20"/>
              </w:rPr>
              <w:t xml:space="preserve">Qëllimi i </w:t>
            </w:r>
            <w:r w:rsidR="004478B9" w:rsidRPr="00795698">
              <w:rPr>
                <w:rFonts w:ascii="Garamond" w:hAnsi="Garamond"/>
                <w:b/>
                <w:bCs/>
                <w:sz w:val="20"/>
              </w:rPr>
              <w:t xml:space="preserve">politikës </w:t>
            </w:r>
            <w:r w:rsidRPr="00795698">
              <w:rPr>
                <w:rFonts w:ascii="Garamond" w:hAnsi="Garamond"/>
                <w:b/>
                <w:bCs/>
                <w:sz w:val="20"/>
              </w:rPr>
              <w:t xml:space="preserve">III </w:t>
            </w:r>
            <w:r w:rsidRPr="00795698">
              <w:rPr>
                <w:rFonts w:ascii="Garamond" w:hAnsi="Garamond"/>
                <w:b/>
                <w:bCs/>
                <w:color w:val="235788"/>
                <w:sz w:val="20"/>
              </w:rPr>
              <w:t xml:space="preserve">(Qëllimi i </w:t>
            </w:r>
            <w:r w:rsidR="00A1019B" w:rsidRPr="00795698">
              <w:rPr>
                <w:rFonts w:ascii="Garamond" w:hAnsi="Garamond"/>
                <w:b/>
                <w:bCs/>
                <w:color w:val="235788"/>
                <w:sz w:val="20"/>
              </w:rPr>
              <w:t xml:space="preserve">politikës </w:t>
            </w:r>
            <w:r w:rsidRPr="00795698">
              <w:rPr>
                <w:rFonts w:ascii="Garamond" w:hAnsi="Garamond"/>
                <w:b/>
                <w:bCs/>
                <w:color w:val="235788"/>
                <w:sz w:val="20"/>
              </w:rPr>
              <w:t xml:space="preserve">9 në PV të </w:t>
            </w:r>
            <w:r w:rsidR="00A1019B" w:rsidRPr="00795698">
              <w:rPr>
                <w:rFonts w:ascii="Garamond" w:hAnsi="Garamond"/>
                <w:b/>
                <w:bCs/>
                <w:color w:val="235788"/>
                <w:sz w:val="20"/>
              </w:rPr>
              <w:t xml:space="preserve">luftës </w:t>
            </w:r>
            <w:r w:rsidR="004478B9" w:rsidRPr="00795698">
              <w:rPr>
                <w:rFonts w:ascii="Garamond" w:hAnsi="Garamond"/>
                <w:b/>
                <w:bCs/>
                <w:color w:val="235788"/>
                <w:sz w:val="20"/>
              </w:rPr>
              <w:t xml:space="preserve">kundër </w:t>
            </w:r>
            <w:r w:rsidR="00A1019B" w:rsidRPr="00795698">
              <w:rPr>
                <w:rFonts w:ascii="Garamond" w:hAnsi="Garamond"/>
                <w:b/>
                <w:bCs/>
                <w:color w:val="235788"/>
                <w:sz w:val="20"/>
              </w:rPr>
              <w:t>terrorizmit</w:t>
            </w:r>
            <w:r w:rsidRPr="00795698">
              <w:rPr>
                <w:rFonts w:ascii="Garamond" w:hAnsi="Garamond"/>
                <w:b/>
                <w:bCs/>
                <w:color w:val="235788"/>
                <w:sz w:val="20"/>
              </w:rPr>
              <w:t>)</w:t>
            </w:r>
          </w:p>
        </w:tc>
        <w:tc>
          <w:tcPr>
            <w:tcW w:w="1530" w:type="dxa"/>
            <w:shd w:val="clear" w:color="auto" w:fill="auto"/>
            <w:noWrap/>
          </w:tcPr>
          <w:p w14:paraId="5FEEFC05"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11,896,520</w:t>
            </w:r>
          </w:p>
        </w:tc>
        <w:tc>
          <w:tcPr>
            <w:tcW w:w="1710" w:type="dxa"/>
            <w:shd w:val="clear" w:color="auto" w:fill="auto"/>
            <w:noWrap/>
          </w:tcPr>
          <w:p w14:paraId="5FEEFC06"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500,000</w:t>
            </w:r>
          </w:p>
        </w:tc>
        <w:tc>
          <w:tcPr>
            <w:tcW w:w="1358" w:type="dxa"/>
            <w:shd w:val="clear" w:color="auto" w:fill="auto"/>
          </w:tcPr>
          <w:p w14:paraId="5FEEFC07" w14:textId="77777777" w:rsidR="00876727" w:rsidRPr="00795698" w:rsidRDefault="00876727" w:rsidP="00D256C8">
            <w:pPr>
              <w:spacing w:line="276" w:lineRule="auto"/>
              <w:jc w:val="both"/>
              <w:rPr>
                <w:rFonts w:ascii="Garamond" w:hAnsi="Garamond"/>
                <w:sz w:val="20"/>
              </w:rPr>
            </w:pPr>
            <w:r w:rsidRPr="00795698">
              <w:rPr>
                <w:rFonts w:ascii="Garamond" w:hAnsi="Garamond"/>
                <w:sz w:val="20"/>
              </w:rPr>
              <w:t>12,396,520</w:t>
            </w:r>
          </w:p>
        </w:tc>
      </w:tr>
      <w:tr w:rsidR="00876727" w:rsidRPr="00795698" w14:paraId="5FEEFC0D" w14:textId="77777777" w:rsidTr="004478B9">
        <w:trPr>
          <w:trHeight w:val="56"/>
          <w:jc w:val="center"/>
        </w:trPr>
        <w:tc>
          <w:tcPr>
            <w:tcW w:w="4418" w:type="dxa"/>
            <w:shd w:val="clear" w:color="auto" w:fill="auto"/>
            <w:noWrap/>
          </w:tcPr>
          <w:p w14:paraId="5FEEFC09" w14:textId="77777777" w:rsidR="00876727" w:rsidRPr="00795698" w:rsidRDefault="00876727" w:rsidP="00876727">
            <w:pPr>
              <w:spacing w:line="276" w:lineRule="auto"/>
              <w:rPr>
                <w:rFonts w:ascii="Garamond" w:hAnsi="Garamond"/>
                <w:b/>
                <w:bCs/>
                <w:sz w:val="20"/>
              </w:rPr>
            </w:pPr>
            <w:r w:rsidRPr="00795698">
              <w:rPr>
                <w:rFonts w:ascii="Garamond" w:hAnsi="Garamond"/>
                <w:b/>
                <w:bCs/>
                <w:sz w:val="20"/>
              </w:rPr>
              <w:t>Totali</w:t>
            </w:r>
          </w:p>
        </w:tc>
        <w:tc>
          <w:tcPr>
            <w:tcW w:w="1530" w:type="dxa"/>
            <w:shd w:val="clear" w:color="auto" w:fill="auto"/>
            <w:noWrap/>
          </w:tcPr>
          <w:p w14:paraId="5FEEFC0A" w14:textId="77777777" w:rsidR="00876727" w:rsidRPr="00795698" w:rsidRDefault="00876727" w:rsidP="00D256C8">
            <w:pPr>
              <w:spacing w:line="276" w:lineRule="auto"/>
              <w:jc w:val="both"/>
              <w:rPr>
                <w:rFonts w:ascii="Garamond" w:hAnsi="Garamond"/>
                <w:b/>
                <w:sz w:val="20"/>
              </w:rPr>
            </w:pPr>
            <w:r w:rsidRPr="00795698">
              <w:rPr>
                <w:rFonts w:ascii="Garamond" w:hAnsi="Garamond"/>
                <w:b/>
                <w:sz w:val="20"/>
              </w:rPr>
              <w:t>36,010,800</w:t>
            </w:r>
          </w:p>
        </w:tc>
        <w:tc>
          <w:tcPr>
            <w:tcW w:w="1710" w:type="dxa"/>
            <w:shd w:val="clear" w:color="auto" w:fill="auto"/>
            <w:noWrap/>
          </w:tcPr>
          <w:p w14:paraId="5FEEFC0B" w14:textId="77777777" w:rsidR="00876727" w:rsidRPr="00795698" w:rsidRDefault="00876727" w:rsidP="00D256C8">
            <w:pPr>
              <w:spacing w:line="276" w:lineRule="auto"/>
              <w:jc w:val="both"/>
              <w:rPr>
                <w:rFonts w:ascii="Garamond" w:hAnsi="Garamond"/>
                <w:b/>
                <w:sz w:val="20"/>
              </w:rPr>
            </w:pPr>
            <w:r w:rsidRPr="00795698">
              <w:rPr>
                <w:rFonts w:ascii="Garamond" w:hAnsi="Garamond"/>
                <w:b/>
                <w:sz w:val="20"/>
              </w:rPr>
              <w:t>1,000,000</w:t>
            </w:r>
          </w:p>
        </w:tc>
        <w:tc>
          <w:tcPr>
            <w:tcW w:w="1358" w:type="dxa"/>
            <w:shd w:val="clear" w:color="auto" w:fill="auto"/>
          </w:tcPr>
          <w:p w14:paraId="5FEEFC0C" w14:textId="77777777" w:rsidR="00876727" w:rsidRPr="00795698" w:rsidRDefault="00876727" w:rsidP="00D256C8">
            <w:pPr>
              <w:spacing w:line="276" w:lineRule="auto"/>
              <w:jc w:val="both"/>
              <w:rPr>
                <w:rFonts w:ascii="Garamond" w:hAnsi="Garamond"/>
                <w:b/>
                <w:sz w:val="20"/>
              </w:rPr>
            </w:pPr>
            <w:r w:rsidRPr="00795698">
              <w:rPr>
                <w:rFonts w:ascii="Garamond" w:hAnsi="Garamond"/>
                <w:b/>
                <w:sz w:val="20"/>
              </w:rPr>
              <w:t>37,010,800</w:t>
            </w:r>
          </w:p>
        </w:tc>
      </w:tr>
    </w:tbl>
    <w:p w14:paraId="5FEEFC0E" w14:textId="77777777" w:rsidR="00876727" w:rsidRPr="00795698" w:rsidRDefault="00876727" w:rsidP="00876727">
      <w:pPr>
        <w:spacing w:line="276" w:lineRule="auto"/>
        <w:jc w:val="both"/>
      </w:pPr>
    </w:p>
    <w:p w14:paraId="5FEEFC0F" w14:textId="77777777" w:rsidR="00876727" w:rsidRPr="00795698" w:rsidRDefault="00876727" w:rsidP="00876727">
      <w:pPr>
        <w:pStyle w:val="TEKSTIIIII"/>
        <w:rPr>
          <w:lang w:val="sq-AL"/>
        </w:rPr>
      </w:pPr>
      <w:r w:rsidRPr="00795698">
        <w:rPr>
          <w:lang w:val="sq-AL"/>
        </w:rPr>
        <w:t xml:space="preserve">Sa i përket peshës specifike që zënë secili prej qëllimeve të politikave, qëllimi i politikës 1 që lidhet me masat parandaluese, ka peshën më të lartë specifike 39% të kostos totale të planit të veprimit, qëllimi i politikës 3 me 33% të kostos totale të planit të veprimit, dhe qëllimi i politikës 2 që lidhet me komunikimin strategjik me 27% të kostos totale të planit të veprimit. </w:t>
      </w:r>
    </w:p>
    <w:p w14:paraId="5FEEFC10" w14:textId="77777777" w:rsidR="00876727" w:rsidRPr="00795698" w:rsidRDefault="00876727" w:rsidP="00876727">
      <w:pPr>
        <w:spacing w:line="276" w:lineRule="auto"/>
        <w:jc w:val="center"/>
      </w:pPr>
    </w:p>
    <w:p w14:paraId="5FEEFC11" w14:textId="77777777" w:rsidR="00876727" w:rsidRPr="00795698" w:rsidRDefault="00876727" w:rsidP="00876727">
      <w:pPr>
        <w:spacing w:line="276" w:lineRule="auto"/>
        <w:jc w:val="center"/>
      </w:pPr>
      <w:r w:rsidRPr="00795698">
        <w:rPr>
          <w:noProof/>
        </w:rPr>
        <w:lastRenderedPageBreak/>
        <w:drawing>
          <wp:inline distT="0" distB="0" distL="0" distR="0" wp14:anchorId="5FEF2CFF" wp14:editId="5FEF2D00">
            <wp:extent cx="5445125" cy="3803650"/>
            <wp:effectExtent l="0" t="0" r="22225" b="2540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EEFC13" w14:textId="77777777" w:rsidR="00876727" w:rsidRPr="00795698" w:rsidRDefault="00876727" w:rsidP="00876727">
      <w:pPr>
        <w:spacing w:line="276" w:lineRule="auto"/>
        <w:jc w:val="center"/>
      </w:pPr>
    </w:p>
    <w:p w14:paraId="5FEEFC14" w14:textId="77777777" w:rsidR="00876727" w:rsidRPr="00795698" w:rsidRDefault="00876727" w:rsidP="00876727">
      <w:pPr>
        <w:spacing w:line="276" w:lineRule="auto"/>
        <w:jc w:val="center"/>
      </w:pPr>
      <w:r w:rsidRPr="00795698">
        <w:rPr>
          <w:noProof/>
        </w:rPr>
        <w:drawing>
          <wp:inline distT="0" distB="0" distL="0" distR="0" wp14:anchorId="5FEF2D01" wp14:editId="5FEF2D02">
            <wp:extent cx="5440680" cy="2649855"/>
            <wp:effectExtent l="0" t="0" r="26670" b="17145"/>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EEFC15" w14:textId="77777777" w:rsidR="00876727" w:rsidRPr="00795698" w:rsidRDefault="00876727" w:rsidP="00876727">
      <w:pPr>
        <w:spacing w:line="276" w:lineRule="auto"/>
        <w:jc w:val="both"/>
      </w:pPr>
    </w:p>
    <w:p w14:paraId="5FEEFC16" w14:textId="77777777" w:rsidR="00876727" w:rsidRPr="00795698" w:rsidRDefault="00876727" w:rsidP="00876727">
      <w:pPr>
        <w:spacing w:line="276" w:lineRule="auto"/>
        <w:jc w:val="both"/>
      </w:pPr>
    </w:p>
    <w:p w14:paraId="5FEEFC17" w14:textId="77777777" w:rsidR="00876727" w:rsidRPr="00795698" w:rsidRDefault="00876727" w:rsidP="00876727">
      <w:pPr>
        <w:spacing w:line="276" w:lineRule="auto"/>
        <w:jc w:val="both"/>
      </w:pPr>
    </w:p>
    <w:p w14:paraId="5FEEFC18" w14:textId="77777777" w:rsidR="00876727" w:rsidRPr="00795698" w:rsidRDefault="00876727" w:rsidP="006D3973">
      <w:pPr>
        <w:spacing w:line="276" w:lineRule="auto"/>
        <w:jc w:val="center"/>
      </w:pPr>
      <w:r w:rsidRPr="00795698">
        <w:rPr>
          <w:noProof/>
        </w:rPr>
        <w:lastRenderedPageBreak/>
        <w:drawing>
          <wp:inline distT="0" distB="0" distL="0" distR="0" wp14:anchorId="5FEF2D03" wp14:editId="735A88E2">
            <wp:extent cx="4988966" cy="3284271"/>
            <wp:effectExtent l="0" t="0" r="2540" b="1143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FEEFC19" w14:textId="77777777" w:rsidR="00876727" w:rsidRPr="00795698" w:rsidRDefault="00876727" w:rsidP="00876727">
      <w:pPr>
        <w:spacing w:line="276" w:lineRule="auto"/>
        <w:jc w:val="both"/>
      </w:pPr>
    </w:p>
    <w:p w14:paraId="5FEEFC1A" w14:textId="0C5D8EE9" w:rsidR="00876727" w:rsidRPr="00795698" w:rsidRDefault="00876727" w:rsidP="00876727">
      <w:pPr>
        <w:ind w:firstLine="284"/>
        <w:jc w:val="both"/>
        <w:rPr>
          <w:rFonts w:ascii="Garamond" w:hAnsi="Garamond"/>
        </w:rPr>
      </w:pPr>
      <w:r w:rsidRPr="00795698">
        <w:rPr>
          <w:rFonts w:ascii="Garamond" w:hAnsi="Garamond"/>
        </w:rPr>
        <w:t xml:space="preserve">Disa nga projektet kryesore që financojnë dhe mbështesin aktivitetet e Planit të Veprimit të Parandalimit dhe Kundërshtimit të Ekstremizmit të Dhunshëm </w:t>
      </w:r>
      <w:r w:rsidR="00666444" w:rsidRPr="00795698">
        <w:rPr>
          <w:rFonts w:ascii="Garamond" w:hAnsi="Garamond"/>
        </w:rPr>
        <w:t>2022–</w:t>
      </w:r>
      <w:r w:rsidRPr="00795698">
        <w:rPr>
          <w:rFonts w:ascii="Garamond" w:hAnsi="Garamond"/>
        </w:rPr>
        <w:t xml:space="preserve">2025 janë si më poshtë: </w:t>
      </w:r>
    </w:p>
    <w:p w14:paraId="5FEEFC1B" w14:textId="77777777" w:rsidR="00876727" w:rsidRPr="00795698" w:rsidRDefault="00876727" w:rsidP="00876727">
      <w:pPr>
        <w:pStyle w:val="ListParagraph"/>
        <w:ind w:left="284"/>
        <w:jc w:val="both"/>
        <w:rPr>
          <w:rFonts w:ascii="Garamond" w:hAnsi="Garamond"/>
        </w:rPr>
      </w:pPr>
      <w:r w:rsidRPr="00795698">
        <w:rPr>
          <w:rFonts w:ascii="Garamond" w:hAnsi="Garamond"/>
          <w:b/>
          <w:bCs/>
        </w:rPr>
        <w:t>- Implementuesi:</w:t>
      </w:r>
      <w:r w:rsidRPr="00795698">
        <w:rPr>
          <w:rFonts w:ascii="Garamond" w:hAnsi="Garamond"/>
        </w:rPr>
        <w:t xml:space="preserve"> IOM </w:t>
      </w:r>
    </w:p>
    <w:p w14:paraId="5FEEFC1C"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Titulli:</w:t>
      </w:r>
      <w:r w:rsidRPr="00795698">
        <w:rPr>
          <w:rFonts w:ascii="Garamond" w:hAnsi="Garamond"/>
        </w:rPr>
        <w:t xml:space="preserve"> Riintegrimi i luftëtarëve të huaj terroristë të kthyer dhe familjeve të tyre nga zonat e konfliktit.</w:t>
      </w:r>
    </w:p>
    <w:p w14:paraId="5FEEFC1D"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Vlera totale</w:t>
      </w:r>
      <w:r w:rsidRPr="00795698">
        <w:rPr>
          <w:rFonts w:ascii="Garamond" w:hAnsi="Garamond"/>
        </w:rPr>
        <w:t xml:space="preserve"> për të gjitha shtetet, vlera e projektit rajonal 1,500,000 euro. </w:t>
      </w:r>
      <w:r w:rsidRPr="00795698">
        <w:rPr>
          <w:rFonts w:ascii="Garamond" w:hAnsi="Garamond"/>
          <w:b/>
          <w:bCs/>
        </w:rPr>
        <w:t>Mesatarja për shtet</w:t>
      </w:r>
      <w:r w:rsidRPr="00795698">
        <w:rPr>
          <w:rFonts w:ascii="Garamond" w:hAnsi="Garamond"/>
        </w:rPr>
        <w:t xml:space="preserve"> 300.000 euro.</w:t>
      </w:r>
    </w:p>
    <w:p w14:paraId="5FEEFC1E" w14:textId="24FCB431" w:rsidR="00876727" w:rsidRPr="00795698" w:rsidRDefault="00876727" w:rsidP="00876727">
      <w:pPr>
        <w:pStyle w:val="ListParagraph"/>
        <w:ind w:left="0" w:firstLine="284"/>
        <w:jc w:val="both"/>
        <w:rPr>
          <w:rFonts w:ascii="Garamond" w:hAnsi="Garamond"/>
        </w:rPr>
      </w:pPr>
      <w:r w:rsidRPr="00795698">
        <w:rPr>
          <w:rFonts w:ascii="Garamond" w:hAnsi="Garamond"/>
          <w:b/>
          <w:bCs/>
        </w:rPr>
        <w:t>Fonde</w:t>
      </w:r>
      <w:r w:rsidR="002D69E7" w:rsidRPr="00795698">
        <w:rPr>
          <w:rFonts w:ascii="Garamond" w:hAnsi="Garamond"/>
          <w:b/>
          <w:bCs/>
        </w:rPr>
        <w:t>:</w:t>
      </w:r>
      <w:r w:rsidRPr="00795698">
        <w:rPr>
          <w:rFonts w:ascii="Garamond" w:hAnsi="Garamond"/>
        </w:rPr>
        <w:t xml:space="preserve"> IOM dhe EU.</w:t>
      </w:r>
    </w:p>
    <w:p w14:paraId="5FEEFC1F" w14:textId="04A0B998" w:rsidR="00876727" w:rsidRPr="00795698" w:rsidRDefault="00876727" w:rsidP="00876727">
      <w:pPr>
        <w:pStyle w:val="ListParagraph"/>
        <w:ind w:left="0" w:firstLine="284"/>
        <w:jc w:val="both"/>
        <w:rPr>
          <w:rFonts w:ascii="Garamond" w:hAnsi="Garamond"/>
        </w:rPr>
      </w:pPr>
      <w:r w:rsidRPr="00795698">
        <w:rPr>
          <w:rFonts w:ascii="Garamond" w:hAnsi="Garamond"/>
          <w:b/>
          <w:bCs/>
        </w:rPr>
        <w:t>Afati i implementimit</w:t>
      </w:r>
      <w:r w:rsidR="002D69E7" w:rsidRPr="00795698">
        <w:rPr>
          <w:rFonts w:ascii="Garamond" w:hAnsi="Garamond"/>
          <w:b/>
          <w:bCs/>
        </w:rPr>
        <w:t>:</w:t>
      </w:r>
      <w:r w:rsidRPr="00795698">
        <w:rPr>
          <w:rFonts w:ascii="Garamond" w:hAnsi="Garamond"/>
        </w:rPr>
        <w:t xml:space="preserve"> 7 gusht 2020 </w:t>
      </w:r>
      <w:r w:rsidR="006D3973" w:rsidRPr="00795698">
        <w:rPr>
          <w:rFonts w:ascii="Garamond" w:hAnsi="Garamond"/>
        </w:rPr>
        <w:t>–</w:t>
      </w:r>
      <w:r w:rsidRPr="00795698">
        <w:rPr>
          <w:rFonts w:ascii="Garamond" w:hAnsi="Garamond"/>
        </w:rPr>
        <w:t xml:space="preserve"> 6</w:t>
      </w:r>
      <w:r w:rsidR="006D3973" w:rsidRPr="00795698">
        <w:rPr>
          <w:rFonts w:ascii="Garamond" w:hAnsi="Garamond"/>
        </w:rPr>
        <w:t xml:space="preserve"> </w:t>
      </w:r>
      <w:r w:rsidRPr="00795698">
        <w:rPr>
          <w:rFonts w:ascii="Garamond" w:hAnsi="Garamond"/>
        </w:rPr>
        <w:t>gusht 2023.</w:t>
      </w:r>
    </w:p>
    <w:p w14:paraId="5FEEFC20" w14:textId="77777777" w:rsidR="00876727" w:rsidRPr="00795698" w:rsidRDefault="00876727" w:rsidP="00876727">
      <w:pPr>
        <w:pStyle w:val="ListParagraph"/>
        <w:ind w:left="284"/>
        <w:jc w:val="both"/>
        <w:rPr>
          <w:rFonts w:ascii="Garamond" w:hAnsi="Garamond"/>
        </w:rPr>
      </w:pPr>
      <w:r w:rsidRPr="00795698">
        <w:rPr>
          <w:rFonts w:ascii="Garamond" w:hAnsi="Garamond"/>
          <w:b/>
          <w:bCs/>
        </w:rPr>
        <w:t>- Implementuesi:</w:t>
      </w:r>
      <w:r w:rsidRPr="00795698">
        <w:rPr>
          <w:rFonts w:ascii="Garamond" w:hAnsi="Garamond"/>
        </w:rPr>
        <w:t xml:space="preserve"> IDM </w:t>
      </w:r>
    </w:p>
    <w:p w14:paraId="5FEEFC21"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Titulli:</w:t>
      </w:r>
      <w:r w:rsidRPr="00795698">
        <w:rPr>
          <w:rFonts w:ascii="Garamond" w:hAnsi="Garamond"/>
        </w:rPr>
        <w:t xml:space="preserve"> Riintegrimi i qëndrueshëm në komunitet i shtetasve shqiptarë të kthyer nga Siria</w:t>
      </w:r>
    </w:p>
    <w:p w14:paraId="5FEEFC22"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Qëllimi:</w:t>
      </w:r>
      <w:r w:rsidRPr="00795698">
        <w:rPr>
          <w:rFonts w:ascii="Garamond" w:hAnsi="Garamond"/>
        </w:rPr>
        <w:t xml:space="preserve"> Ndërhyrja konsiston në tre komponentë kryesorë: forcim kapacitetesh, bashkëpunim ndërsektorial dhe fuqizim i komuniteteve, të cilat synojnë të krijojnë një mjedis mundësues për institucionet dhe profesionistët e vijës së parë dhe njëkohësisht të forcojnë kohezionin social dhe qëndrueshmërinë ndaj ekstremizmit të dhunshëm.</w:t>
      </w:r>
    </w:p>
    <w:p w14:paraId="5FEEFC23"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Vlera totale</w:t>
      </w:r>
      <w:r w:rsidRPr="00795698">
        <w:rPr>
          <w:rFonts w:ascii="Garamond" w:hAnsi="Garamond"/>
        </w:rPr>
        <w:t xml:space="preserve"> për Shqipërinë 50,000,000 lekë. </w:t>
      </w:r>
    </w:p>
    <w:p w14:paraId="5FEEFC24" w14:textId="5BF8351E" w:rsidR="00876727" w:rsidRPr="00795698" w:rsidRDefault="00876727" w:rsidP="00876727">
      <w:pPr>
        <w:pStyle w:val="ListParagraph"/>
        <w:ind w:left="0" w:firstLine="284"/>
        <w:jc w:val="both"/>
        <w:rPr>
          <w:rFonts w:ascii="Garamond" w:hAnsi="Garamond"/>
        </w:rPr>
      </w:pPr>
      <w:r w:rsidRPr="00795698">
        <w:rPr>
          <w:rFonts w:ascii="Garamond" w:hAnsi="Garamond"/>
          <w:b/>
          <w:bCs/>
        </w:rPr>
        <w:t>Afati i implementimit</w:t>
      </w:r>
      <w:r w:rsidR="002D69E7" w:rsidRPr="00795698">
        <w:rPr>
          <w:rFonts w:ascii="Garamond" w:hAnsi="Garamond"/>
          <w:b/>
          <w:bCs/>
        </w:rPr>
        <w:t>:</w:t>
      </w:r>
      <w:r w:rsidRPr="00795698">
        <w:rPr>
          <w:rFonts w:ascii="Garamond" w:hAnsi="Garamond"/>
          <w:b/>
          <w:bCs/>
        </w:rPr>
        <w:t xml:space="preserve"> </w:t>
      </w:r>
      <w:r w:rsidRPr="00795698">
        <w:rPr>
          <w:rFonts w:ascii="Garamond" w:hAnsi="Garamond"/>
        </w:rPr>
        <w:t xml:space="preserve">1 qershor 2021 </w:t>
      </w:r>
      <w:r w:rsidR="002D69E7" w:rsidRPr="00795698">
        <w:rPr>
          <w:rFonts w:ascii="Garamond" w:hAnsi="Garamond"/>
        </w:rPr>
        <w:t>–</w:t>
      </w:r>
      <w:r w:rsidRPr="00795698">
        <w:rPr>
          <w:rFonts w:ascii="Garamond" w:hAnsi="Garamond"/>
        </w:rPr>
        <w:t xml:space="preserve"> 30</w:t>
      </w:r>
      <w:r w:rsidR="002D69E7" w:rsidRPr="00795698">
        <w:rPr>
          <w:rFonts w:ascii="Garamond" w:hAnsi="Garamond"/>
        </w:rPr>
        <w:t xml:space="preserve"> </w:t>
      </w:r>
      <w:r w:rsidRPr="00795698">
        <w:rPr>
          <w:rFonts w:ascii="Garamond" w:hAnsi="Garamond"/>
        </w:rPr>
        <w:t>nëntor 2023.</w:t>
      </w:r>
    </w:p>
    <w:p w14:paraId="5FEEFC25" w14:textId="511DF083" w:rsidR="00876727" w:rsidRPr="00795698" w:rsidRDefault="00876727" w:rsidP="00876727">
      <w:pPr>
        <w:pStyle w:val="ListParagraph"/>
        <w:ind w:left="284"/>
        <w:jc w:val="both"/>
        <w:rPr>
          <w:rFonts w:ascii="Garamond" w:hAnsi="Garamond"/>
        </w:rPr>
      </w:pPr>
      <w:r w:rsidRPr="00795698">
        <w:rPr>
          <w:rFonts w:ascii="Garamond" w:hAnsi="Garamond"/>
          <w:b/>
          <w:bCs/>
        </w:rPr>
        <w:t>- Implementuesi:</w:t>
      </w:r>
      <w:r w:rsidRPr="00795698">
        <w:rPr>
          <w:rFonts w:ascii="Garamond" w:hAnsi="Garamond"/>
        </w:rPr>
        <w:t xml:space="preserve"> SHIS </w:t>
      </w:r>
      <w:r w:rsidR="002D69E7" w:rsidRPr="00795698">
        <w:rPr>
          <w:rFonts w:ascii="Garamond" w:hAnsi="Garamond"/>
        </w:rPr>
        <w:t>–</w:t>
      </w:r>
      <w:r w:rsidRPr="00795698">
        <w:rPr>
          <w:rFonts w:ascii="Garamond" w:hAnsi="Garamond"/>
        </w:rPr>
        <w:t xml:space="preserve"> Shoqata</w:t>
      </w:r>
      <w:r w:rsidR="002D69E7" w:rsidRPr="00795698">
        <w:rPr>
          <w:rFonts w:ascii="Garamond" w:hAnsi="Garamond"/>
        </w:rPr>
        <w:t xml:space="preserve"> </w:t>
      </w:r>
      <w:r w:rsidRPr="00795698">
        <w:rPr>
          <w:rFonts w:ascii="Garamond" w:hAnsi="Garamond"/>
        </w:rPr>
        <w:t xml:space="preserve">Internacionale për Solidaritetin </w:t>
      </w:r>
    </w:p>
    <w:p w14:paraId="5FEEFC26"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Titulli:</w:t>
      </w:r>
      <w:r w:rsidRPr="00795698">
        <w:rPr>
          <w:rFonts w:ascii="Garamond" w:hAnsi="Garamond"/>
        </w:rPr>
        <w:t xml:space="preserve"> BRAVE (Building Resilience Against Violent Extremism/Ndërtimi i qëndrueshmërisë kundër ekstremizmit të dhunshëm)</w:t>
      </w:r>
    </w:p>
    <w:p w14:paraId="5FEEFC27" w14:textId="77B7A3DA" w:rsidR="00876727" w:rsidRPr="00795698" w:rsidRDefault="00876727" w:rsidP="00876727">
      <w:pPr>
        <w:pStyle w:val="ListParagraph"/>
        <w:ind w:left="0" w:firstLine="284"/>
        <w:jc w:val="both"/>
        <w:rPr>
          <w:rFonts w:ascii="Garamond" w:hAnsi="Garamond"/>
        </w:rPr>
      </w:pPr>
      <w:r w:rsidRPr="00795698">
        <w:rPr>
          <w:rFonts w:ascii="Garamond" w:hAnsi="Garamond"/>
          <w:b/>
          <w:bCs/>
        </w:rPr>
        <w:t>Qëllimi:</w:t>
      </w:r>
      <w:r w:rsidRPr="00795698">
        <w:rPr>
          <w:rFonts w:ascii="Garamond" w:hAnsi="Garamond"/>
        </w:rPr>
        <w:t xml:space="preserve"> Ndërtimi i komuniteteve të sigurta dhe elastike ndaj ekstremizmit të dhunshëm, përmes edukimit dhe aktivizmit të të rinjve. Promovimi i partneritetit nxënës-mësues – prindër në 8 shkolla fillore të përzgjedhura në komunitete me rrezik të lartë për t</w:t>
      </w:r>
      <w:r w:rsidR="0041767D" w:rsidRPr="00795698">
        <w:rPr>
          <w:rFonts w:ascii="Garamond" w:hAnsi="Garamond"/>
        </w:rPr>
        <w:t>’</w:t>
      </w:r>
      <w:r w:rsidRPr="00795698">
        <w:rPr>
          <w:rFonts w:ascii="Garamond" w:hAnsi="Garamond"/>
        </w:rPr>
        <w:t>u përfshirë në veprime të dhunshme ekstremiste dhe mbështetje e nismave ndërgjegjësuese të të rinjve për të rritur qëndrueshmërinë e komunitetit ndaj ekstremizmit të dhunshëm.</w:t>
      </w:r>
    </w:p>
    <w:p w14:paraId="5FEEFC28"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Vlera totale</w:t>
      </w:r>
      <w:r w:rsidRPr="00795698">
        <w:rPr>
          <w:rFonts w:ascii="Garamond" w:hAnsi="Garamond"/>
        </w:rPr>
        <w:t xml:space="preserve"> për Shqipërinë 60,000 dollarë. </w:t>
      </w:r>
    </w:p>
    <w:p w14:paraId="5FEEFC29"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 xml:space="preserve">Fonde: </w:t>
      </w:r>
      <w:r w:rsidRPr="00795698">
        <w:rPr>
          <w:rFonts w:ascii="Garamond" w:hAnsi="Garamond"/>
        </w:rPr>
        <w:t>Ambasada Amerikane në Tiranë</w:t>
      </w:r>
    </w:p>
    <w:p w14:paraId="5FEEFC2A"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lastRenderedPageBreak/>
        <w:t xml:space="preserve">Afati i implementimit </w:t>
      </w:r>
      <w:r w:rsidRPr="00795698">
        <w:rPr>
          <w:rFonts w:ascii="Garamond" w:hAnsi="Garamond"/>
        </w:rPr>
        <w:t>tetor 2021 - shtator 2022.</w:t>
      </w:r>
    </w:p>
    <w:p w14:paraId="5FEEFC2B" w14:textId="7324520F" w:rsidR="00876727" w:rsidRPr="00795698" w:rsidRDefault="00876727" w:rsidP="00876727">
      <w:pPr>
        <w:pStyle w:val="ListParagraph"/>
        <w:ind w:left="284"/>
        <w:jc w:val="both"/>
        <w:rPr>
          <w:rFonts w:ascii="Garamond" w:hAnsi="Garamond"/>
        </w:rPr>
      </w:pPr>
      <w:r w:rsidRPr="00795698">
        <w:rPr>
          <w:rFonts w:ascii="Garamond" w:hAnsi="Garamond"/>
          <w:b/>
          <w:bCs/>
        </w:rPr>
        <w:t>- Implementuesi:</w:t>
      </w:r>
      <w:r w:rsidRPr="00795698">
        <w:rPr>
          <w:rFonts w:ascii="Garamond" w:hAnsi="Garamond"/>
        </w:rPr>
        <w:t xml:space="preserve"> QKEDH. Partner lokal: Adriapol Institute. Ky projekt po zbatohet në partneritet me Qendrën e Koordinimit Kundër Ekstremizmit të Dhunshëm në pesë rajone si Tirana dhe Durrësi, Dibra, Korça, Elbasani dhe Kukësi, me mbështetjen</w:t>
      </w:r>
      <w:r w:rsidR="007C064A" w:rsidRPr="00795698">
        <w:rPr>
          <w:rFonts w:ascii="Garamond" w:hAnsi="Garamond"/>
        </w:rPr>
        <w:t xml:space="preserve"> </w:t>
      </w:r>
      <w:r w:rsidRPr="00795698">
        <w:rPr>
          <w:rFonts w:ascii="Garamond" w:hAnsi="Garamond"/>
        </w:rPr>
        <w:t>financiare të GCERF-it.</w:t>
      </w:r>
    </w:p>
    <w:p w14:paraId="5FEEFC2C"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Titulli:</w:t>
      </w:r>
      <w:r w:rsidRPr="00795698">
        <w:rPr>
          <w:rFonts w:ascii="Garamond" w:hAnsi="Garamond"/>
        </w:rPr>
        <w:t xml:space="preserve"> Parandalim dhe riintegrim i sigurt. Qasje holistike dhe e qendrueshme ndaj ekstremizmit të dhunshëm</w:t>
      </w:r>
    </w:p>
    <w:p w14:paraId="5FEEFC2D"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Donatori:</w:t>
      </w:r>
      <w:r w:rsidRPr="00795698">
        <w:rPr>
          <w:rFonts w:ascii="Garamond" w:hAnsi="Garamond"/>
        </w:rPr>
        <w:t xml:space="preserve"> GCERF(Global Community Engagement and Resilience Fund)</w:t>
      </w:r>
    </w:p>
    <w:p w14:paraId="5FEEFC2E"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Buxheti:</w:t>
      </w:r>
      <w:r w:rsidRPr="00795698">
        <w:rPr>
          <w:rFonts w:ascii="Garamond" w:hAnsi="Garamond"/>
        </w:rPr>
        <w:t xml:space="preserve"> 50,000,000 lekë</w:t>
      </w:r>
    </w:p>
    <w:p w14:paraId="5FEEFC2F" w14:textId="1688BAE7" w:rsidR="00876727" w:rsidRPr="00795698" w:rsidRDefault="00876727" w:rsidP="00876727">
      <w:pPr>
        <w:pStyle w:val="ListParagraph"/>
        <w:ind w:left="0" w:firstLine="284"/>
        <w:jc w:val="both"/>
        <w:rPr>
          <w:rFonts w:ascii="Garamond" w:hAnsi="Garamond"/>
        </w:rPr>
      </w:pPr>
      <w:r w:rsidRPr="00795698">
        <w:rPr>
          <w:rFonts w:ascii="Garamond" w:hAnsi="Garamond"/>
          <w:b/>
          <w:bCs/>
        </w:rPr>
        <w:t>Objektivi i përgjithshëm</w:t>
      </w:r>
      <w:r w:rsidRPr="00795698">
        <w:rPr>
          <w:rFonts w:ascii="Garamond" w:hAnsi="Garamond"/>
        </w:rPr>
        <w:t xml:space="preserve"> i projektit është të forcoje qëndrueshmërinë ndaj ekstremizmit të dhunshëm përmes një qasjeje holistike me qëllim parandalimin e</w:t>
      </w:r>
      <w:r w:rsidR="007C064A" w:rsidRPr="00795698">
        <w:rPr>
          <w:rFonts w:ascii="Garamond" w:hAnsi="Garamond"/>
        </w:rPr>
        <w:t xml:space="preserve"> </w:t>
      </w:r>
      <w:r w:rsidRPr="00795698">
        <w:rPr>
          <w:rFonts w:ascii="Garamond" w:hAnsi="Garamond"/>
        </w:rPr>
        <w:t>radikalizmit dhe të mbështetet riintegrimin e sigurt të grave dhe fëmijëve që kthehen nga zonat e luftës. Mobilizimi dhe fuqizimi i të rinjve dhe komuniteteve do të jetë një tjetër qasje për ndërtimin e reziliencës për të parandaluar ekstremizmin e dhunshëm dhe radikalizimin. Programet e ngritjes së kapaciteteve dhe metodologjitë e mobilizimit dhe angazhimit të të rinjve do të synojnë të nxisin pjesëmarrjen e të rinjve në përcaktimin e prioriteteve dhe zbatimin e nismave dhe veprimeve advokuese të dizajnuara nga të rinjtë.</w:t>
      </w:r>
    </w:p>
    <w:p w14:paraId="5FEEFC30" w14:textId="592CBF66" w:rsidR="00876727" w:rsidRPr="00795698" w:rsidRDefault="00876727" w:rsidP="00876727">
      <w:pPr>
        <w:pStyle w:val="ListParagraph"/>
        <w:ind w:left="0" w:firstLine="284"/>
        <w:jc w:val="both"/>
        <w:rPr>
          <w:rFonts w:ascii="Garamond" w:hAnsi="Garamond"/>
        </w:rPr>
      </w:pPr>
      <w:r w:rsidRPr="00795698">
        <w:rPr>
          <w:rFonts w:ascii="Garamond" w:hAnsi="Garamond"/>
          <w:b/>
          <w:bCs/>
        </w:rPr>
        <w:t>Afati i implementimit</w:t>
      </w:r>
      <w:r w:rsidRPr="00795698">
        <w:rPr>
          <w:rFonts w:ascii="Garamond" w:hAnsi="Garamond"/>
        </w:rPr>
        <w:t xml:space="preserve"> 1.12.</w:t>
      </w:r>
      <w:r w:rsidR="00623407" w:rsidRPr="00795698">
        <w:rPr>
          <w:rFonts w:ascii="Garamond" w:hAnsi="Garamond"/>
        </w:rPr>
        <w:t>2021–</w:t>
      </w:r>
      <w:r w:rsidRPr="00795698">
        <w:rPr>
          <w:rFonts w:ascii="Garamond" w:hAnsi="Garamond"/>
        </w:rPr>
        <w:t>30.12.2022</w:t>
      </w:r>
    </w:p>
    <w:p w14:paraId="5FEEFC31" w14:textId="77777777" w:rsidR="00876727" w:rsidRPr="00795698" w:rsidRDefault="00876727" w:rsidP="00876727">
      <w:pPr>
        <w:pStyle w:val="ListParagraph"/>
        <w:ind w:left="0" w:firstLine="284"/>
        <w:jc w:val="both"/>
        <w:rPr>
          <w:rFonts w:ascii="Garamond" w:hAnsi="Garamond"/>
          <w:b/>
          <w:bCs/>
        </w:rPr>
      </w:pPr>
      <w:r w:rsidRPr="00795698">
        <w:rPr>
          <w:rFonts w:ascii="Garamond" w:hAnsi="Garamond"/>
          <w:b/>
          <w:bCs/>
        </w:rPr>
        <w:t xml:space="preserve">Implementues: </w:t>
      </w:r>
    </w:p>
    <w:p w14:paraId="5FEEFC32" w14:textId="77777777" w:rsidR="00876727" w:rsidRPr="00795698" w:rsidRDefault="00876727" w:rsidP="00876727">
      <w:pPr>
        <w:pStyle w:val="TEKSTIIIII"/>
        <w:rPr>
          <w:lang w:val="sq-AL"/>
        </w:rPr>
      </w:pPr>
      <w:r w:rsidRPr="00795698">
        <w:rPr>
          <w:lang w:val="sq-AL"/>
        </w:rPr>
        <w:t xml:space="preserve">-Linja e Këshillimit për Gra dhe Vajza </w:t>
      </w:r>
    </w:p>
    <w:p w14:paraId="5FEEFC33" w14:textId="77777777" w:rsidR="00876727" w:rsidRPr="00795698" w:rsidRDefault="00876727" w:rsidP="00876727">
      <w:pPr>
        <w:pStyle w:val="TEKSTIIIII"/>
        <w:rPr>
          <w:lang w:val="sq-AL"/>
        </w:rPr>
      </w:pPr>
      <w:r w:rsidRPr="00795698">
        <w:rPr>
          <w:lang w:val="sq-AL"/>
        </w:rPr>
        <w:t>-Implementim në zonat gjeografike: Tiranë, Bulqizë, Pogradec, Librazhd, Elbasan, Vlorë, Shkodër, në shkallë kombëtare</w:t>
      </w:r>
    </w:p>
    <w:p w14:paraId="5FEEFC34" w14:textId="77777777" w:rsidR="00876727" w:rsidRPr="00795698" w:rsidRDefault="00876727" w:rsidP="00876727">
      <w:pPr>
        <w:pStyle w:val="TEKSTIIIII"/>
        <w:rPr>
          <w:lang w:val="sq-AL"/>
        </w:rPr>
      </w:pPr>
      <w:r w:rsidRPr="00795698">
        <w:rPr>
          <w:lang w:val="sq-AL"/>
        </w:rPr>
        <w:t xml:space="preserve">-Instituti Adriopol </w:t>
      </w:r>
    </w:p>
    <w:p w14:paraId="5FEEFC35" w14:textId="77777777" w:rsidR="00876727" w:rsidRPr="00795698" w:rsidRDefault="00876727" w:rsidP="00876727">
      <w:pPr>
        <w:pStyle w:val="TEKSTIIIII"/>
        <w:rPr>
          <w:lang w:val="sq-AL"/>
        </w:rPr>
      </w:pPr>
      <w:r w:rsidRPr="00795698">
        <w:rPr>
          <w:lang w:val="sq-AL"/>
        </w:rPr>
        <w:t>-Implementim në zonat gjeografike: Tiranë, Bulqizë, Pogradec, Librazhd, Elbasan, Vlora, Shkodër</w:t>
      </w:r>
    </w:p>
    <w:p w14:paraId="5FEEFC36" w14:textId="77777777" w:rsidR="00876727" w:rsidRPr="00795698" w:rsidRDefault="00876727" w:rsidP="00876727">
      <w:pPr>
        <w:pStyle w:val="TEKSTIIIII"/>
        <w:rPr>
          <w:lang w:val="sq-AL"/>
        </w:rPr>
      </w:pPr>
      <w:r w:rsidRPr="00795698">
        <w:rPr>
          <w:lang w:val="sq-AL"/>
        </w:rPr>
        <w:t>-Komiteti Shqiptar i Helsinkit</w:t>
      </w:r>
    </w:p>
    <w:p w14:paraId="5FEEFC37" w14:textId="77777777" w:rsidR="00876727" w:rsidRPr="00795698" w:rsidRDefault="00876727" w:rsidP="00876727">
      <w:pPr>
        <w:pStyle w:val="TEKSTIIIII"/>
        <w:rPr>
          <w:lang w:val="sq-AL"/>
        </w:rPr>
      </w:pPr>
      <w:r w:rsidRPr="00795698">
        <w:rPr>
          <w:lang w:val="sq-AL"/>
        </w:rPr>
        <w:t>-Implementim në zonat gjeografike: Tiranë, në shkallë kombëtare</w:t>
      </w:r>
    </w:p>
    <w:p w14:paraId="5FEEFC38" w14:textId="77777777" w:rsidR="00876727" w:rsidRPr="00795698" w:rsidRDefault="00876727" w:rsidP="00876727">
      <w:pPr>
        <w:pStyle w:val="TEKSTIIIII"/>
        <w:rPr>
          <w:lang w:val="sq-AL"/>
        </w:rPr>
      </w:pPr>
      <w:r w:rsidRPr="00795698">
        <w:rPr>
          <w:lang w:val="sq-AL"/>
        </w:rPr>
        <w:t>-Këshilli Ndërfetar Shqipëri</w:t>
      </w:r>
      <w:r w:rsidRPr="00795698">
        <w:rPr>
          <w:lang w:val="sq-AL"/>
        </w:rPr>
        <w:tab/>
      </w:r>
    </w:p>
    <w:p w14:paraId="5FEEFC39" w14:textId="77777777" w:rsidR="00876727" w:rsidRPr="00795698" w:rsidRDefault="00876727" w:rsidP="00876727">
      <w:pPr>
        <w:pStyle w:val="ListParagraph"/>
        <w:ind w:left="0" w:firstLine="284"/>
        <w:jc w:val="both"/>
        <w:rPr>
          <w:rFonts w:ascii="Garamond" w:hAnsi="Garamond"/>
        </w:rPr>
      </w:pPr>
      <w:r w:rsidRPr="00795698">
        <w:rPr>
          <w:rFonts w:ascii="Garamond" w:hAnsi="Garamond"/>
        </w:rPr>
        <w:t>-Implementim në zonat gjeografike: Tiranë, Bulqizë, Pogradec, Librazhd, Elbasan, Vlorë, Shkodër, Berat</w:t>
      </w:r>
    </w:p>
    <w:p w14:paraId="5FEEFC3A"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Titulli:</w:t>
      </w:r>
      <w:r w:rsidRPr="00795698">
        <w:rPr>
          <w:rFonts w:ascii="Garamond" w:hAnsi="Garamond"/>
        </w:rPr>
        <w:t xml:space="preserve"> Lënia pas e të kaluarës: Ndërtimi i qëndrueshmërisë ndaj ekstremizmit të dhunshëm përmes mbështetjes dhe edukimit</w:t>
      </w:r>
    </w:p>
    <w:p w14:paraId="5FEEFC3B" w14:textId="74E82890" w:rsidR="00876727" w:rsidRPr="00795698" w:rsidRDefault="00876727" w:rsidP="00876727">
      <w:pPr>
        <w:pStyle w:val="ListParagraph"/>
        <w:ind w:left="0" w:firstLine="284"/>
        <w:jc w:val="both"/>
        <w:rPr>
          <w:rFonts w:ascii="Garamond" w:hAnsi="Garamond"/>
        </w:rPr>
      </w:pPr>
      <w:r w:rsidRPr="00795698">
        <w:rPr>
          <w:rFonts w:ascii="Garamond" w:hAnsi="Garamond"/>
          <w:b/>
          <w:bCs/>
        </w:rPr>
        <w:t>Data e fillimit dhe e përfundimit</w:t>
      </w:r>
      <w:r w:rsidRPr="00795698">
        <w:rPr>
          <w:rFonts w:ascii="Garamond" w:hAnsi="Garamond"/>
        </w:rPr>
        <w:tab/>
        <w:t>1.6.2021 – 31.5.2024</w:t>
      </w:r>
    </w:p>
    <w:p w14:paraId="5FEEFC3C" w14:textId="77777777" w:rsidR="00876727" w:rsidRPr="00795698" w:rsidRDefault="00876727" w:rsidP="00876727">
      <w:pPr>
        <w:pStyle w:val="ListParagraph"/>
        <w:ind w:left="0" w:firstLine="284"/>
        <w:jc w:val="both"/>
        <w:rPr>
          <w:rFonts w:ascii="Garamond" w:hAnsi="Garamond"/>
        </w:rPr>
      </w:pPr>
      <w:r w:rsidRPr="00795698">
        <w:rPr>
          <w:rFonts w:ascii="Garamond" w:hAnsi="Garamond"/>
          <w:b/>
          <w:bCs/>
        </w:rPr>
        <w:t>Buxheti total</w:t>
      </w:r>
      <w:r w:rsidRPr="00795698">
        <w:rPr>
          <w:rFonts w:ascii="Garamond" w:hAnsi="Garamond"/>
        </w:rPr>
        <w:t xml:space="preserve"> 800,000 dollarë</w:t>
      </w:r>
    </w:p>
    <w:p w14:paraId="5FEEFC3D" w14:textId="77777777" w:rsidR="00876727" w:rsidRPr="00795698" w:rsidRDefault="00876727" w:rsidP="00876727">
      <w:pPr>
        <w:ind w:firstLine="284"/>
        <w:rPr>
          <w:rFonts w:ascii="Garamond" w:eastAsia="MS Mincho" w:hAnsi="Garamond"/>
        </w:rPr>
      </w:pPr>
    </w:p>
    <w:p w14:paraId="5FEEFC3E" w14:textId="77777777" w:rsidR="00B91F3F" w:rsidRPr="00795698" w:rsidRDefault="00B91F3F" w:rsidP="00876727">
      <w:pPr>
        <w:ind w:firstLine="284"/>
        <w:rPr>
          <w:rFonts w:ascii="Garamond" w:eastAsia="MS Mincho" w:hAnsi="Garamond"/>
        </w:rPr>
      </w:pPr>
    </w:p>
    <w:p w14:paraId="5FEEFC3F" w14:textId="77777777" w:rsidR="00B91F3F" w:rsidRPr="00795698" w:rsidRDefault="00B91F3F" w:rsidP="00876727">
      <w:pPr>
        <w:ind w:firstLine="284"/>
        <w:rPr>
          <w:rFonts w:ascii="Garamond" w:eastAsia="MS Mincho" w:hAnsi="Garamond"/>
        </w:rPr>
      </w:pPr>
    </w:p>
    <w:p w14:paraId="5FEEFC40" w14:textId="77777777" w:rsidR="00B91F3F" w:rsidRPr="00795698" w:rsidRDefault="00B91F3F" w:rsidP="00876727">
      <w:pPr>
        <w:ind w:firstLine="284"/>
        <w:rPr>
          <w:rFonts w:ascii="Garamond" w:eastAsia="MS Mincho" w:hAnsi="Garamond"/>
        </w:rPr>
      </w:pPr>
    </w:p>
    <w:p w14:paraId="5FEEFC41" w14:textId="77777777" w:rsidR="00B91F3F" w:rsidRPr="00795698" w:rsidRDefault="00B91F3F" w:rsidP="00876727">
      <w:pPr>
        <w:ind w:firstLine="284"/>
        <w:rPr>
          <w:rFonts w:ascii="Garamond" w:eastAsia="MS Mincho" w:hAnsi="Garamond"/>
        </w:rPr>
        <w:sectPr w:rsidR="00B91F3F" w:rsidRPr="00795698">
          <w:headerReference w:type="default" r:id="rId24"/>
          <w:footerReference w:type="default" r:id="rId25"/>
          <w:pgSz w:w="12240" w:h="15840"/>
          <w:pgMar w:top="1440" w:right="1440" w:bottom="1440" w:left="1440" w:header="720" w:footer="720" w:gutter="0"/>
          <w:cols w:space="720"/>
          <w:docGrid w:linePitch="360"/>
        </w:sectPr>
      </w:pPr>
    </w:p>
    <w:tbl>
      <w:tblPr>
        <w:tblW w:w="9390" w:type="dxa"/>
        <w:tblInd w:w="93" w:type="dxa"/>
        <w:tblLook w:val="04A0" w:firstRow="1" w:lastRow="0" w:firstColumn="1" w:lastColumn="0" w:noHBand="0" w:noVBand="1"/>
      </w:tblPr>
      <w:tblGrid>
        <w:gridCol w:w="336"/>
        <w:gridCol w:w="843"/>
        <w:gridCol w:w="505"/>
        <w:gridCol w:w="562"/>
        <w:gridCol w:w="1373"/>
        <w:gridCol w:w="354"/>
        <w:gridCol w:w="395"/>
        <w:gridCol w:w="454"/>
        <w:gridCol w:w="383"/>
        <w:gridCol w:w="454"/>
        <w:gridCol w:w="454"/>
        <w:gridCol w:w="383"/>
        <w:gridCol w:w="454"/>
        <w:gridCol w:w="454"/>
        <w:gridCol w:w="383"/>
        <w:gridCol w:w="454"/>
        <w:gridCol w:w="490"/>
        <w:gridCol w:w="383"/>
        <w:gridCol w:w="490"/>
        <w:gridCol w:w="490"/>
        <w:gridCol w:w="383"/>
        <w:gridCol w:w="490"/>
        <w:gridCol w:w="378"/>
        <w:gridCol w:w="383"/>
        <w:gridCol w:w="554"/>
        <w:gridCol w:w="404"/>
        <w:gridCol w:w="397"/>
      </w:tblGrid>
      <w:tr w:rsidR="00D845EC" w:rsidRPr="00795698" w14:paraId="5FEEFC43" w14:textId="77777777" w:rsidTr="00D845EC">
        <w:trPr>
          <w:trHeight w:val="180"/>
        </w:trPr>
        <w:tc>
          <w:tcPr>
            <w:tcW w:w="9390" w:type="dxa"/>
            <w:gridSpan w:val="27"/>
            <w:tcBorders>
              <w:top w:val="single" w:sz="8" w:space="0" w:color="auto"/>
              <w:left w:val="single" w:sz="8" w:space="0" w:color="auto"/>
              <w:bottom w:val="nil"/>
              <w:right w:val="single" w:sz="8" w:space="0" w:color="000000"/>
            </w:tcBorders>
            <w:shd w:val="clear" w:color="000000" w:fill="E2EFDA"/>
            <w:vAlign w:val="center"/>
            <w:hideMark/>
          </w:tcPr>
          <w:p w14:paraId="5FEEFC42" w14:textId="0E69164F" w:rsidR="00D845EC" w:rsidRPr="00795698" w:rsidRDefault="00D845EC" w:rsidP="00D845EC">
            <w:pPr>
              <w:jc w:val="center"/>
              <w:rPr>
                <w:rFonts w:ascii="Arial" w:hAnsi="Arial" w:cs="Arial"/>
                <w:b/>
                <w:bCs/>
                <w:color w:val="000000"/>
                <w:sz w:val="10"/>
                <w:szCs w:val="6"/>
                <w:lang w:eastAsia="sq-AL"/>
              </w:rPr>
            </w:pPr>
            <w:r w:rsidRPr="00795698">
              <w:rPr>
                <w:rFonts w:ascii="Arial" w:hAnsi="Arial" w:cs="Arial"/>
                <w:b/>
                <w:bCs/>
                <w:color w:val="000000"/>
                <w:sz w:val="10"/>
                <w:szCs w:val="6"/>
                <w:lang w:eastAsia="sq-AL"/>
              </w:rPr>
              <w:lastRenderedPageBreak/>
              <w:t xml:space="preserve">PLANI I VEPRIMIT PËR LUFTËN KUNDËR TERRORIZMIT </w:t>
            </w:r>
            <w:r w:rsidR="006249E3" w:rsidRPr="00795698">
              <w:rPr>
                <w:rFonts w:ascii="Arial" w:hAnsi="Arial" w:cs="Arial"/>
                <w:b/>
                <w:bCs/>
                <w:color w:val="000000"/>
                <w:sz w:val="10"/>
                <w:szCs w:val="6"/>
                <w:lang w:eastAsia="sq-AL"/>
              </w:rPr>
              <w:t>2023–2025</w:t>
            </w:r>
          </w:p>
        </w:tc>
      </w:tr>
      <w:tr w:rsidR="00D845EC" w:rsidRPr="00795698" w14:paraId="5FEEFC45" w14:textId="77777777" w:rsidTr="00D845EC">
        <w:trPr>
          <w:trHeight w:val="180"/>
        </w:trPr>
        <w:tc>
          <w:tcPr>
            <w:tcW w:w="9390" w:type="dxa"/>
            <w:gridSpan w:val="27"/>
            <w:tcBorders>
              <w:top w:val="single" w:sz="8" w:space="0" w:color="auto"/>
              <w:left w:val="single" w:sz="8" w:space="0" w:color="auto"/>
              <w:bottom w:val="single" w:sz="8" w:space="0" w:color="auto"/>
              <w:right w:val="single" w:sz="8" w:space="0" w:color="000000"/>
            </w:tcBorders>
            <w:shd w:val="clear" w:color="000000" w:fill="F8CBAD"/>
            <w:vAlign w:val="center"/>
            <w:hideMark/>
          </w:tcPr>
          <w:p w14:paraId="5FEEFC4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EFC47" w14:textId="77777777" w:rsidTr="00D845EC">
        <w:trPr>
          <w:trHeight w:val="180"/>
        </w:trPr>
        <w:tc>
          <w:tcPr>
            <w:tcW w:w="9390" w:type="dxa"/>
            <w:gridSpan w:val="27"/>
            <w:tcBorders>
              <w:top w:val="single" w:sz="8" w:space="0" w:color="auto"/>
              <w:left w:val="single" w:sz="8" w:space="0" w:color="auto"/>
              <w:bottom w:val="single" w:sz="8" w:space="0" w:color="auto"/>
              <w:right w:val="single" w:sz="8" w:space="0" w:color="000000"/>
            </w:tcBorders>
            <w:shd w:val="clear" w:color="000000" w:fill="FCE4D6"/>
            <w:vAlign w:val="center"/>
            <w:hideMark/>
          </w:tcPr>
          <w:p w14:paraId="5FEEFC46" w14:textId="77777777" w:rsidR="00D845EC" w:rsidRPr="00795698" w:rsidRDefault="00D845EC" w:rsidP="00D845EC">
            <w:pPr>
              <w:jc w:val="center"/>
              <w:rPr>
                <w:rFonts w:ascii="Arial" w:hAnsi="Arial" w:cs="Arial"/>
                <w:b/>
                <w:bCs/>
                <w:color w:val="000000"/>
                <w:sz w:val="10"/>
                <w:szCs w:val="6"/>
                <w:lang w:eastAsia="sq-AL"/>
              </w:rPr>
            </w:pPr>
            <w:r w:rsidRPr="00795698">
              <w:rPr>
                <w:rFonts w:ascii="Arial" w:hAnsi="Arial" w:cs="Arial"/>
                <w:b/>
                <w:bCs/>
                <w:color w:val="000000"/>
                <w:sz w:val="10"/>
                <w:szCs w:val="6"/>
                <w:lang w:eastAsia="sq-AL"/>
              </w:rPr>
              <w:t xml:space="preserve">I.1 QASJA PARANDALUESE: PARANDALIMI I EKSTREMIZMIT TË DHUNSHËM DHE TERRORIZMIT </w:t>
            </w:r>
          </w:p>
        </w:tc>
      </w:tr>
      <w:tr w:rsidR="00D845EC" w:rsidRPr="00795698" w14:paraId="5FEEFC49" w14:textId="77777777" w:rsidTr="00D845EC">
        <w:trPr>
          <w:trHeight w:val="180"/>
        </w:trPr>
        <w:tc>
          <w:tcPr>
            <w:tcW w:w="9390" w:type="dxa"/>
            <w:gridSpan w:val="27"/>
            <w:tcBorders>
              <w:top w:val="single" w:sz="8" w:space="0" w:color="auto"/>
              <w:left w:val="single" w:sz="8" w:space="0" w:color="auto"/>
              <w:bottom w:val="nil"/>
              <w:right w:val="single" w:sz="8" w:space="0" w:color="000000"/>
            </w:tcBorders>
            <w:shd w:val="clear" w:color="000000" w:fill="E7E6E6"/>
            <w:vAlign w:val="center"/>
            <w:hideMark/>
          </w:tcPr>
          <w:p w14:paraId="5FEEFC48"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1: MBAJTJA E KËRCËNIMIT TERRORIST NË NIVEL “TË ULËT”</w:t>
            </w:r>
          </w:p>
        </w:tc>
      </w:tr>
      <w:tr w:rsidR="00D845EC" w:rsidRPr="00795698" w14:paraId="5FEEFC4B" w14:textId="77777777" w:rsidTr="00D845EC">
        <w:trPr>
          <w:trHeight w:val="180"/>
        </w:trPr>
        <w:tc>
          <w:tcPr>
            <w:tcW w:w="9390" w:type="dxa"/>
            <w:gridSpan w:val="27"/>
            <w:tcBorders>
              <w:top w:val="single" w:sz="8" w:space="0" w:color="auto"/>
              <w:left w:val="single" w:sz="8" w:space="0" w:color="auto"/>
              <w:bottom w:val="single" w:sz="8" w:space="0" w:color="auto"/>
              <w:right w:val="single" w:sz="8" w:space="0" w:color="000000"/>
            </w:tcBorders>
            <w:shd w:val="clear" w:color="000000" w:fill="FFFF00"/>
            <w:vAlign w:val="center"/>
            <w:hideMark/>
          </w:tcPr>
          <w:p w14:paraId="5FEEFC4A" w14:textId="3213D639"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Programi Buxhetor Policia e Shtetit, Kodi i Programit 03140; Programi Buxhetor: Mbështetja e Luftimit, Kodi i Programit:02150;</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 xml:space="preserve">Programi buxhetor: Lufta kundër transaksioneve financiare </w:t>
            </w:r>
            <w:r w:rsidR="00B4110E" w:rsidRPr="00795698">
              <w:rPr>
                <w:rFonts w:ascii="Arial" w:hAnsi="Arial" w:cs="Arial"/>
                <w:b/>
                <w:bCs/>
                <w:sz w:val="10"/>
                <w:szCs w:val="6"/>
                <w:lang w:eastAsia="sq-AL"/>
              </w:rPr>
              <w:t>jo</w:t>
            </w:r>
            <w:r w:rsidRPr="00795698">
              <w:rPr>
                <w:rFonts w:ascii="Arial" w:hAnsi="Arial" w:cs="Arial"/>
                <w:b/>
                <w:bCs/>
                <w:sz w:val="10"/>
                <w:szCs w:val="6"/>
                <w:lang w:eastAsia="sq-AL"/>
              </w:rPr>
              <w:t>ligjore, Kodi i programit: 01160;</w:t>
            </w:r>
          </w:p>
        </w:tc>
      </w:tr>
      <w:tr w:rsidR="00D845EC" w:rsidRPr="00795698" w14:paraId="5FEEFC57" w14:textId="77777777" w:rsidTr="00D845EC">
        <w:trPr>
          <w:trHeight w:val="180"/>
        </w:trPr>
        <w:tc>
          <w:tcPr>
            <w:tcW w:w="16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EFC4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814" w:type="dxa"/>
            <w:vMerge w:val="restart"/>
            <w:tcBorders>
              <w:top w:val="nil"/>
              <w:left w:val="nil"/>
              <w:bottom w:val="single" w:sz="8" w:space="0" w:color="000000"/>
              <w:right w:val="nil"/>
            </w:tcBorders>
            <w:shd w:val="clear" w:color="auto" w:fill="auto"/>
            <w:vAlign w:val="center"/>
            <w:hideMark/>
          </w:tcPr>
          <w:p w14:paraId="5FEEFC4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350" w:type="dxa"/>
            <w:tcBorders>
              <w:top w:val="nil"/>
              <w:left w:val="single" w:sz="8" w:space="0" w:color="auto"/>
              <w:bottom w:val="single" w:sz="8" w:space="0" w:color="auto"/>
              <w:right w:val="single" w:sz="4" w:space="0" w:color="auto"/>
            </w:tcBorders>
            <w:shd w:val="clear" w:color="auto" w:fill="auto"/>
            <w:vAlign w:val="center"/>
            <w:hideMark/>
          </w:tcPr>
          <w:p w14:paraId="5FEEFC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900" w:type="dxa"/>
            <w:gridSpan w:val="2"/>
            <w:tcBorders>
              <w:top w:val="single" w:sz="8" w:space="0" w:color="auto"/>
              <w:left w:val="nil"/>
              <w:bottom w:val="single" w:sz="8" w:space="0" w:color="auto"/>
              <w:right w:val="single" w:sz="4" w:space="0" w:color="auto"/>
            </w:tcBorders>
            <w:shd w:val="clear" w:color="auto" w:fill="auto"/>
            <w:vAlign w:val="center"/>
            <w:hideMark/>
          </w:tcPr>
          <w:p w14:paraId="5FEEFC4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55" w:type="dxa"/>
            <w:gridSpan w:val="2"/>
            <w:tcBorders>
              <w:top w:val="single" w:sz="8" w:space="0" w:color="auto"/>
              <w:left w:val="nil"/>
              <w:bottom w:val="single" w:sz="8" w:space="0" w:color="auto"/>
              <w:right w:val="single" w:sz="8" w:space="0" w:color="000000"/>
            </w:tcBorders>
            <w:shd w:val="clear" w:color="auto" w:fill="auto"/>
            <w:vAlign w:val="center"/>
            <w:hideMark/>
          </w:tcPr>
          <w:p w14:paraId="5FEEFC5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34" w:type="dxa"/>
            <w:gridSpan w:val="3"/>
            <w:vMerge w:val="restart"/>
            <w:tcBorders>
              <w:top w:val="single" w:sz="8" w:space="0" w:color="auto"/>
              <w:left w:val="single" w:sz="8" w:space="0" w:color="auto"/>
              <w:bottom w:val="nil"/>
              <w:right w:val="single" w:sz="8" w:space="0" w:color="000000"/>
            </w:tcBorders>
            <w:shd w:val="clear" w:color="auto" w:fill="auto"/>
            <w:vAlign w:val="center"/>
            <w:hideMark/>
          </w:tcPr>
          <w:p w14:paraId="5FEEFC5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34" w:type="dxa"/>
            <w:gridSpan w:val="3"/>
            <w:vMerge w:val="restart"/>
            <w:tcBorders>
              <w:top w:val="single" w:sz="8" w:space="0" w:color="auto"/>
              <w:left w:val="single" w:sz="8" w:space="0" w:color="auto"/>
              <w:bottom w:val="nil"/>
              <w:right w:val="single" w:sz="8" w:space="0" w:color="000000"/>
            </w:tcBorders>
            <w:shd w:val="clear" w:color="auto" w:fill="auto"/>
            <w:vAlign w:val="center"/>
            <w:hideMark/>
          </w:tcPr>
          <w:p w14:paraId="5FEEFC5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34" w:type="dxa"/>
            <w:gridSpan w:val="3"/>
            <w:vMerge w:val="restart"/>
            <w:tcBorders>
              <w:top w:val="single" w:sz="8" w:space="0" w:color="auto"/>
              <w:left w:val="single" w:sz="8" w:space="0" w:color="auto"/>
              <w:bottom w:val="nil"/>
              <w:right w:val="single" w:sz="8" w:space="0" w:color="000000"/>
            </w:tcBorders>
            <w:shd w:val="clear" w:color="auto" w:fill="auto"/>
            <w:vAlign w:val="center"/>
            <w:hideMark/>
          </w:tcPr>
          <w:p w14:paraId="5FEEFC5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918" w:type="dxa"/>
            <w:gridSpan w:val="3"/>
            <w:vMerge w:val="restart"/>
            <w:tcBorders>
              <w:top w:val="single" w:sz="8" w:space="0" w:color="auto"/>
              <w:left w:val="single" w:sz="8" w:space="0" w:color="auto"/>
              <w:bottom w:val="nil"/>
              <w:right w:val="single" w:sz="8" w:space="0" w:color="000000"/>
            </w:tcBorders>
            <w:shd w:val="clear" w:color="auto" w:fill="auto"/>
            <w:vAlign w:val="center"/>
            <w:hideMark/>
          </w:tcPr>
          <w:p w14:paraId="5FEEFC5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047" w:type="dxa"/>
            <w:gridSpan w:val="7"/>
            <w:tcBorders>
              <w:top w:val="single" w:sz="8" w:space="0" w:color="auto"/>
              <w:left w:val="nil"/>
              <w:bottom w:val="single" w:sz="8" w:space="0" w:color="auto"/>
              <w:right w:val="single" w:sz="8" w:space="0" w:color="000000"/>
            </w:tcBorders>
            <w:shd w:val="clear" w:color="auto" w:fill="auto"/>
            <w:vAlign w:val="center"/>
            <w:hideMark/>
          </w:tcPr>
          <w:p w14:paraId="5FEEFC5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vMerge w:val="restart"/>
            <w:tcBorders>
              <w:top w:val="nil"/>
              <w:left w:val="single" w:sz="8" w:space="0" w:color="auto"/>
              <w:bottom w:val="single" w:sz="8" w:space="0" w:color="000000"/>
              <w:right w:val="single" w:sz="8" w:space="0" w:color="auto"/>
            </w:tcBorders>
            <w:shd w:val="clear" w:color="auto" w:fill="auto"/>
            <w:vAlign w:val="center"/>
            <w:hideMark/>
          </w:tcPr>
          <w:p w14:paraId="5FEEFC5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D845EC" w:rsidRPr="00795698" w14:paraId="5FEEFC66" w14:textId="77777777" w:rsidTr="00D845EC">
        <w:trPr>
          <w:trHeight w:val="180"/>
        </w:trPr>
        <w:tc>
          <w:tcPr>
            <w:tcW w:w="164" w:type="dxa"/>
            <w:vMerge/>
            <w:tcBorders>
              <w:top w:val="nil"/>
              <w:left w:val="single" w:sz="8" w:space="0" w:color="auto"/>
              <w:bottom w:val="single" w:sz="8" w:space="0" w:color="000000"/>
              <w:right w:val="single" w:sz="8" w:space="0" w:color="auto"/>
            </w:tcBorders>
            <w:vAlign w:val="center"/>
            <w:hideMark/>
          </w:tcPr>
          <w:p w14:paraId="5FEEFC58"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nil"/>
              <w:bottom w:val="single" w:sz="8" w:space="0" w:color="000000"/>
              <w:right w:val="nil"/>
            </w:tcBorders>
            <w:vAlign w:val="center"/>
            <w:hideMark/>
          </w:tcPr>
          <w:p w14:paraId="5FEEFC59" w14:textId="77777777" w:rsidR="00D845EC" w:rsidRPr="00795698" w:rsidRDefault="00D845EC" w:rsidP="00D845EC">
            <w:pPr>
              <w:rPr>
                <w:rFonts w:ascii="Arial" w:hAnsi="Arial" w:cs="Arial"/>
                <w:b/>
                <w:bCs/>
                <w:color w:val="000000"/>
                <w:sz w:val="6"/>
                <w:szCs w:val="6"/>
                <w:lang w:eastAsia="sq-AL"/>
              </w:rPr>
            </w:pPr>
          </w:p>
        </w:tc>
        <w:tc>
          <w:tcPr>
            <w:tcW w:w="350" w:type="dxa"/>
            <w:vMerge w:val="restart"/>
            <w:tcBorders>
              <w:top w:val="nil"/>
              <w:left w:val="single" w:sz="8" w:space="0" w:color="auto"/>
              <w:bottom w:val="single" w:sz="8" w:space="0" w:color="000000"/>
              <w:right w:val="single" w:sz="8" w:space="0" w:color="auto"/>
            </w:tcBorders>
            <w:shd w:val="clear" w:color="auto" w:fill="auto"/>
            <w:hideMark/>
          </w:tcPr>
          <w:p w14:paraId="5FEEFC5A" w14:textId="0B7B3ECC"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58" w:type="dxa"/>
            <w:vMerge w:val="restart"/>
            <w:tcBorders>
              <w:top w:val="nil"/>
              <w:left w:val="nil"/>
              <w:bottom w:val="single" w:sz="8" w:space="0" w:color="000000"/>
              <w:right w:val="single" w:sz="4" w:space="0" w:color="auto"/>
            </w:tcBorders>
            <w:shd w:val="clear" w:color="auto" w:fill="auto"/>
            <w:hideMark/>
          </w:tcPr>
          <w:p w14:paraId="5FEEFC5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1442" w:type="dxa"/>
            <w:vMerge w:val="restart"/>
            <w:tcBorders>
              <w:top w:val="nil"/>
              <w:left w:val="single" w:sz="4" w:space="0" w:color="auto"/>
              <w:bottom w:val="single" w:sz="8" w:space="0" w:color="000000"/>
              <w:right w:val="single" w:sz="4" w:space="0" w:color="auto"/>
            </w:tcBorders>
            <w:shd w:val="clear" w:color="auto" w:fill="auto"/>
            <w:hideMark/>
          </w:tcPr>
          <w:p w14:paraId="5FEEFC5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1" w:type="dxa"/>
            <w:vMerge w:val="restart"/>
            <w:tcBorders>
              <w:top w:val="nil"/>
              <w:left w:val="single" w:sz="4" w:space="0" w:color="auto"/>
              <w:bottom w:val="single" w:sz="8" w:space="0" w:color="000000"/>
              <w:right w:val="single" w:sz="4" w:space="0" w:color="auto"/>
            </w:tcBorders>
            <w:shd w:val="clear" w:color="auto" w:fill="auto"/>
            <w:hideMark/>
          </w:tcPr>
          <w:p w14:paraId="5FEEFC5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54" w:type="dxa"/>
            <w:vMerge w:val="restart"/>
            <w:tcBorders>
              <w:top w:val="nil"/>
              <w:left w:val="single" w:sz="4" w:space="0" w:color="auto"/>
              <w:bottom w:val="single" w:sz="8" w:space="0" w:color="000000"/>
              <w:right w:val="single" w:sz="8" w:space="0" w:color="auto"/>
            </w:tcBorders>
            <w:shd w:val="clear" w:color="auto" w:fill="auto"/>
            <w:hideMark/>
          </w:tcPr>
          <w:p w14:paraId="5FEEFC5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34" w:type="dxa"/>
            <w:gridSpan w:val="3"/>
            <w:vMerge/>
            <w:tcBorders>
              <w:top w:val="nil"/>
              <w:left w:val="single" w:sz="4" w:space="0" w:color="auto"/>
              <w:bottom w:val="single" w:sz="8" w:space="0" w:color="000000"/>
              <w:right w:val="single" w:sz="8" w:space="0" w:color="auto"/>
            </w:tcBorders>
            <w:vAlign w:val="center"/>
            <w:hideMark/>
          </w:tcPr>
          <w:p w14:paraId="5FEEFC5F"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8" w:space="0" w:color="000000"/>
              <w:right w:val="single" w:sz="8" w:space="0" w:color="auto"/>
            </w:tcBorders>
            <w:vAlign w:val="center"/>
            <w:hideMark/>
          </w:tcPr>
          <w:p w14:paraId="5FEEFC60"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8" w:space="0" w:color="000000"/>
              <w:right w:val="single" w:sz="8" w:space="0" w:color="auto"/>
            </w:tcBorders>
            <w:vAlign w:val="center"/>
            <w:hideMark/>
          </w:tcPr>
          <w:p w14:paraId="5FEEFC61" w14:textId="77777777" w:rsidR="00D845EC" w:rsidRPr="00795698" w:rsidRDefault="00D845EC" w:rsidP="00D845EC">
            <w:pPr>
              <w:rPr>
                <w:rFonts w:ascii="Arial" w:hAnsi="Arial" w:cs="Arial"/>
                <w:b/>
                <w:bCs/>
                <w:color w:val="000000"/>
                <w:sz w:val="6"/>
                <w:szCs w:val="6"/>
                <w:lang w:eastAsia="sq-AL"/>
              </w:rPr>
            </w:pPr>
          </w:p>
        </w:tc>
        <w:tc>
          <w:tcPr>
            <w:tcW w:w="918" w:type="dxa"/>
            <w:gridSpan w:val="3"/>
            <w:vMerge/>
            <w:tcBorders>
              <w:top w:val="nil"/>
              <w:left w:val="single" w:sz="4" w:space="0" w:color="auto"/>
              <w:bottom w:val="single" w:sz="8" w:space="0" w:color="000000"/>
              <w:right w:val="single" w:sz="8" w:space="0" w:color="auto"/>
            </w:tcBorders>
            <w:vAlign w:val="center"/>
            <w:hideMark/>
          </w:tcPr>
          <w:p w14:paraId="5FEEFC62" w14:textId="77777777" w:rsidR="00D845EC" w:rsidRPr="00795698" w:rsidRDefault="00D845EC" w:rsidP="00D845EC">
            <w:pPr>
              <w:rPr>
                <w:rFonts w:ascii="Arial" w:hAnsi="Arial" w:cs="Arial"/>
                <w:b/>
                <w:bCs/>
                <w:color w:val="000000"/>
                <w:sz w:val="6"/>
                <w:szCs w:val="6"/>
                <w:lang w:eastAsia="sq-AL"/>
              </w:rPr>
            </w:pPr>
          </w:p>
        </w:tc>
        <w:tc>
          <w:tcPr>
            <w:tcW w:w="918" w:type="dxa"/>
            <w:gridSpan w:val="3"/>
            <w:tcBorders>
              <w:top w:val="single" w:sz="8" w:space="0" w:color="auto"/>
              <w:left w:val="nil"/>
              <w:bottom w:val="nil"/>
              <w:right w:val="single" w:sz="8" w:space="0" w:color="000000"/>
            </w:tcBorders>
            <w:shd w:val="clear" w:color="auto" w:fill="auto"/>
            <w:vAlign w:val="center"/>
            <w:hideMark/>
          </w:tcPr>
          <w:p w14:paraId="5FEEFC63" w14:textId="271EFCA0"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129" w:type="dxa"/>
            <w:gridSpan w:val="4"/>
            <w:tcBorders>
              <w:top w:val="single" w:sz="8" w:space="0" w:color="auto"/>
              <w:left w:val="nil"/>
              <w:bottom w:val="nil"/>
              <w:right w:val="single" w:sz="8" w:space="0" w:color="000000"/>
            </w:tcBorders>
            <w:shd w:val="clear" w:color="auto" w:fill="auto"/>
            <w:vAlign w:val="center"/>
            <w:hideMark/>
          </w:tcPr>
          <w:p w14:paraId="5FEEFC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40" w:type="dxa"/>
            <w:vMerge/>
            <w:tcBorders>
              <w:top w:val="nil"/>
              <w:left w:val="single" w:sz="8" w:space="0" w:color="auto"/>
              <w:bottom w:val="single" w:sz="8" w:space="0" w:color="000000"/>
              <w:right w:val="single" w:sz="8" w:space="0" w:color="auto"/>
            </w:tcBorders>
            <w:vAlign w:val="center"/>
            <w:hideMark/>
          </w:tcPr>
          <w:p w14:paraId="5FEEFC65" w14:textId="77777777" w:rsidR="00D845EC" w:rsidRPr="00795698" w:rsidRDefault="00D845EC" w:rsidP="00D845EC">
            <w:pPr>
              <w:rPr>
                <w:rFonts w:ascii="Arial" w:hAnsi="Arial" w:cs="Arial"/>
                <w:b/>
                <w:bCs/>
                <w:color w:val="000000"/>
                <w:sz w:val="6"/>
                <w:szCs w:val="6"/>
                <w:lang w:eastAsia="sq-AL"/>
              </w:rPr>
            </w:pPr>
          </w:p>
        </w:tc>
      </w:tr>
      <w:tr w:rsidR="00D845EC" w:rsidRPr="00795698" w14:paraId="5FEEFC82" w14:textId="77777777" w:rsidTr="00D845EC">
        <w:trPr>
          <w:trHeight w:val="180"/>
        </w:trPr>
        <w:tc>
          <w:tcPr>
            <w:tcW w:w="164" w:type="dxa"/>
            <w:vMerge/>
            <w:tcBorders>
              <w:top w:val="nil"/>
              <w:left w:val="single" w:sz="8" w:space="0" w:color="auto"/>
              <w:bottom w:val="single" w:sz="8" w:space="0" w:color="000000"/>
              <w:right w:val="single" w:sz="8" w:space="0" w:color="auto"/>
            </w:tcBorders>
            <w:vAlign w:val="center"/>
            <w:hideMark/>
          </w:tcPr>
          <w:p w14:paraId="5FEEFC67"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nil"/>
              <w:bottom w:val="single" w:sz="8" w:space="0" w:color="000000"/>
              <w:right w:val="nil"/>
            </w:tcBorders>
            <w:vAlign w:val="center"/>
            <w:hideMark/>
          </w:tcPr>
          <w:p w14:paraId="5FEEFC68" w14:textId="77777777" w:rsidR="00D845EC" w:rsidRPr="00795698" w:rsidRDefault="00D845EC" w:rsidP="00D845EC">
            <w:pPr>
              <w:rPr>
                <w:rFonts w:ascii="Arial" w:hAnsi="Arial" w:cs="Arial"/>
                <w:b/>
                <w:bCs/>
                <w:color w:val="000000"/>
                <w:sz w:val="6"/>
                <w:szCs w:val="6"/>
                <w:lang w:eastAsia="sq-AL"/>
              </w:rPr>
            </w:pPr>
          </w:p>
        </w:tc>
        <w:tc>
          <w:tcPr>
            <w:tcW w:w="350" w:type="dxa"/>
            <w:vMerge/>
            <w:tcBorders>
              <w:top w:val="nil"/>
              <w:left w:val="single" w:sz="8" w:space="0" w:color="auto"/>
              <w:bottom w:val="single" w:sz="8" w:space="0" w:color="000000"/>
              <w:right w:val="single" w:sz="8" w:space="0" w:color="auto"/>
            </w:tcBorders>
            <w:vAlign w:val="center"/>
            <w:hideMark/>
          </w:tcPr>
          <w:p w14:paraId="5FEEFC69" w14:textId="77777777" w:rsidR="00D845EC" w:rsidRPr="00795698" w:rsidRDefault="00D845EC" w:rsidP="00D845EC">
            <w:pPr>
              <w:rPr>
                <w:rFonts w:ascii="Arial" w:hAnsi="Arial" w:cs="Arial"/>
                <w:color w:val="000000"/>
                <w:sz w:val="6"/>
                <w:szCs w:val="6"/>
                <w:lang w:eastAsia="sq-AL"/>
              </w:rPr>
            </w:pPr>
          </w:p>
        </w:tc>
        <w:tc>
          <w:tcPr>
            <w:tcW w:w="458" w:type="dxa"/>
            <w:vMerge/>
            <w:tcBorders>
              <w:top w:val="nil"/>
              <w:left w:val="nil"/>
              <w:bottom w:val="single" w:sz="8" w:space="0" w:color="000000"/>
              <w:right w:val="single" w:sz="4" w:space="0" w:color="auto"/>
            </w:tcBorders>
            <w:vAlign w:val="center"/>
            <w:hideMark/>
          </w:tcPr>
          <w:p w14:paraId="5FEEFC6A" w14:textId="77777777" w:rsidR="00D845EC" w:rsidRPr="00795698" w:rsidRDefault="00D845EC" w:rsidP="00D845EC">
            <w:pPr>
              <w:rPr>
                <w:rFonts w:ascii="Arial" w:hAnsi="Arial" w:cs="Arial"/>
                <w:b/>
                <w:bCs/>
                <w:color w:val="000000"/>
                <w:sz w:val="6"/>
                <w:szCs w:val="6"/>
                <w:lang w:eastAsia="sq-AL"/>
              </w:rPr>
            </w:pPr>
          </w:p>
        </w:tc>
        <w:tc>
          <w:tcPr>
            <w:tcW w:w="1442" w:type="dxa"/>
            <w:vMerge/>
            <w:tcBorders>
              <w:top w:val="nil"/>
              <w:left w:val="single" w:sz="4" w:space="0" w:color="auto"/>
              <w:bottom w:val="single" w:sz="8" w:space="0" w:color="000000"/>
              <w:right w:val="single" w:sz="4" w:space="0" w:color="auto"/>
            </w:tcBorders>
            <w:vAlign w:val="center"/>
            <w:hideMark/>
          </w:tcPr>
          <w:p w14:paraId="5FEEFC6B" w14:textId="77777777" w:rsidR="00D845EC" w:rsidRPr="00795698" w:rsidRDefault="00D845EC" w:rsidP="00D845EC">
            <w:pPr>
              <w:rPr>
                <w:rFonts w:ascii="Arial" w:hAnsi="Arial" w:cs="Arial"/>
                <w:b/>
                <w:bCs/>
                <w:color w:val="000000"/>
                <w:sz w:val="6"/>
                <w:szCs w:val="6"/>
                <w:lang w:eastAsia="sq-AL"/>
              </w:rPr>
            </w:pPr>
          </w:p>
        </w:tc>
        <w:tc>
          <w:tcPr>
            <w:tcW w:w="201" w:type="dxa"/>
            <w:vMerge/>
            <w:tcBorders>
              <w:top w:val="nil"/>
              <w:left w:val="single" w:sz="4" w:space="0" w:color="auto"/>
              <w:bottom w:val="single" w:sz="8" w:space="0" w:color="000000"/>
              <w:right w:val="single" w:sz="4" w:space="0" w:color="auto"/>
            </w:tcBorders>
            <w:vAlign w:val="center"/>
            <w:hideMark/>
          </w:tcPr>
          <w:p w14:paraId="5FEEFC6C" w14:textId="77777777" w:rsidR="00D845EC" w:rsidRPr="00795698" w:rsidRDefault="00D845EC" w:rsidP="00D845EC">
            <w:pPr>
              <w:rPr>
                <w:rFonts w:ascii="Arial" w:hAnsi="Arial" w:cs="Arial"/>
                <w:b/>
                <w:bCs/>
                <w:color w:val="000000"/>
                <w:sz w:val="6"/>
                <w:szCs w:val="6"/>
                <w:lang w:eastAsia="sq-AL"/>
              </w:rPr>
            </w:pPr>
          </w:p>
        </w:tc>
        <w:tc>
          <w:tcPr>
            <w:tcW w:w="254" w:type="dxa"/>
            <w:vMerge/>
            <w:tcBorders>
              <w:top w:val="nil"/>
              <w:left w:val="single" w:sz="4" w:space="0" w:color="auto"/>
              <w:bottom w:val="single" w:sz="8" w:space="0" w:color="000000"/>
              <w:right w:val="single" w:sz="8" w:space="0" w:color="auto"/>
            </w:tcBorders>
            <w:vAlign w:val="center"/>
            <w:hideMark/>
          </w:tcPr>
          <w:p w14:paraId="5FEEFC6D" w14:textId="77777777" w:rsidR="00D845EC" w:rsidRPr="00795698" w:rsidRDefault="00D845EC" w:rsidP="00D845EC">
            <w:pPr>
              <w:rPr>
                <w:rFonts w:ascii="Arial" w:hAnsi="Arial" w:cs="Arial"/>
                <w:b/>
                <w:bCs/>
                <w:color w:val="000000"/>
                <w:sz w:val="6"/>
                <w:szCs w:val="6"/>
                <w:lang w:eastAsia="sq-AL"/>
              </w:rPr>
            </w:pPr>
          </w:p>
        </w:tc>
        <w:tc>
          <w:tcPr>
            <w:tcW w:w="30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FEEFC6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8" w:space="0" w:color="auto"/>
              <w:left w:val="nil"/>
              <w:bottom w:val="single" w:sz="8" w:space="0" w:color="auto"/>
              <w:right w:val="single" w:sz="8" w:space="0" w:color="auto"/>
            </w:tcBorders>
            <w:shd w:val="clear" w:color="auto" w:fill="auto"/>
            <w:vAlign w:val="center"/>
            <w:hideMark/>
          </w:tcPr>
          <w:p w14:paraId="5FEEFC6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single" w:sz="8" w:space="0" w:color="auto"/>
              <w:left w:val="nil"/>
              <w:bottom w:val="single" w:sz="8" w:space="0" w:color="auto"/>
              <w:right w:val="single" w:sz="8" w:space="0" w:color="auto"/>
            </w:tcBorders>
            <w:shd w:val="clear" w:color="auto" w:fill="auto"/>
            <w:vAlign w:val="center"/>
            <w:hideMark/>
          </w:tcPr>
          <w:p w14:paraId="5FEEFC7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single" w:sz="8" w:space="0" w:color="auto"/>
              <w:left w:val="nil"/>
              <w:bottom w:val="single" w:sz="8" w:space="0" w:color="auto"/>
              <w:right w:val="single" w:sz="8" w:space="0" w:color="auto"/>
            </w:tcBorders>
            <w:shd w:val="clear" w:color="auto" w:fill="auto"/>
            <w:vAlign w:val="center"/>
            <w:hideMark/>
          </w:tcPr>
          <w:p w14:paraId="5FEEFC7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8" w:space="0" w:color="auto"/>
              <w:left w:val="nil"/>
              <w:bottom w:val="single" w:sz="8" w:space="0" w:color="auto"/>
              <w:right w:val="single" w:sz="8" w:space="0" w:color="auto"/>
            </w:tcBorders>
            <w:shd w:val="clear" w:color="auto" w:fill="auto"/>
            <w:vAlign w:val="center"/>
            <w:hideMark/>
          </w:tcPr>
          <w:p w14:paraId="5FEEFC7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single" w:sz="8" w:space="0" w:color="auto"/>
              <w:left w:val="nil"/>
              <w:bottom w:val="single" w:sz="8" w:space="0" w:color="auto"/>
              <w:right w:val="single" w:sz="8" w:space="0" w:color="auto"/>
            </w:tcBorders>
            <w:shd w:val="clear" w:color="auto" w:fill="auto"/>
            <w:vAlign w:val="center"/>
            <w:hideMark/>
          </w:tcPr>
          <w:p w14:paraId="5FEEFC7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single" w:sz="8" w:space="0" w:color="auto"/>
              <w:left w:val="nil"/>
              <w:bottom w:val="single" w:sz="8" w:space="0" w:color="auto"/>
              <w:right w:val="single" w:sz="8" w:space="0" w:color="auto"/>
            </w:tcBorders>
            <w:shd w:val="clear" w:color="auto" w:fill="auto"/>
            <w:vAlign w:val="center"/>
            <w:hideMark/>
          </w:tcPr>
          <w:p w14:paraId="5FEEFC7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8" w:space="0" w:color="auto"/>
              <w:left w:val="nil"/>
              <w:bottom w:val="single" w:sz="8" w:space="0" w:color="auto"/>
              <w:right w:val="single" w:sz="8" w:space="0" w:color="auto"/>
            </w:tcBorders>
            <w:shd w:val="clear" w:color="auto" w:fill="auto"/>
            <w:vAlign w:val="center"/>
            <w:hideMark/>
          </w:tcPr>
          <w:p w14:paraId="5FEEFC7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single" w:sz="8" w:space="0" w:color="auto"/>
              <w:left w:val="nil"/>
              <w:bottom w:val="single" w:sz="8" w:space="0" w:color="auto"/>
              <w:right w:val="single" w:sz="8" w:space="0" w:color="auto"/>
            </w:tcBorders>
            <w:shd w:val="clear" w:color="auto" w:fill="auto"/>
            <w:vAlign w:val="center"/>
            <w:hideMark/>
          </w:tcPr>
          <w:p w14:paraId="5FEEFC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single" w:sz="8" w:space="0" w:color="auto"/>
              <w:left w:val="nil"/>
              <w:bottom w:val="single" w:sz="8" w:space="0" w:color="auto"/>
              <w:right w:val="single" w:sz="8" w:space="0" w:color="auto"/>
            </w:tcBorders>
            <w:shd w:val="clear" w:color="auto" w:fill="auto"/>
            <w:vAlign w:val="center"/>
            <w:hideMark/>
          </w:tcPr>
          <w:p w14:paraId="5FEEFC7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8" w:space="0" w:color="auto"/>
              <w:left w:val="nil"/>
              <w:bottom w:val="single" w:sz="8" w:space="0" w:color="auto"/>
              <w:right w:val="single" w:sz="8" w:space="0" w:color="auto"/>
            </w:tcBorders>
            <w:shd w:val="clear" w:color="auto" w:fill="auto"/>
            <w:vAlign w:val="center"/>
            <w:hideMark/>
          </w:tcPr>
          <w:p w14:paraId="5FEEFC7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single" w:sz="8" w:space="0" w:color="auto"/>
              <w:left w:val="nil"/>
              <w:bottom w:val="single" w:sz="8" w:space="0" w:color="auto"/>
              <w:right w:val="single" w:sz="8" w:space="0" w:color="auto"/>
            </w:tcBorders>
            <w:shd w:val="clear" w:color="auto" w:fill="auto"/>
            <w:vAlign w:val="center"/>
            <w:hideMark/>
          </w:tcPr>
          <w:p w14:paraId="5FEEFC7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single" w:sz="8" w:space="0" w:color="auto"/>
              <w:left w:val="nil"/>
              <w:bottom w:val="single" w:sz="8" w:space="0" w:color="auto"/>
              <w:right w:val="single" w:sz="8" w:space="0" w:color="auto"/>
            </w:tcBorders>
            <w:shd w:val="clear" w:color="auto" w:fill="auto"/>
            <w:vAlign w:val="center"/>
            <w:hideMark/>
          </w:tcPr>
          <w:p w14:paraId="5FEEFC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8" w:space="0" w:color="auto"/>
              <w:left w:val="nil"/>
              <w:bottom w:val="single" w:sz="8" w:space="0" w:color="auto"/>
              <w:right w:val="single" w:sz="8" w:space="0" w:color="auto"/>
            </w:tcBorders>
            <w:shd w:val="clear" w:color="auto" w:fill="auto"/>
            <w:vAlign w:val="center"/>
            <w:hideMark/>
          </w:tcPr>
          <w:p w14:paraId="5FEEFC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single" w:sz="8" w:space="0" w:color="auto"/>
              <w:left w:val="nil"/>
              <w:bottom w:val="single" w:sz="8" w:space="0" w:color="auto"/>
              <w:right w:val="single" w:sz="8" w:space="0" w:color="auto"/>
            </w:tcBorders>
            <w:shd w:val="clear" w:color="auto" w:fill="auto"/>
            <w:vAlign w:val="center"/>
            <w:hideMark/>
          </w:tcPr>
          <w:p w14:paraId="5FEEFC7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218" w:type="dxa"/>
            <w:tcBorders>
              <w:top w:val="single" w:sz="8" w:space="0" w:color="auto"/>
              <w:left w:val="nil"/>
              <w:bottom w:val="single" w:sz="8" w:space="0" w:color="auto"/>
              <w:right w:val="single" w:sz="8" w:space="0" w:color="auto"/>
            </w:tcBorders>
            <w:shd w:val="clear" w:color="auto" w:fill="auto"/>
            <w:vAlign w:val="center"/>
            <w:hideMark/>
          </w:tcPr>
          <w:p w14:paraId="5FEEFC7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8" w:space="0" w:color="auto"/>
              <w:left w:val="nil"/>
              <w:bottom w:val="single" w:sz="8" w:space="0" w:color="auto"/>
              <w:right w:val="single" w:sz="8" w:space="0" w:color="auto"/>
            </w:tcBorders>
            <w:shd w:val="clear" w:color="auto" w:fill="auto"/>
            <w:vAlign w:val="center"/>
            <w:hideMark/>
          </w:tcPr>
          <w:p w14:paraId="5FEEFC7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34" w:type="dxa"/>
            <w:tcBorders>
              <w:top w:val="single" w:sz="8" w:space="0" w:color="auto"/>
              <w:left w:val="nil"/>
              <w:bottom w:val="single" w:sz="8" w:space="0" w:color="auto"/>
              <w:right w:val="single" w:sz="8" w:space="0" w:color="auto"/>
            </w:tcBorders>
            <w:shd w:val="clear" w:color="auto" w:fill="auto"/>
            <w:vAlign w:val="center"/>
            <w:hideMark/>
          </w:tcPr>
          <w:p w14:paraId="5FEEFC7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49" w:type="dxa"/>
            <w:tcBorders>
              <w:top w:val="single" w:sz="8" w:space="0" w:color="auto"/>
              <w:left w:val="nil"/>
              <w:bottom w:val="single" w:sz="8" w:space="0" w:color="auto"/>
              <w:right w:val="single" w:sz="8" w:space="0" w:color="auto"/>
            </w:tcBorders>
            <w:shd w:val="clear" w:color="auto" w:fill="auto"/>
            <w:vAlign w:val="center"/>
            <w:hideMark/>
          </w:tcPr>
          <w:p w14:paraId="5FEEFC8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40" w:type="dxa"/>
            <w:vMerge/>
            <w:tcBorders>
              <w:top w:val="nil"/>
              <w:left w:val="single" w:sz="8" w:space="0" w:color="auto"/>
              <w:bottom w:val="single" w:sz="8" w:space="0" w:color="000000"/>
              <w:right w:val="single" w:sz="8" w:space="0" w:color="auto"/>
            </w:tcBorders>
            <w:vAlign w:val="center"/>
            <w:hideMark/>
          </w:tcPr>
          <w:p w14:paraId="5FEEFC81" w14:textId="77777777" w:rsidR="00D845EC" w:rsidRPr="00795698" w:rsidRDefault="00D845EC" w:rsidP="00D845EC">
            <w:pPr>
              <w:rPr>
                <w:rFonts w:ascii="Arial" w:hAnsi="Arial" w:cs="Arial"/>
                <w:b/>
                <w:bCs/>
                <w:color w:val="000000"/>
                <w:sz w:val="6"/>
                <w:szCs w:val="6"/>
                <w:lang w:eastAsia="sq-AL"/>
              </w:rPr>
            </w:pPr>
          </w:p>
        </w:tc>
      </w:tr>
      <w:tr w:rsidR="00D845EC" w:rsidRPr="00795698" w14:paraId="5FEEFC9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C8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w:t>
            </w:r>
          </w:p>
        </w:tc>
        <w:tc>
          <w:tcPr>
            <w:tcW w:w="814" w:type="dxa"/>
            <w:tcBorders>
              <w:top w:val="nil"/>
              <w:left w:val="nil"/>
              <w:bottom w:val="single" w:sz="4" w:space="0" w:color="auto"/>
              <w:right w:val="single" w:sz="4" w:space="0" w:color="auto"/>
            </w:tcBorders>
            <w:shd w:val="clear" w:color="auto" w:fill="auto"/>
            <w:vAlign w:val="center"/>
            <w:hideMark/>
          </w:tcPr>
          <w:p w14:paraId="5FEEFC84"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PARANDALIMI I TERRORIZMIT</w:t>
            </w:r>
          </w:p>
        </w:tc>
        <w:tc>
          <w:tcPr>
            <w:tcW w:w="350" w:type="dxa"/>
            <w:tcBorders>
              <w:top w:val="nil"/>
              <w:left w:val="nil"/>
              <w:bottom w:val="single" w:sz="4" w:space="0" w:color="auto"/>
              <w:right w:val="single" w:sz="4" w:space="0" w:color="auto"/>
            </w:tcBorders>
            <w:shd w:val="clear" w:color="auto" w:fill="auto"/>
            <w:vAlign w:val="center"/>
            <w:hideMark/>
          </w:tcPr>
          <w:p w14:paraId="5FEEFC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C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C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C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C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C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C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EFC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vAlign w:val="center"/>
            <w:hideMark/>
          </w:tcPr>
          <w:p w14:paraId="5FEEFC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CB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C9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EFCA0" w14:textId="07561A29"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r w:rsidR="007C064A" w:rsidRPr="00795698">
              <w:rPr>
                <w:rFonts w:ascii="Arial" w:hAnsi="Arial" w:cs="Arial"/>
                <w:b/>
                <w:bCs/>
                <w:i/>
                <w:iCs/>
                <w:color w:val="0066CC"/>
                <w:sz w:val="6"/>
                <w:szCs w:val="6"/>
                <w:lang w:eastAsia="sq-AL"/>
              </w:rPr>
              <w:t xml:space="preserve"> </w:t>
            </w:r>
          </w:p>
        </w:tc>
        <w:tc>
          <w:tcPr>
            <w:tcW w:w="350" w:type="dxa"/>
            <w:tcBorders>
              <w:top w:val="nil"/>
              <w:left w:val="nil"/>
              <w:bottom w:val="single" w:sz="4" w:space="0" w:color="auto"/>
              <w:right w:val="single" w:sz="4" w:space="0" w:color="auto"/>
            </w:tcBorders>
            <w:shd w:val="clear" w:color="auto" w:fill="auto"/>
            <w:vAlign w:val="center"/>
            <w:hideMark/>
          </w:tcPr>
          <w:p w14:paraId="5FEEFC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C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C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C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C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C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C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C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C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C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EFC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vAlign w:val="center"/>
            <w:hideMark/>
          </w:tcPr>
          <w:p w14:paraId="5FEEFC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CD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CB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w:t>
            </w:r>
          </w:p>
        </w:tc>
        <w:tc>
          <w:tcPr>
            <w:tcW w:w="814" w:type="dxa"/>
            <w:tcBorders>
              <w:top w:val="nil"/>
              <w:left w:val="nil"/>
              <w:bottom w:val="single" w:sz="4" w:space="0" w:color="auto"/>
              <w:right w:val="single" w:sz="4" w:space="0" w:color="auto"/>
            </w:tcBorders>
            <w:shd w:val="clear" w:color="auto" w:fill="auto"/>
            <w:vAlign w:val="center"/>
            <w:hideMark/>
          </w:tcPr>
          <w:p w14:paraId="5FEEFCBC"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hetimeve proaktive për parandalimin e akteve të mundshme terroriste, ndaj grupeve dhe individëve ekstremistë që nxisin dhe mbështesin dhunën</w:t>
            </w:r>
          </w:p>
        </w:tc>
        <w:tc>
          <w:tcPr>
            <w:tcW w:w="350" w:type="dxa"/>
            <w:tcBorders>
              <w:top w:val="nil"/>
              <w:left w:val="nil"/>
              <w:bottom w:val="single" w:sz="4" w:space="0" w:color="auto"/>
              <w:right w:val="single" w:sz="4" w:space="0" w:color="auto"/>
            </w:tcBorders>
            <w:shd w:val="clear" w:color="000000" w:fill="FFFFFF"/>
            <w:vAlign w:val="center"/>
            <w:hideMark/>
          </w:tcPr>
          <w:p w14:paraId="5FEEFC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C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EFC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MM/AISM/SPAK/MFE/ DPPPP/MD/DPB</w:t>
            </w:r>
          </w:p>
        </w:tc>
        <w:tc>
          <w:tcPr>
            <w:tcW w:w="201" w:type="dxa"/>
            <w:tcBorders>
              <w:top w:val="nil"/>
              <w:left w:val="nil"/>
              <w:bottom w:val="single" w:sz="4" w:space="0" w:color="auto"/>
              <w:right w:val="single" w:sz="4" w:space="0" w:color="auto"/>
            </w:tcBorders>
            <w:shd w:val="clear" w:color="auto" w:fill="auto"/>
            <w:vAlign w:val="center"/>
            <w:hideMark/>
          </w:tcPr>
          <w:p w14:paraId="5FEEFCC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CC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C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12,000,000</w:t>
            </w:r>
          </w:p>
        </w:tc>
        <w:tc>
          <w:tcPr>
            <w:tcW w:w="228" w:type="dxa"/>
            <w:tcBorders>
              <w:top w:val="nil"/>
              <w:left w:val="nil"/>
              <w:bottom w:val="single" w:sz="4" w:space="0" w:color="auto"/>
              <w:right w:val="single" w:sz="4" w:space="0" w:color="auto"/>
            </w:tcBorders>
            <w:shd w:val="clear" w:color="000000" w:fill="FFFFFF"/>
            <w:vAlign w:val="center"/>
            <w:hideMark/>
          </w:tcPr>
          <w:p w14:paraId="5FEEFC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12,000,000</w:t>
            </w:r>
          </w:p>
        </w:tc>
        <w:tc>
          <w:tcPr>
            <w:tcW w:w="303" w:type="dxa"/>
            <w:tcBorders>
              <w:top w:val="nil"/>
              <w:left w:val="nil"/>
              <w:bottom w:val="single" w:sz="4" w:space="0" w:color="auto"/>
              <w:right w:val="single" w:sz="4" w:space="0" w:color="auto"/>
            </w:tcBorders>
            <w:shd w:val="clear" w:color="000000" w:fill="FFFFFF"/>
            <w:vAlign w:val="center"/>
            <w:hideMark/>
          </w:tcPr>
          <w:p w14:paraId="5FEEFC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12,000,000</w:t>
            </w:r>
          </w:p>
        </w:tc>
        <w:tc>
          <w:tcPr>
            <w:tcW w:w="228" w:type="dxa"/>
            <w:tcBorders>
              <w:top w:val="nil"/>
              <w:left w:val="nil"/>
              <w:bottom w:val="single" w:sz="4" w:space="0" w:color="auto"/>
              <w:right w:val="single" w:sz="4" w:space="0" w:color="auto"/>
            </w:tcBorders>
            <w:shd w:val="clear" w:color="000000" w:fill="FFFFFF"/>
            <w:vAlign w:val="center"/>
            <w:hideMark/>
          </w:tcPr>
          <w:p w14:paraId="5FEEFC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12,000,000</w:t>
            </w:r>
          </w:p>
        </w:tc>
        <w:tc>
          <w:tcPr>
            <w:tcW w:w="303" w:type="dxa"/>
            <w:tcBorders>
              <w:top w:val="nil"/>
              <w:left w:val="nil"/>
              <w:bottom w:val="single" w:sz="4" w:space="0" w:color="auto"/>
              <w:right w:val="single" w:sz="4" w:space="0" w:color="auto"/>
            </w:tcBorders>
            <w:shd w:val="clear" w:color="000000" w:fill="FFFFFF"/>
            <w:vAlign w:val="center"/>
            <w:hideMark/>
          </w:tcPr>
          <w:p w14:paraId="5FEEFC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12,000,000</w:t>
            </w:r>
          </w:p>
        </w:tc>
        <w:tc>
          <w:tcPr>
            <w:tcW w:w="228" w:type="dxa"/>
            <w:tcBorders>
              <w:top w:val="nil"/>
              <w:left w:val="nil"/>
              <w:bottom w:val="single" w:sz="4" w:space="0" w:color="auto"/>
              <w:right w:val="single" w:sz="4" w:space="0" w:color="auto"/>
            </w:tcBorders>
            <w:shd w:val="clear" w:color="000000" w:fill="FFFFFF"/>
            <w:vAlign w:val="center"/>
            <w:hideMark/>
          </w:tcPr>
          <w:p w14:paraId="5FEEFC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12,000,000</w:t>
            </w:r>
          </w:p>
        </w:tc>
        <w:tc>
          <w:tcPr>
            <w:tcW w:w="345" w:type="dxa"/>
            <w:tcBorders>
              <w:top w:val="nil"/>
              <w:left w:val="nil"/>
              <w:bottom w:val="single" w:sz="4" w:space="0" w:color="auto"/>
              <w:right w:val="single" w:sz="4" w:space="0" w:color="auto"/>
            </w:tcBorders>
            <w:shd w:val="clear" w:color="000000" w:fill="FFFFFF"/>
            <w:vAlign w:val="center"/>
            <w:hideMark/>
          </w:tcPr>
          <w:p w14:paraId="5FEEFC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36,000,000</w:t>
            </w:r>
          </w:p>
        </w:tc>
        <w:tc>
          <w:tcPr>
            <w:tcW w:w="228" w:type="dxa"/>
            <w:tcBorders>
              <w:top w:val="nil"/>
              <w:left w:val="nil"/>
              <w:bottom w:val="single" w:sz="4" w:space="0" w:color="auto"/>
              <w:right w:val="single" w:sz="4" w:space="0" w:color="auto"/>
            </w:tcBorders>
            <w:shd w:val="clear" w:color="000000" w:fill="FFFFFF"/>
            <w:vAlign w:val="center"/>
            <w:hideMark/>
          </w:tcPr>
          <w:p w14:paraId="5FEEFC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C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36,000,000</w:t>
            </w:r>
          </w:p>
        </w:tc>
        <w:tc>
          <w:tcPr>
            <w:tcW w:w="345" w:type="dxa"/>
            <w:tcBorders>
              <w:top w:val="nil"/>
              <w:left w:val="nil"/>
              <w:bottom w:val="single" w:sz="4" w:space="0" w:color="auto"/>
              <w:right w:val="single" w:sz="4" w:space="0" w:color="auto"/>
            </w:tcBorders>
            <w:shd w:val="clear" w:color="000000" w:fill="FFFFFF"/>
            <w:vAlign w:val="center"/>
            <w:hideMark/>
          </w:tcPr>
          <w:p w14:paraId="5FEEFC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36,000,000</w:t>
            </w:r>
          </w:p>
        </w:tc>
        <w:tc>
          <w:tcPr>
            <w:tcW w:w="228" w:type="dxa"/>
            <w:tcBorders>
              <w:top w:val="nil"/>
              <w:left w:val="nil"/>
              <w:bottom w:val="single" w:sz="4" w:space="0" w:color="auto"/>
              <w:right w:val="single" w:sz="4" w:space="0" w:color="auto"/>
            </w:tcBorders>
            <w:shd w:val="clear" w:color="000000" w:fill="FFFFFF"/>
            <w:vAlign w:val="center"/>
            <w:hideMark/>
          </w:tcPr>
          <w:p w14:paraId="5FEEFC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C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36,000,000</w:t>
            </w:r>
          </w:p>
        </w:tc>
        <w:tc>
          <w:tcPr>
            <w:tcW w:w="218" w:type="dxa"/>
            <w:tcBorders>
              <w:top w:val="nil"/>
              <w:left w:val="nil"/>
              <w:bottom w:val="single" w:sz="4" w:space="0" w:color="auto"/>
              <w:right w:val="single" w:sz="4" w:space="0" w:color="auto"/>
            </w:tcBorders>
            <w:shd w:val="clear" w:color="000000" w:fill="FFFFFF"/>
            <w:vAlign w:val="center"/>
            <w:hideMark/>
          </w:tcPr>
          <w:p w14:paraId="5FEEFC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C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C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C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C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CF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CD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w:t>
            </w:r>
          </w:p>
        </w:tc>
        <w:tc>
          <w:tcPr>
            <w:tcW w:w="814" w:type="dxa"/>
            <w:tcBorders>
              <w:top w:val="nil"/>
              <w:left w:val="nil"/>
              <w:bottom w:val="single" w:sz="4" w:space="0" w:color="auto"/>
              <w:right w:val="single" w:sz="4" w:space="0" w:color="auto"/>
            </w:tcBorders>
            <w:shd w:val="clear" w:color="auto" w:fill="auto"/>
            <w:vAlign w:val="center"/>
            <w:hideMark/>
          </w:tcPr>
          <w:p w14:paraId="5FEEFCD8"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trajnimeve bashkëkohore të strukturave antiterror në bashkëpunim me partnerët ndërkombëtarë, mbi teknologjitë dhe sistemet e reja për përdorimin e metodave speciale të hetimit</w:t>
            </w:r>
          </w:p>
        </w:tc>
        <w:tc>
          <w:tcPr>
            <w:tcW w:w="350" w:type="dxa"/>
            <w:tcBorders>
              <w:top w:val="nil"/>
              <w:left w:val="nil"/>
              <w:bottom w:val="single" w:sz="4" w:space="0" w:color="auto"/>
              <w:right w:val="single" w:sz="4" w:space="0" w:color="auto"/>
            </w:tcBorders>
            <w:shd w:val="clear" w:color="000000" w:fill="FFFFFF"/>
            <w:vAlign w:val="center"/>
            <w:hideMark/>
          </w:tcPr>
          <w:p w14:paraId="5FEEFC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C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EFC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SHISH/MM/AISM/SPAK/MFE/ DPPPP/MD/DPB</w:t>
            </w:r>
          </w:p>
        </w:tc>
        <w:tc>
          <w:tcPr>
            <w:tcW w:w="201" w:type="dxa"/>
            <w:tcBorders>
              <w:top w:val="nil"/>
              <w:left w:val="nil"/>
              <w:bottom w:val="single" w:sz="4" w:space="0" w:color="auto"/>
              <w:right w:val="single" w:sz="4" w:space="0" w:color="auto"/>
            </w:tcBorders>
            <w:shd w:val="clear" w:color="auto" w:fill="auto"/>
            <w:vAlign w:val="center"/>
            <w:hideMark/>
          </w:tcPr>
          <w:p w14:paraId="5FEEFCD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CD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C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EFC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303" w:type="dxa"/>
            <w:tcBorders>
              <w:top w:val="nil"/>
              <w:left w:val="nil"/>
              <w:bottom w:val="single" w:sz="4" w:space="0" w:color="auto"/>
              <w:right w:val="single" w:sz="4" w:space="0" w:color="auto"/>
            </w:tcBorders>
            <w:shd w:val="clear" w:color="000000" w:fill="FFFFFF"/>
            <w:vAlign w:val="center"/>
            <w:hideMark/>
          </w:tcPr>
          <w:p w14:paraId="5FEEFC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EFC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303" w:type="dxa"/>
            <w:tcBorders>
              <w:top w:val="nil"/>
              <w:left w:val="nil"/>
              <w:bottom w:val="single" w:sz="4" w:space="0" w:color="auto"/>
              <w:right w:val="single" w:sz="4" w:space="0" w:color="auto"/>
            </w:tcBorders>
            <w:shd w:val="clear" w:color="000000" w:fill="FFFFFF"/>
            <w:vAlign w:val="center"/>
            <w:hideMark/>
          </w:tcPr>
          <w:p w14:paraId="5FEEFC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EFC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5FEEFC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18,000,000</w:t>
            </w:r>
          </w:p>
        </w:tc>
        <w:tc>
          <w:tcPr>
            <w:tcW w:w="228" w:type="dxa"/>
            <w:tcBorders>
              <w:top w:val="nil"/>
              <w:left w:val="nil"/>
              <w:bottom w:val="single" w:sz="4" w:space="0" w:color="auto"/>
              <w:right w:val="single" w:sz="4" w:space="0" w:color="auto"/>
            </w:tcBorders>
            <w:shd w:val="clear" w:color="000000" w:fill="FFFFFF"/>
            <w:vAlign w:val="center"/>
            <w:hideMark/>
          </w:tcPr>
          <w:p w14:paraId="5FEEFC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C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18,000,000</w:t>
            </w:r>
          </w:p>
        </w:tc>
        <w:tc>
          <w:tcPr>
            <w:tcW w:w="345" w:type="dxa"/>
            <w:tcBorders>
              <w:top w:val="nil"/>
              <w:left w:val="nil"/>
              <w:bottom w:val="single" w:sz="4" w:space="0" w:color="auto"/>
              <w:right w:val="single" w:sz="4" w:space="0" w:color="auto"/>
            </w:tcBorders>
            <w:shd w:val="clear" w:color="000000" w:fill="FFFFFF"/>
            <w:vAlign w:val="center"/>
            <w:hideMark/>
          </w:tcPr>
          <w:p w14:paraId="5FEEFC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18,000,000</w:t>
            </w:r>
          </w:p>
        </w:tc>
        <w:tc>
          <w:tcPr>
            <w:tcW w:w="228" w:type="dxa"/>
            <w:tcBorders>
              <w:top w:val="nil"/>
              <w:left w:val="nil"/>
              <w:bottom w:val="single" w:sz="4" w:space="0" w:color="auto"/>
              <w:right w:val="single" w:sz="4" w:space="0" w:color="auto"/>
            </w:tcBorders>
            <w:shd w:val="clear" w:color="000000" w:fill="FFFFFF"/>
            <w:vAlign w:val="center"/>
            <w:hideMark/>
          </w:tcPr>
          <w:p w14:paraId="5FEEFC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C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18,000,000</w:t>
            </w:r>
          </w:p>
        </w:tc>
        <w:tc>
          <w:tcPr>
            <w:tcW w:w="218" w:type="dxa"/>
            <w:tcBorders>
              <w:top w:val="nil"/>
              <w:left w:val="nil"/>
              <w:bottom w:val="single" w:sz="4" w:space="0" w:color="auto"/>
              <w:right w:val="single" w:sz="4" w:space="0" w:color="auto"/>
            </w:tcBorders>
            <w:shd w:val="clear" w:color="000000" w:fill="FFFFFF"/>
            <w:vAlign w:val="center"/>
            <w:hideMark/>
          </w:tcPr>
          <w:p w14:paraId="5FEEFC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C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C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C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C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D0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CF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1.1.3</w:t>
            </w:r>
          </w:p>
        </w:tc>
        <w:tc>
          <w:tcPr>
            <w:tcW w:w="814" w:type="dxa"/>
            <w:tcBorders>
              <w:top w:val="nil"/>
              <w:left w:val="nil"/>
              <w:bottom w:val="single" w:sz="4" w:space="0" w:color="auto"/>
              <w:right w:val="single" w:sz="4" w:space="0" w:color="auto"/>
            </w:tcBorders>
            <w:shd w:val="clear" w:color="auto" w:fill="auto"/>
            <w:vAlign w:val="center"/>
            <w:hideMark/>
          </w:tcPr>
          <w:p w14:paraId="5FEEFCF4"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analizave të përbashkëta të institucioneve të gjurmimit, hetimit, lidhur me grupe kriminale dhe terroriste në hetim dhe të hetuara/gjykuara për terrorizëm</w:t>
            </w:r>
          </w:p>
        </w:tc>
        <w:tc>
          <w:tcPr>
            <w:tcW w:w="350" w:type="dxa"/>
            <w:tcBorders>
              <w:top w:val="nil"/>
              <w:left w:val="nil"/>
              <w:bottom w:val="single" w:sz="4" w:space="0" w:color="auto"/>
              <w:right w:val="single" w:sz="4" w:space="0" w:color="auto"/>
            </w:tcBorders>
            <w:shd w:val="clear" w:color="000000" w:fill="FFFFFF"/>
            <w:vAlign w:val="center"/>
            <w:hideMark/>
          </w:tcPr>
          <w:p w14:paraId="5FEEFC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C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EFC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MM/AISM/SPAK/MFE/ DPPPP/MD/DPB</w:t>
            </w:r>
          </w:p>
        </w:tc>
        <w:tc>
          <w:tcPr>
            <w:tcW w:w="201" w:type="dxa"/>
            <w:tcBorders>
              <w:top w:val="nil"/>
              <w:left w:val="nil"/>
              <w:bottom w:val="single" w:sz="4" w:space="0" w:color="auto"/>
              <w:right w:val="single" w:sz="4" w:space="0" w:color="auto"/>
            </w:tcBorders>
            <w:shd w:val="clear" w:color="auto" w:fill="auto"/>
            <w:vAlign w:val="center"/>
            <w:hideMark/>
          </w:tcPr>
          <w:p w14:paraId="5FEEFCF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CF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C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228" w:type="dxa"/>
            <w:tcBorders>
              <w:top w:val="nil"/>
              <w:left w:val="nil"/>
              <w:bottom w:val="single" w:sz="4" w:space="0" w:color="auto"/>
              <w:right w:val="single" w:sz="4" w:space="0" w:color="auto"/>
            </w:tcBorders>
            <w:shd w:val="clear" w:color="000000" w:fill="FFFFFF"/>
            <w:vAlign w:val="center"/>
            <w:hideMark/>
          </w:tcPr>
          <w:p w14:paraId="5FEEFC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303" w:type="dxa"/>
            <w:tcBorders>
              <w:top w:val="nil"/>
              <w:left w:val="nil"/>
              <w:bottom w:val="single" w:sz="4" w:space="0" w:color="auto"/>
              <w:right w:val="single" w:sz="4" w:space="0" w:color="auto"/>
            </w:tcBorders>
            <w:shd w:val="clear" w:color="000000" w:fill="FFFFFF"/>
            <w:vAlign w:val="center"/>
            <w:hideMark/>
          </w:tcPr>
          <w:p w14:paraId="5FEEFC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228" w:type="dxa"/>
            <w:tcBorders>
              <w:top w:val="nil"/>
              <w:left w:val="nil"/>
              <w:bottom w:val="single" w:sz="4" w:space="0" w:color="auto"/>
              <w:right w:val="single" w:sz="4" w:space="0" w:color="auto"/>
            </w:tcBorders>
            <w:shd w:val="clear" w:color="000000" w:fill="FFFFFF"/>
            <w:vAlign w:val="center"/>
            <w:hideMark/>
          </w:tcPr>
          <w:p w14:paraId="5FEEFC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C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303" w:type="dxa"/>
            <w:tcBorders>
              <w:top w:val="nil"/>
              <w:left w:val="nil"/>
              <w:bottom w:val="single" w:sz="4" w:space="0" w:color="auto"/>
              <w:right w:val="single" w:sz="4" w:space="0" w:color="auto"/>
            </w:tcBorders>
            <w:shd w:val="clear" w:color="000000" w:fill="FFFFFF"/>
            <w:vAlign w:val="center"/>
            <w:hideMark/>
          </w:tcPr>
          <w:p w14:paraId="5FEEFD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228" w:type="dxa"/>
            <w:tcBorders>
              <w:top w:val="nil"/>
              <w:left w:val="nil"/>
              <w:bottom w:val="single" w:sz="4" w:space="0" w:color="auto"/>
              <w:right w:val="single" w:sz="4" w:space="0" w:color="auto"/>
            </w:tcBorders>
            <w:shd w:val="clear" w:color="000000" w:fill="FFFFFF"/>
            <w:vAlign w:val="center"/>
            <w:hideMark/>
          </w:tcPr>
          <w:p w14:paraId="5FEEFD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345" w:type="dxa"/>
            <w:tcBorders>
              <w:top w:val="nil"/>
              <w:left w:val="nil"/>
              <w:bottom w:val="single" w:sz="4" w:space="0" w:color="auto"/>
              <w:right w:val="single" w:sz="4" w:space="0" w:color="auto"/>
            </w:tcBorders>
            <w:shd w:val="clear" w:color="000000" w:fill="FFFFFF"/>
            <w:vAlign w:val="center"/>
            <w:hideMark/>
          </w:tcPr>
          <w:p w14:paraId="5FEEFD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27,000,000</w:t>
            </w:r>
          </w:p>
        </w:tc>
        <w:tc>
          <w:tcPr>
            <w:tcW w:w="228" w:type="dxa"/>
            <w:tcBorders>
              <w:top w:val="nil"/>
              <w:left w:val="nil"/>
              <w:bottom w:val="single" w:sz="4" w:space="0" w:color="auto"/>
              <w:right w:val="single" w:sz="4" w:space="0" w:color="auto"/>
            </w:tcBorders>
            <w:shd w:val="clear" w:color="000000" w:fill="FFFFFF"/>
            <w:vAlign w:val="center"/>
            <w:hideMark/>
          </w:tcPr>
          <w:p w14:paraId="5FEEFD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27,000,000</w:t>
            </w:r>
          </w:p>
        </w:tc>
        <w:tc>
          <w:tcPr>
            <w:tcW w:w="345" w:type="dxa"/>
            <w:tcBorders>
              <w:top w:val="nil"/>
              <w:left w:val="nil"/>
              <w:bottom w:val="single" w:sz="4" w:space="0" w:color="auto"/>
              <w:right w:val="single" w:sz="4" w:space="0" w:color="auto"/>
            </w:tcBorders>
            <w:shd w:val="clear" w:color="000000" w:fill="FFFFFF"/>
            <w:vAlign w:val="center"/>
            <w:hideMark/>
          </w:tcPr>
          <w:p w14:paraId="5FEEFD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27,000,000</w:t>
            </w:r>
          </w:p>
        </w:tc>
        <w:tc>
          <w:tcPr>
            <w:tcW w:w="228" w:type="dxa"/>
            <w:tcBorders>
              <w:top w:val="nil"/>
              <w:left w:val="nil"/>
              <w:bottom w:val="single" w:sz="4" w:space="0" w:color="auto"/>
              <w:right w:val="single" w:sz="4" w:space="0" w:color="auto"/>
            </w:tcBorders>
            <w:shd w:val="clear" w:color="000000" w:fill="FFFFFF"/>
            <w:vAlign w:val="center"/>
            <w:hideMark/>
          </w:tcPr>
          <w:p w14:paraId="5FEEFD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27,000,000</w:t>
            </w:r>
          </w:p>
        </w:tc>
        <w:tc>
          <w:tcPr>
            <w:tcW w:w="218" w:type="dxa"/>
            <w:tcBorders>
              <w:top w:val="nil"/>
              <w:left w:val="nil"/>
              <w:bottom w:val="single" w:sz="4" w:space="0" w:color="auto"/>
              <w:right w:val="single" w:sz="4" w:space="0" w:color="auto"/>
            </w:tcBorders>
            <w:shd w:val="clear" w:color="000000" w:fill="FFFFFF"/>
            <w:vAlign w:val="center"/>
            <w:hideMark/>
          </w:tcPr>
          <w:p w14:paraId="5FEEFD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D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D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D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D2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0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1.1.4</w:t>
            </w:r>
          </w:p>
        </w:tc>
        <w:tc>
          <w:tcPr>
            <w:tcW w:w="814" w:type="dxa"/>
            <w:tcBorders>
              <w:top w:val="nil"/>
              <w:left w:val="nil"/>
              <w:bottom w:val="single" w:sz="4" w:space="0" w:color="auto"/>
              <w:right w:val="single" w:sz="4" w:space="0" w:color="auto"/>
            </w:tcBorders>
            <w:shd w:val="clear" w:color="auto" w:fill="auto"/>
            <w:vAlign w:val="center"/>
            <w:hideMark/>
          </w:tcPr>
          <w:p w14:paraId="5FEEFD10"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Vlerësimi i Kërcënimeve Lokale në vend-dislokimet e përhershme të FARSH, si instrumenti informues për Autoritetet e Drejtimit dhe Komandimit të FARSH</w:t>
            </w:r>
          </w:p>
        </w:tc>
        <w:tc>
          <w:tcPr>
            <w:tcW w:w="350" w:type="dxa"/>
            <w:tcBorders>
              <w:top w:val="nil"/>
              <w:left w:val="nil"/>
              <w:bottom w:val="single" w:sz="4" w:space="0" w:color="auto"/>
              <w:right w:val="single" w:sz="4" w:space="0" w:color="auto"/>
            </w:tcBorders>
            <w:shd w:val="clear" w:color="000000" w:fill="FFFFFF"/>
            <w:vAlign w:val="center"/>
            <w:hideMark/>
          </w:tcPr>
          <w:p w14:paraId="5FEEFD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000000" w:fill="FFFFFF"/>
            <w:vAlign w:val="center"/>
            <w:hideMark/>
          </w:tcPr>
          <w:p w14:paraId="5FEEFD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000000" w:fill="FFFFFF"/>
            <w:vAlign w:val="center"/>
            <w:hideMark/>
          </w:tcPr>
          <w:p w14:paraId="5FEEFD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D1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D1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D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D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03" w:type="dxa"/>
            <w:tcBorders>
              <w:top w:val="nil"/>
              <w:left w:val="nil"/>
              <w:bottom w:val="single" w:sz="4" w:space="0" w:color="auto"/>
              <w:right w:val="single" w:sz="4" w:space="0" w:color="auto"/>
            </w:tcBorders>
            <w:shd w:val="clear" w:color="000000" w:fill="FFFFFF"/>
            <w:vAlign w:val="center"/>
            <w:hideMark/>
          </w:tcPr>
          <w:p w14:paraId="5FEEFD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D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03" w:type="dxa"/>
            <w:tcBorders>
              <w:top w:val="nil"/>
              <w:left w:val="nil"/>
              <w:bottom w:val="single" w:sz="4" w:space="0" w:color="auto"/>
              <w:right w:val="single" w:sz="4" w:space="0" w:color="auto"/>
            </w:tcBorders>
            <w:shd w:val="clear" w:color="000000" w:fill="FFFFFF"/>
            <w:vAlign w:val="center"/>
            <w:hideMark/>
          </w:tcPr>
          <w:p w14:paraId="5FEEFD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D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45" w:type="dxa"/>
            <w:tcBorders>
              <w:top w:val="nil"/>
              <w:left w:val="nil"/>
              <w:bottom w:val="single" w:sz="4" w:space="0" w:color="auto"/>
              <w:right w:val="single" w:sz="4" w:space="0" w:color="auto"/>
            </w:tcBorders>
            <w:shd w:val="clear" w:color="000000" w:fill="FFFFFF"/>
            <w:vAlign w:val="center"/>
            <w:hideMark/>
          </w:tcPr>
          <w:p w14:paraId="5FEEFD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28" w:type="dxa"/>
            <w:tcBorders>
              <w:top w:val="nil"/>
              <w:left w:val="nil"/>
              <w:bottom w:val="single" w:sz="4" w:space="0" w:color="auto"/>
              <w:right w:val="single" w:sz="4" w:space="0" w:color="auto"/>
            </w:tcBorders>
            <w:shd w:val="clear" w:color="000000" w:fill="FFFFFF"/>
            <w:vAlign w:val="center"/>
            <w:hideMark/>
          </w:tcPr>
          <w:p w14:paraId="5FEEFD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345" w:type="dxa"/>
            <w:tcBorders>
              <w:top w:val="nil"/>
              <w:left w:val="nil"/>
              <w:bottom w:val="single" w:sz="4" w:space="0" w:color="auto"/>
              <w:right w:val="single" w:sz="4" w:space="0" w:color="auto"/>
            </w:tcBorders>
            <w:shd w:val="clear" w:color="000000" w:fill="FFFFFF"/>
            <w:vAlign w:val="center"/>
            <w:hideMark/>
          </w:tcPr>
          <w:p w14:paraId="5FEEFD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28" w:type="dxa"/>
            <w:tcBorders>
              <w:top w:val="nil"/>
              <w:left w:val="nil"/>
              <w:bottom w:val="single" w:sz="4" w:space="0" w:color="auto"/>
              <w:right w:val="single" w:sz="4" w:space="0" w:color="auto"/>
            </w:tcBorders>
            <w:shd w:val="clear" w:color="000000" w:fill="FFFFFF"/>
            <w:vAlign w:val="center"/>
            <w:hideMark/>
          </w:tcPr>
          <w:p w14:paraId="5FEEFD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18" w:type="dxa"/>
            <w:tcBorders>
              <w:top w:val="nil"/>
              <w:left w:val="nil"/>
              <w:bottom w:val="single" w:sz="4" w:space="0" w:color="auto"/>
              <w:right w:val="single" w:sz="4" w:space="0" w:color="auto"/>
            </w:tcBorders>
            <w:shd w:val="clear" w:color="000000" w:fill="FFFFFF"/>
            <w:vAlign w:val="center"/>
            <w:hideMark/>
          </w:tcPr>
          <w:p w14:paraId="5FEEFD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D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D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D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D4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2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1.1.5</w:t>
            </w:r>
          </w:p>
        </w:tc>
        <w:tc>
          <w:tcPr>
            <w:tcW w:w="814" w:type="dxa"/>
            <w:tcBorders>
              <w:top w:val="nil"/>
              <w:left w:val="nil"/>
              <w:bottom w:val="single" w:sz="4" w:space="0" w:color="auto"/>
              <w:right w:val="single" w:sz="4" w:space="0" w:color="auto"/>
            </w:tcBorders>
            <w:shd w:val="clear" w:color="auto" w:fill="auto"/>
            <w:vAlign w:val="center"/>
            <w:hideMark/>
          </w:tcPr>
          <w:p w14:paraId="5FEEFD2C" w14:textId="76F82E5F"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Bashkëpunimi</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me MM/FARSH në rritjen e nivelit të ndërgjegjësimit (awareness) të personelit ndaj kërcënimit terrorist në vendin tonë dhe vendeve ku angazhohen në kuadër të misioneve ndërkombëtare</w:t>
            </w:r>
          </w:p>
        </w:tc>
        <w:tc>
          <w:tcPr>
            <w:tcW w:w="350" w:type="dxa"/>
            <w:tcBorders>
              <w:top w:val="nil"/>
              <w:left w:val="nil"/>
              <w:bottom w:val="single" w:sz="4" w:space="0" w:color="auto"/>
              <w:right w:val="single" w:sz="4" w:space="0" w:color="auto"/>
            </w:tcBorders>
            <w:shd w:val="clear" w:color="000000" w:fill="FFFFFF"/>
            <w:vAlign w:val="center"/>
            <w:hideMark/>
          </w:tcPr>
          <w:p w14:paraId="5FEEFD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000000" w:fill="FFFFFF"/>
            <w:vAlign w:val="center"/>
            <w:hideMark/>
          </w:tcPr>
          <w:p w14:paraId="5FEEFD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000000" w:fill="FFFFFF"/>
            <w:vAlign w:val="center"/>
            <w:hideMark/>
          </w:tcPr>
          <w:p w14:paraId="5FEEFD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MEPJ </w:t>
            </w:r>
          </w:p>
        </w:tc>
        <w:tc>
          <w:tcPr>
            <w:tcW w:w="201" w:type="dxa"/>
            <w:tcBorders>
              <w:top w:val="nil"/>
              <w:left w:val="nil"/>
              <w:bottom w:val="single" w:sz="4" w:space="0" w:color="auto"/>
              <w:right w:val="single" w:sz="4" w:space="0" w:color="auto"/>
            </w:tcBorders>
            <w:shd w:val="clear" w:color="auto" w:fill="auto"/>
            <w:vAlign w:val="center"/>
            <w:hideMark/>
          </w:tcPr>
          <w:p w14:paraId="5FEEFD3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D3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D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D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03" w:type="dxa"/>
            <w:tcBorders>
              <w:top w:val="nil"/>
              <w:left w:val="nil"/>
              <w:bottom w:val="single" w:sz="4" w:space="0" w:color="auto"/>
              <w:right w:val="single" w:sz="4" w:space="0" w:color="auto"/>
            </w:tcBorders>
            <w:shd w:val="clear" w:color="000000" w:fill="FFFFFF"/>
            <w:vAlign w:val="center"/>
            <w:hideMark/>
          </w:tcPr>
          <w:p w14:paraId="5FEEFD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D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03" w:type="dxa"/>
            <w:tcBorders>
              <w:top w:val="nil"/>
              <w:left w:val="nil"/>
              <w:bottom w:val="single" w:sz="4" w:space="0" w:color="auto"/>
              <w:right w:val="single" w:sz="4" w:space="0" w:color="auto"/>
            </w:tcBorders>
            <w:shd w:val="clear" w:color="000000" w:fill="FFFFFF"/>
            <w:vAlign w:val="center"/>
            <w:hideMark/>
          </w:tcPr>
          <w:p w14:paraId="5FEEFD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D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45" w:type="dxa"/>
            <w:tcBorders>
              <w:top w:val="nil"/>
              <w:left w:val="nil"/>
              <w:bottom w:val="single" w:sz="4" w:space="0" w:color="auto"/>
              <w:right w:val="single" w:sz="4" w:space="0" w:color="auto"/>
            </w:tcBorders>
            <w:shd w:val="clear" w:color="000000" w:fill="FFFFFF"/>
            <w:vAlign w:val="center"/>
            <w:hideMark/>
          </w:tcPr>
          <w:p w14:paraId="5FEEFD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28" w:type="dxa"/>
            <w:tcBorders>
              <w:top w:val="nil"/>
              <w:left w:val="nil"/>
              <w:bottom w:val="single" w:sz="4" w:space="0" w:color="auto"/>
              <w:right w:val="single" w:sz="4" w:space="0" w:color="auto"/>
            </w:tcBorders>
            <w:shd w:val="clear" w:color="000000" w:fill="FFFFFF"/>
            <w:vAlign w:val="center"/>
            <w:hideMark/>
          </w:tcPr>
          <w:p w14:paraId="5FEEFD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345" w:type="dxa"/>
            <w:tcBorders>
              <w:top w:val="nil"/>
              <w:left w:val="nil"/>
              <w:bottom w:val="single" w:sz="4" w:space="0" w:color="auto"/>
              <w:right w:val="single" w:sz="4" w:space="0" w:color="auto"/>
            </w:tcBorders>
            <w:shd w:val="clear" w:color="000000" w:fill="FFFFFF"/>
            <w:vAlign w:val="center"/>
            <w:hideMark/>
          </w:tcPr>
          <w:p w14:paraId="5FEEFD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28" w:type="dxa"/>
            <w:tcBorders>
              <w:top w:val="nil"/>
              <w:left w:val="nil"/>
              <w:bottom w:val="single" w:sz="4" w:space="0" w:color="auto"/>
              <w:right w:val="single" w:sz="4" w:space="0" w:color="auto"/>
            </w:tcBorders>
            <w:shd w:val="clear" w:color="000000" w:fill="FFFFFF"/>
            <w:vAlign w:val="center"/>
            <w:hideMark/>
          </w:tcPr>
          <w:p w14:paraId="5FEEFD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18" w:type="dxa"/>
            <w:tcBorders>
              <w:top w:val="nil"/>
              <w:left w:val="nil"/>
              <w:bottom w:val="single" w:sz="4" w:space="0" w:color="auto"/>
              <w:right w:val="single" w:sz="4" w:space="0" w:color="auto"/>
            </w:tcBorders>
            <w:shd w:val="clear" w:color="000000" w:fill="FFFFFF"/>
            <w:vAlign w:val="center"/>
            <w:hideMark/>
          </w:tcPr>
          <w:p w14:paraId="5FEEFD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D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D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D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D6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4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1.1.6 </w:t>
            </w:r>
          </w:p>
        </w:tc>
        <w:tc>
          <w:tcPr>
            <w:tcW w:w="814" w:type="dxa"/>
            <w:tcBorders>
              <w:top w:val="nil"/>
              <w:left w:val="nil"/>
              <w:bottom w:val="single" w:sz="4" w:space="0" w:color="auto"/>
              <w:right w:val="single" w:sz="4" w:space="0" w:color="auto"/>
            </w:tcBorders>
            <w:shd w:val="clear" w:color="auto" w:fill="auto"/>
            <w:vAlign w:val="center"/>
            <w:hideMark/>
          </w:tcPr>
          <w:p w14:paraId="5FEEFD48"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Analiza e profileve të riskut dhe reagimi i shpejtë i strukturave ndërkufitare për parandalimin e personave të dyshuar për terrorizëm ose akteve terroriste</w:t>
            </w:r>
          </w:p>
        </w:tc>
        <w:tc>
          <w:tcPr>
            <w:tcW w:w="350" w:type="dxa"/>
            <w:tcBorders>
              <w:top w:val="nil"/>
              <w:left w:val="nil"/>
              <w:bottom w:val="single" w:sz="4" w:space="0" w:color="auto"/>
              <w:right w:val="single" w:sz="4" w:space="0" w:color="auto"/>
            </w:tcBorders>
            <w:shd w:val="clear" w:color="000000" w:fill="FFFFFF"/>
            <w:vAlign w:val="center"/>
            <w:hideMark/>
          </w:tcPr>
          <w:p w14:paraId="5FEEFD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000000" w:fill="FFFFFF"/>
            <w:vAlign w:val="center"/>
            <w:hideMark/>
          </w:tcPr>
          <w:p w14:paraId="5FEEFD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PSH/DKM</w:t>
            </w:r>
          </w:p>
        </w:tc>
        <w:tc>
          <w:tcPr>
            <w:tcW w:w="1442" w:type="dxa"/>
            <w:tcBorders>
              <w:top w:val="nil"/>
              <w:left w:val="nil"/>
              <w:bottom w:val="single" w:sz="4" w:space="0" w:color="auto"/>
              <w:right w:val="single" w:sz="4" w:space="0" w:color="auto"/>
            </w:tcBorders>
            <w:shd w:val="clear" w:color="000000" w:fill="FFFFFF"/>
            <w:vAlign w:val="center"/>
            <w:hideMark/>
          </w:tcPr>
          <w:p w14:paraId="5FEEFD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D4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D4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D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w:t>
            </w:r>
          </w:p>
        </w:tc>
        <w:tc>
          <w:tcPr>
            <w:tcW w:w="228" w:type="dxa"/>
            <w:tcBorders>
              <w:top w:val="nil"/>
              <w:left w:val="nil"/>
              <w:bottom w:val="single" w:sz="4" w:space="0" w:color="auto"/>
              <w:right w:val="single" w:sz="4" w:space="0" w:color="auto"/>
            </w:tcBorders>
            <w:shd w:val="clear" w:color="000000" w:fill="FFFFFF"/>
            <w:vAlign w:val="center"/>
            <w:hideMark/>
          </w:tcPr>
          <w:p w14:paraId="5FEEFD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w:t>
            </w:r>
          </w:p>
        </w:tc>
        <w:tc>
          <w:tcPr>
            <w:tcW w:w="303" w:type="dxa"/>
            <w:tcBorders>
              <w:top w:val="nil"/>
              <w:left w:val="nil"/>
              <w:bottom w:val="single" w:sz="4" w:space="0" w:color="auto"/>
              <w:right w:val="single" w:sz="4" w:space="0" w:color="auto"/>
            </w:tcBorders>
            <w:shd w:val="clear" w:color="000000" w:fill="FFFFFF"/>
            <w:vAlign w:val="center"/>
            <w:hideMark/>
          </w:tcPr>
          <w:p w14:paraId="5FEEFD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w:t>
            </w:r>
          </w:p>
        </w:tc>
        <w:tc>
          <w:tcPr>
            <w:tcW w:w="228" w:type="dxa"/>
            <w:tcBorders>
              <w:top w:val="nil"/>
              <w:left w:val="nil"/>
              <w:bottom w:val="single" w:sz="4" w:space="0" w:color="auto"/>
              <w:right w:val="single" w:sz="4" w:space="0" w:color="auto"/>
            </w:tcBorders>
            <w:shd w:val="clear" w:color="000000" w:fill="FFFFFF"/>
            <w:vAlign w:val="center"/>
            <w:hideMark/>
          </w:tcPr>
          <w:p w14:paraId="5FEEFD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w:t>
            </w:r>
          </w:p>
        </w:tc>
        <w:tc>
          <w:tcPr>
            <w:tcW w:w="303" w:type="dxa"/>
            <w:tcBorders>
              <w:top w:val="nil"/>
              <w:left w:val="nil"/>
              <w:bottom w:val="single" w:sz="4" w:space="0" w:color="auto"/>
              <w:right w:val="single" w:sz="4" w:space="0" w:color="auto"/>
            </w:tcBorders>
            <w:shd w:val="clear" w:color="000000" w:fill="FFFFFF"/>
            <w:vAlign w:val="center"/>
            <w:hideMark/>
          </w:tcPr>
          <w:p w14:paraId="5FEEFD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w:t>
            </w:r>
          </w:p>
        </w:tc>
        <w:tc>
          <w:tcPr>
            <w:tcW w:w="228" w:type="dxa"/>
            <w:tcBorders>
              <w:top w:val="nil"/>
              <w:left w:val="nil"/>
              <w:bottom w:val="single" w:sz="4" w:space="0" w:color="auto"/>
              <w:right w:val="single" w:sz="4" w:space="0" w:color="auto"/>
            </w:tcBorders>
            <w:shd w:val="clear" w:color="000000" w:fill="FFFFFF"/>
            <w:vAlign w:val="center"/>
            <w:hideMark/>
          </w:tcPr>
          <w:p w14:paraId="5FEEFD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w:t>
            </w:r>
          </w:p>
        </w:tc>
        <w:tc>
          <w:tcPr>
            <w:tcW w:w="345" w:type="dxa"/>
            <w:tcBorders>
              <w:top w:val="nil"/>
              <w:left w:val="nil"/>
              <w:bottom w:val="single" w:sz="4" w:space="0" w:color="auto"/>
              <w:right w:val="single" w:sz="4" w:space="0" w:color="auto"/>
            </w:tcBorders>
            <w:shd w:val="clear" w:color="000000" w:fill="FFFFFF"/>
            <w:vAlign w:val="center"/>
            <w:hideMark/>
          </w:tcPr>
          <w:p w14:paraId="5FEEFD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w:t>
            </w:r>
          </w:p>
        </w:tc>
        <w:tc>
          <w:tcPr>
            <w:tcW w:w="228" w:type="dxa"/>
            <w:tcBorders>
              <w:top w:val="nil"/>
              <w:left w:val="nil"/>
              <w:bottom w:val="single" w:sz="4" w:space="0" w:color="auto"/>
              <w:right w:val="single" w:sz="4" w:space="0" w:color="auto"/>
            </w:tcBorders>
            <w:shd w:val="clear" w:color="000000" w:fill="FFFFFF"/>
            <w:vAlign w:val="center"/>
            <w:hideMark/>
          </w:tcPr>
          <w:p w14:paraId="5FEEFD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w:t>
            </w:r>
          </w:p>
        </w:tc>
        <w:tc>
          <w:tcPr>
            <w:tcW w:w="345" w:type="dxa"/>
            <w:tcBorders>
              <w:top w:val="nil"/>
              <w:left w:val="nil"/>
              <w:bottom w:val="single" w:sz="4" w:space="0" w:color="auto"/>
              <w:right w:val="single" w:sz="4" w:space="0" w:color="auto"/>
            </w:tcBorders>
            <w:shd w:val="clear" w:color="000000" w:fill="FFFFFF"/>
            <w:vAlign w:val="center"/>
            <w:hideMark/>
          </w:tcPr>
          <w:p w14:paraId="5FEEFD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w:t>
            </w:r>
          </w:p>
        </w:tc>
        <w:tc>
          <w:tcPr>
            <w:tcW w:w="228" w:type="dxa"/>
            <w:tcBorders>
              <w:top w:val="nil"/>
              <w:left w:val="nil"/>
              <w:bottom w:val="single" w:sz="4" w:space="0" w:color="auto"/>
              <w:right w:val="single" w:sz="4" w:space="0" w:color="auto"/>
            </w:tcBorders>
            <w:shd w:val="clear" w:color="000000" w:fill="FFFFFF"/>
            <w:vAlign w:val="center"/>
            <w:hideMark/>
          </w:tcPr>
          <w:p w14:paraId="5FEEFD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w:t>
            </w:r>
          </w:p>
        </w:tc>
        <w:tc>
          <w:tcPr>
            <w:tcW w:w="218" w:type="dxa"/>
            <w:tcBorders>
              <w:top w:val="nil"/>
              <w:left w:val="nil"/>
              <w:bottom w:val="single" w:sz="4" w:space="0" w:color="auto"/>
              <w:right w:val="single" w:sz="4" w:space="0" w:color="auto"/>
            </w:tcBorders>
            <w:shd w:val="clear" w:color="000000" w:fill="FFFFFF"/>
            <w:vAlign w:val="center"/>
            <w:hideMark/>
          </w:tcPr>
          <w:p w14:paraId="5FEEFD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D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D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D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D7E"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EFD6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EFD64"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1.1.</w:t>
            </w:r>
          </w:p>
        </w:tc>
        <w:tc>
          <w:tcPr>
            <w:tcW w:w="350" w:type="dxa"/>
            <w:tcBorders>
              <w:top w:val="nil"/>
              <w:left w:val="nil"/>
              <w:bottom w:val="single" w:sz="4" w:space="0" w:color="auto"/>
              <w:right w:val="single" w:sz="4" w:space="0" w:color="auto"/>
            </w:tcBorders>
            <w:shd w:val="clear" w:color="000000" w:fill="D9D9D9"/>
            <w:vAlign w:val="center"/>
            <w:hideMark/>
          </w:tcPr>
          <w:p w14:paraId="5FEEFD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EFD6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EFD6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EFD6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EFD6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BFBFBF"/>
            <w:vAlign w:val="center"/>
            <w:hideMark/>
          </w:tcPr>
          <w:p w14:paraId="5FEEFD6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44,768,000</w:t>
            </w:r>
          </w:p>
        </w:tc>
        <w:tc>
          <w:tcPr>
            <w:tcW w:w="228" w:type="dxa"/>
            <w:tcBorders>
              <w:top w:val="nil"/>
              <w:left w:val="nil"/>
              <w:bottom w:val="single" w:sz="4" w:space="0" w:color="auto"/>
              <w:right w:val="single" w:sz="4" w:space="0" w:color="auto"/>
            </w:tcBorders>
            <w:shd w:val="clear" w:color="000000" w:fill="BFBFBF"/>
            <w:vAlign w:val="center"/>
            <w:hideMark/>
          </w:tcPr>
          <w:p w14:paraId="5FEEFD6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BFBFBF"/>
            <w:vAlign w:val="center"/>
            <w:hideMark/>
          </w:tcPr>
          <w:p w14:paraId="5FEEFD6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44,768,000</w:t>
            </w:r>
          </w:p>
        </w:tc>
        <w:tc>
          <w:tcPr>
            <w:tcW w:w="303" w:type="dxa"/>
            <w:tcBorders>
              <w:top w:val="nil"/>
              <w:left w:val="nil"/>
              <w:bottom w:val="single" w:sz="4" w:space="0" w:color="auto"/>
              <w:right w:val="single" w:sz="4" w:space="0" w:color="auto"/>
            </w:tcBorders>
            <w:shd w:val="clear" w:color="000000" w:fill="BFBFBF"/>
            <w:vAlign w:val="center"/>
            <w:hideMark/>
          </w:tcPr>
          <w:p w14:paraId="5FEEFD6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44,768,000</w:t>
            </w:r>
          </w:p>
        </w:tc>
        <w:tc>
          <w:tcPr>
            <w:tcW w:w="228" w:type="dxa"/>
            <w:tcBorders>
              <w:top w:val="nil"/>
              <w:left w:val="nil"/>
              <w:bottom w:val="single" w:sz="4" w:space="0" w:color="auto"/>
              <w:right w:val="single" w:sz="4" w:space="0" w:color="auto"/>
            </w:tcBorders>
            <w:shd w:val="clear" w:color="000000" w:fill="BFBFBF"/>
            <w:vAlign w:val="center"/>
            <w:hideMark/>
          </w:tcPr>
          <w:p w14:paraId="5FEEFD6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BFBFBF"/>
            <w:vAlign w:val="center"/>
            <w:hideMark/>
          </w:tcPr>
          <w:p w14:paraId="5FEEFD6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44,768,000</w:t>
            </w:r>
          </w:p>
        </w:tc>
        <w:tc>
          <w:tcPr>
            <w:tcW w:w="303" w:type="dxa"/>
            <w:tcBorders>
              <w:top w:val="nil"/>
              <w:left w:val="nil"/>
              <w:bottom w:val="single" w:sz="4" w:space="0" w:color="auto"/>
              <w:right w:val="single" w:sz="4" w:space="0" w:color="auto"/>
            </w:tcBorders>
            <w:shd w:val="clear" w:color="000000" w:fill="BFBFBF"/>
            <w:vAlign w:val="center"/>
            <w:hideMark/>
          </w:tcPr>
          <w:p w14:paraId="5FEEFD7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44,768,000</w:t>
            </w:r>
          </w:p>
        </w:tc>
        <w:tc>
          <w:tcPr>
            <w:tcW w:w="228" w:type="dxa"/>
            <w:tcBorders>
              <w:top w:val="nil"/>
              <w:left w:val="nil"/>
              <w:bottom w:val="single" w:sz="4" w:space="0" w:color="auto"/>
              <w:right w:val="single" w:sz="4" w:space="0" w:color="auto"/>
            </w:tcBorders>
            <w:shd w:val="clear" w:color="000000" w:fill="BFBFBF"/>
            <w:vAlign w:val="center"/>
            <w:hideMark/>
          </w:tcPr>
          <w:p w14:paraId="5FEEFD7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BFBFBF"/>
            <w:vAlign w:val="center"/>
            <w:hideMark/>
          </w:tcPr>
          <w:p w14:paraId="5FEEFD7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44,768,000</w:t>
            </w:r>
          </w:p>
        </w:tc>
        <w:tc>
          <w:tcPr>
            <w:tcW w:w="345" w:type="dxa"/>
            <w:tcBorders>
              <w:top w:val="nil"/>
              <w:left w:val="nil"/>
              <w:bottom w:val="single" w:sz="4" w:space="0" w:color="auto"/>
              <w:right w:val="single" w:sz="4" w:space="0" w:color="auto"/>
            </w:tcBorders>
            <w:shd w:val="clear" w:color="000000" w:fill="BFBFBF"/>
            <w:vAlign w:val="center"/>
            <w:hideMark/>
          </w:tcPr>
          <w:p w14:paraId="5FEEFD7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134,304,000</w:t>
            </w:r>
          </w:p>
        </w:tc>
        <w:tc>
          <w:tcPr>
            <w:tcW w:w="228" w:type="dxa"/>
            <w:tcBorders>
              <w:top w:val="nil"/>
              <w:left w:val="nil"/>
              <w:bottom w:val="single" w:sz="4" w:space="0" w:color="auto"/>
              <w:right w:val="single" w:sz="4" w:space="0" w:color="auto"/>
            </w:tcBorders>
            <w:shd w:val="clear" w:color="000000" w:fill="BFBFBF"/>
            <w:vAlign w:val="center"/>
            <w:hideMark/>
          </w:tcPr>
          <w:p w14:paraId="5FEEFD7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BFBFBF"/>
            <w:vAlign w:val="center"/>
            <w:hideMark/>
          </w:tcPr>
          <w:p w14:paraId="5FEEFD7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134,304,000</w:t>
            </w:r>
          </w:p>
        </w:tc>
        <w:tc>
          <w:tcPr>
            <w:tcW w:w="345" w:type="dxa"/>
            <w:tcBorders>
              <w:top w:val="nil"/>
              <w:left w:val="nil"/>
              <w:bottom w:val="single" w:sz="4" w:space="0" w:color="auto"/>
              <w:right w:val="single" w:sz="4" w:space="0" w:color="auto"/>
            </w:tcBorders>
            <w:shd w:val="clear" w:color="000000" w:fill="BFBFBF"/>
            <w:vAlign w:val="center"/>
            <w:hideMark/>
          </w:tcPr>
          <w:p w14:paraId="5FEEFD7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134,304,000</w:t>
            </w:r>
          </w:p>
        </w:tc>
        <w:tc>
          <w:tcPr>
            <w:tcW w:w="228" w:type="dxa"/>
            <w:tcBorders>
              <w:top w:val="nil"/>
              <w:left w:val="nil"/>
              <w:bottom w:val="single" w:sz="4" w:space="0" w:color="auto"/>
              <w:right w:val="single" w:sz="4" w:space="0" w:color="auto"/>
            </w:tcBorders>
            <w:shd w:val="clear" w:color="000000" w:fill="BFBFBF"/>
            <w:vAlign w:val="center"/>
            <w:hideMark/>
          </w:tcPr>
          <w:p w14:paraId="5FEEFD7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BFBFBF"/>
            <w:vAlign w:val="center"/>
            <w:hideMark/>
          </w:tcPr>
          <w:p w14:paraId="5FEEFD7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134,304,000</w:t>
            </w:r>
          </w:p>
        </w:tc>
        <w:tc>
          <w:tcPr>
            <w:tcW w:w="218" w:type="dxa"/>
            <w:tcBorders>
              <w:top w:val="nil"/>
              <w:left w:val="nil"/>
              <w:bottom w:val="single" w:sz="4" w:space="0" w:color="auto"/>
              <w:right w:val="single" w:sz="4" w:space="0" w:color="auto"/>
            </w:tcBorders>
            <w:shd w:val="clear" w:color="000000" w:fill="BFBFBF"/>
            <w:vAlign w:val="center"/>
            <w:hideMark/>
          </w:tcPr>
          <w:p w14:paraId="5FEEFD7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BFBFBF"/>
            <w:vAlign w:val="center"/>
            <w:hideMark/>
          </w:tcPr>
          <w:p w14:paraId="5FEEFD7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BFBFBF"/>
            <w:vAlign w:val="center"/>
            <w:hideMark/>
          </w:tcPr>
          <w:p w14:paraId="5FEEFD7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BFBFBF"/>
            <w:vAlign w:val="center"/>
            <w:hideMark/>
          </w:tcPr>
          <w:p w14:paraId="5FEEFD7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BFBFBF"/>
            <w:vAlign w:val="center"/>
            <w:hideMark/>
          </w:tcPr>
          <w:p w14:paraId="5FEEFD7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EFD9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7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w:t>
            </w:r>
          </w:p>
        </w:tc>
        <w:tc>
          <w:tcPr>
            <w:tcW w:w="814" w:type="dxa"/>
            <w:tcBorders>
              <w:top w:val="nil"/>
              <w:left w:val="nil"/>
              <w:bottom w:val="single" w:sz="4" w:space="0" w:color="auto"/>
              <w:right w:val="single" w:sz="4" w:space="0" w:color="auto"/>
            </w:tcBorders>
            <w:shd w:val="clear" w:color="auto" w:fill="auto"/>
            <w:vAlign w:val="center"/>
            <w:hideMark/>
          </w:tcPr>
          <w:p w14:paraId="5FEEFD80"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PARANDALIMI I FINANCIMIT TË TERRORIZMIT</w:t>
            </w:r>
          </w:p>
        </w:tc>
        <w:tc>
          <w:tcPr>
            <w:tcW w:w="350" w:type="dxa"/>
            <w:tcBorders>
              <w:top w:val="nil"/>
              <w:left w:val="nil"/>
              <w:bottom w:val="single" w:sz="4" w:space="0" w:color="auto"/>
              <w:right w:val="single" w:sz="4" w:space="0" w:color="auto"/>
            </w:tcBorders>
            <w:shd w:val="clear" w:color="auto" w:fill="auto"/>
            <w:vAlign w:val="center"/>
            <w:hideMark/>
          </w:tcPr>
          <w:p w14:paraId="5FEEFD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D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D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D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D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D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D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EFD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DB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9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EFD9C" w14:textId="70D04A5E"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r w:rsidR="007C064A" w:rsidRPr="00795698">
              <w:rPr>
                <w:rFonts w:ascii="Arial" w:hAnsi="Arial" w:cs="Arial"/>
                <w:b/>
                <w:bCs/>
                <w:i/>
                <w:iCs/>
                <w:color w:val="0066CC"/>
                <w:sz w:val="6"/>
                <w:szCs w:val="6"/>
                <w:lang w:eastAsia="sq-AL"/>
              </w:rPr>
              <w:t xml:space="preserve"> </w:t>
            </w:r>
          </w:p>
        </w:tc>
        <w:tc>
          <w:tcPr>
            <w:tcW w:w="350" w:type="dxa"/>
            <w:tcBorders>
              <w:top w:val="nil"/>
              <w:left w:val="nil"/>
              <w:bottom w:val="single" w:sz="4" w:space="0" w:color="auto"/>
              <w:right w:val="single" w:sz="4" w:space="0" w:color="auto"/>
            </w:tcBorders>
            <w:shd w:val="clear" w:color="auto" w:fill="auto"/>
            <w:vAlign w:val="center"/>
            <w:hideMark/>
          </w:tcPr>
          <w:p w14:paraId="5FEEFD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D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D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DA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DA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D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D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D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D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D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EFD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DD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B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1.2.1</w:t>
            </w:r>
          </w:p>
        </w:tc>
        <w:tc>
          <w:tcPr>
            <w:tcW w:w="814" w:type="dxa"/>
            <w:tcBorders>
              <w:top w:val="nil"/>
              <w:left w:val="nil"/>
              <w:bottom w:val="single" w:sz="4" w:space="0" w:color="auto"/>
              <w:right w:val="single" w:sz="4" w:space="0" w:color="auto"/>
            </w:tcBorders>
            <w:shd w:val="clear" w:color="auto" w:fill="auto"/>
            <w:vAlign w:val="center"/>
            <w:hideMark/>
          </w:tcPr>
          <w:p w14:paraId="5FEEFDB8"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hetimeve për parandalimin e financimit të terrorizmit</w:t>
            </w:r>
          </w:p>
        </w:tc>
        <w:tc>
          <w:tcPr>
            <w:tcW w:w="350" w:type="dxa"/>
            <w:tcBorders>
              <w:top w:val="nil"/>
              <w:left w:val="nil"/>
              <w:bottom w:val="single" w:sz="4" w:space="0" w:color="auto"/>
              <w:right w:val="single" w:sz="4" w:space="0" w:color="auto"/>
            </w:tcBorders>
            <w:shd w:val="clear" w:color="000000" w:fill="FFFFFF"/>
            <w:vAlign w:val="center"/>
            <w:hideMark/>
          </w:tcPr>
          <w:p w14:paraId="5FEEFD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D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EFD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MM/AISM/MFE/SPAK/DPPPPBSH/ MEPJ</w:t>
            </w:r>
          </w:p>
        </w:tc>
        <w:tc>
          <w:tcPr>
            <w:tcW w:w="201" w:type="dxa"/>
            <w:tcBorders>
              <w:top w:val="nil"/>
              <w:left w:val="nil"/>
              <w:bottom w:val="single" w:sz="4" w:space="0" w:color="auto"/>
              <w:right w:val="single" w:sz="4" w:space="0" w:color="auto"/>
            </w:tcBorders>
            <w:shd w:val="clear" w:color="auto" w:fill="auto"/>
            <w:vAlign w:val="center"/>
            <w:hideMark/>
          </w:tcPr>
          <w:p w14:paraId="5FEEFDB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DB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D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EFD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03" w:type="dxa"/>
            <w:tcBorders>
              <w:top w:val="nil"/>
              <w:left w:val="nil"/>
              <w:bottom w:val="single" w:sz="4" w:space="0" w:color="auto"/>
              <w:right w:val="single" w:sz="4" w:space="0" w:color="auto"/>
            </w:tcBorders>
            <w:shd w:val="clear" w:color="000000" w:fill="FFFFFF"/>
            <w:vAlign w:val="center"/>
            <w:hideMark/>
          </w:tcPr>
          <w:p w14:paraId="5FEEFD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EFD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03" w:type="dxa"/>
            <w:tcBorders>
              <w:top w:val="nil"/>
              <w:left w:val="nil"/>
              <w:bottom w:val="single" w:sz="4" w:space="0" w:color="auto"/>
              <w:right w:val="single" w:sz="4" w:space="0" w:color="auto"/>
            </w:tcBorders>
            <w:shd w:val="clear" w:color="000000" w:fill="FFFFFF"/>
            <w:vAlign w:val="center"/>
            <w:hideMark/>
          </w:tcPr>
          <w:p w14:paraId="5FEEFD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EFD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45" w:type="dxa"/>
            <w:tcBorders>
              <w:top w:val="nil"/>
              <w:left w:val="nil"/>
              <w:bottom w:val="single" w:sz="4" w:space="0" w:color="auto"/>
              <w:right w:val="single" w:sz="4" w:space="0" w:color="auto"/>
            </w:tcBorders>
            <w:shd w:val="clear" w:color="000000" w:fill="FFFFFF"/>
            <w:vAlign w:val="center"/>
            <w:hideMark/>
          </w:tcPr>
          <w:p w14:paraId="5FEEFD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28" w:type="dxa"/>
            <w:tcBorders>
              <w:top w:val="nil"/>
              <w:left w:val="nil"/>
              <w:bottom w:val="single" w:sz="4" w:space="0" w:color="auto"/>
              <w:right w:val="single" w:sz="4" w:space="0" w:color="auto"/>
            </w:tcBorders>
            <w:shd w:val="clear" w:color="000000" w:fill="FFFFFF"/>
            <w:vAlign w:val="center"/>
            <w:hideMark/>
          </w:tcPr>
          <w:p w14:paraId="5FEEFD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345" w:type="dxa"/>
            <w:tcBorders>
              <w:top w:val="nil"/>
              <w:left w:val="nil"/>
              <w:bottom w:val="single" w:sz="4" w:space="0" w:color="auto"/>
              <w:right w:val="single" w:sz="4" w:space="0" w:color="auto"/>
            </w:tcBorders>
            <w:shd w:val="clear" w:color="000000" w:fill="FFFFFF"/>
            <w:vAlign w:val="center"/>
            <w:hideMark/>
          </w:tcPr>
          <w:p w14:paraId="5FEEFD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28" w:type="dxa"/>
            <w:tcBorders>
              <w:top w:val="nil"/>
              <w:left w:val="nil"/>
              <w:bottom w:val="single" w:sz="4" w:space="0" w:color="auto"/>
              <w:right w:val="single" w:sz="4" w:space="0" w:color="auto"/>
            </w:tcBorders>
            <w:shd w:val="clear" w:color="000000" w:fill="FFFFFF"/>
            <w:vAlign w:val="center"/>
            <w:hideMark/>
          </w:tcPr>
          <w:p w14:paraId="5FEEFD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18" w:type="dxa"/>
            <w:tcBorders>
              <w:top w:val="nil"/>
              <w:left w:val="nil"/>
              <w:bottom w:val="single" w:sz="4" w:space="0" w:color="auto"/>
              <w:right w:val="single" w:sz="4" w:space="0" w:color="auto"/>
            </w:tcBorders>
            <w:shd w:val="clear" w:color="000000" w:fill="FFFFFF"/>
            <w:vAlign w:val="center"/>
            <w:hideMark/>
          </w:tcPr>
          <w:p w14:paraId="5FEEFD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D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D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D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DE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1.2.2</w:t>
            </w:r>
          </w:p>
        </w:tc>
        <w:tc>
          <w:tcPr>
            <w:tcW w:w="814" w:type="dxa"/>
            <w:tcBorders>
              <w:top w:val="nil"/>
              <w:left w:val="nil"/>
              <w:bottom w:val="single" w:sz="4" w:space="0" w:color="auto"/>
              <w:right w:val="single" w:sz="4" w:space="0" w:color="auto"/>
            </w:tcBorders>
            <w:shd w:val="clear" w:color="auto" w:fill="auto"/>
            <w:vAlign w:val="center"/>
            <w:hideMark/>
          </w:tcPr>
          <w:p w14:paraId="5FEEFDD4"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trajnimeve të specializuara në fushën e hetimit të financimit të terrorizmit</w:t>
            </w:r>
          </w:p>
        </w:tc>
        <w:tc>
          <w:tcPr>
            <w:tcW w:w="350" w:type="dxa"/>
            <w:tcBorders>
              <w:top w:val="nil"/>
              <w:left w:val="nil"/>
              <w:bottom w:val="single" w:sz="4" w:space="0" w:color="auto"/>
              <w:right w:val="single" w:sz="4" w:space="0" w:color="auto"/>
            </w:tcBorders>
            <w:shd w:val="clear" w:color="000000" w:fill="FFFFFF"/>
            <w:vAlign w:val="center"/>
            <w:hideMark/>
          </w:tcPr>
          <w:p w14:paraId="5FEEFD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D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DPPSH </w:t>
            </w:r>
          </w:p>
        </w:tc>
        <w:tc>
          <w:tcPr>
            <w:tcW w:w="1442" w:type="dxa"/>
            <w:tcBorders>
              <w:top w:val="nil"/>
              <w:left w:val="nil"/>
              <w:bottom w:val="single" w:sz="4" w:space="0" w:color="auto"/>
              <w:right w:val="single" w:sz="4" w:space="0" w:color="auto"/>
            </w:tcBorders>
            <w:shd w:val="clear" w:color="auto" w:fill="auto"/>
            <w:vAlign w:val="center"/>
            <w:hideMark/>
          </w:tcPr>
          <w:p w14:paraId="5FEEFD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SHISH/AISM/</w:t>
            </w:r>
            <w:r w:rsidRPr="00795698">
              <w:rPr>
                <w:rFonts w:ascii="Arial" w:hAnsi="Arial" w:cs="Arial"/>
                <w:color w:val="000000"/>
                <w:sz w:val="6"/>
                <w:szCs w:val="6"/>
                <w:lang w:eastAsia="sq-AL"/>
              </w:rPr>
              <w:br/>
              <w:t>DPPPP</w:t>
            </w:r>
          </w:p>
        </w:tc>
        <w:tc>
          <w:tcPr>
            <w:tcW w:w="201" w:type="dxa"/>
            <w:tcBorders>
              <w:top w:val="nil"/>
              <w:left w:val="nil"/>
              <w:bottom w:val="single" w:sz="4" w:space="0" w:color="auto"/>
              <w:right w:val="single" w:sz="4" w:space="0" w:color="auto"/>
            </w:tcBorders>
            <w:shd w:val="clear" w:color="auto" w:fill="auto"/>
            <w:vAlign w:val="center"/>
            <w:hideMark/>
          </w:tcPr>
          <w:p w14:paraId="5FEEFDD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DD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D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228" w:type="dxa"/>
            <w:tcBorders>
              <w:top w:val="nil"/>
              <w:left w:val="nil"/>
              <w:bottom w:val="single" w:sz="4" w:space="0" w:color="auto"/>
              <w:right w:val="single" w:sz="4" w:space="0" w:color="auto"/>
            </w:tcBorders>
            <w:shd w:val="clear" w:color="000000" w:fill="FFFFFF"/>
            <w:vAlign w:val="center"/>
            <w:hideMark/>
          </w:tcPr>
          <w:p w14:paraId="5FEEFD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303" w:type="dxa"/>
            <w:tcBorders>
              <w:top w:val="nil"/>
              <w:left w:val="nil"/>
              <w:bottom w:val="single" w:sz="4" w:space="0" w:color="auto"/>
              <w:right w:val="single" w:sz="4" w:space="0" w:color="auto"/>
            </w:tcBorders>
            <w:shd w:val="clear" w:color="000000" w:fill="FFFFFF"/>
            <w:vAlign w:val="center"/>
            <w:hideMark/>
          </w:tcPr>
          <w:p w14:paraId="5FEEFD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228" w:type="dxa"/>
            <w:tcBorders>
              <w:top w:val="nil"/>
              <w:left w:val="nil"/>
              <w:bottom w:val="single" w:sz="4" w:space="0" w:color="auto"/>
              <w:right w:val="single" w:sz="4" w:space="0" w:color="auto"/>
            </w:tcBorders>
            <w:shd w:val="clear" w:color="000000" w:fill="FFFFFF"/>
            <w:vAlign w:val="center"/>
            <w:hideMark/>
          </w:tcPr>
          <w:p w14:paraId="5FEEFD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303" w:type="dxa"/>
            <w:tcBorders>
              <w:top w:val="nil"/>
              <w:left w:val="nil"/>
              <w:bottom w:val="single" w:sz="4" w:space="0" w:color="auto"/>
              <w:right w:val="single" w:sz="4" w:space="0" w:color="auto"/>
            </w:tcBorders>
            <w:shd w:val="clear" w:color="000000" w:fill="FFFFFF"/>
            <w:vAlign w:val="center"/>
            <w:hideMark/>
          </w:tcPr>
          <w:p w14:paraId="5FEEFD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228" w:type="dxa"/>
            <w:tcBorders>
              <w:top w:val="nil"/>
              <w:left w:val="nil"/>
              <w:bottom w:val="single" w:sz="4" w:space="0" w:color="auto"/>
              <w:right w:val="single" w:sz="4" w:space="0" w:color="auto"/>
            </w:tcBorders>
            <w:shd w:val="clear" w:color="000000" w:fill="FFFFFF"/>
            <w:vAlign w:val="center"/>
            <w:hideMark/>
          </w:tcPr>
          <w:p w14:paraId="5FEEFD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345" w:type="dxa"/>
            <w:tcBorders>
              <w:top w:val="nil"/>
              <w:left w:val="nil"/>
              <w:bottom w:val="single" w:sz="4" w:space="0" w:color="auto"/>
              <w:right w:val="single" w:sz="4" w:space="0" w:color="auto"/>
            </w:tcBorders>
            <w:shd w:val="clear" w:color="000000" w:fill="FFFFFF"/>
            <w:vAlign w:val="center"/>
            <w:hideMark/>
          </w:tcPr>
          <w:p w14:paraId="5FEEFD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228" w:type="dxa"/>
            <w:tcBorders>
              <w:top w:val="nil"/>
              <w:left w:val="nil"/>
              <w:bottom w:val="single" w:sz="4" w:space="0" w:color="auto"/>
              <w:right w:val="single" w:sz="4" w:space="0" w:color="auto"/>
            </w:tcBorders>
            <w:shd w:val="clear" w:color="000000" w:fill="FFFFFF"/>
            <w:vAlign w:val="center"/>
            <w:hideMark/>
          </w:tcPr>
          <w:p w14:paraId="5FEEFD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345" w:type="dxa"/>
            <w:tcBorders>
              <w:top w:val="nil"/>
              <w:left w:val="nil"/>
              <w:bottom w:val="single" w:sz="4" w:space="0" w:color="auto"/>
              <w:right w:val="single" w:sz="4" w:space="0" w:color="auto"/>
            </w:tcBorders>
            <w:shd w:val="clear" w:color="000000" w:fill="FFFFFF"/>
            <w:vAlign w:val="center"/>
            <w:hideMark/>
          </w:tcPr>
          <w:p w14:paraId="5FEEFD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228" w:type="dxa"/>
            <w:tcBorders>
              <w:top w:val="nil"/>
              <w:left w:val="nil"/>
              <w:bottom w:val="single" w:sz="4" w:space="0" w:color="auto"/>
              <w:right w:val="single" w:sz="4" w:space="0" w:color="auto"/>
            </w:tcBorders>
            <w:shd w:val="clear" w:color="000000" w:fill="FFFFFF"/>
            <w:vAlign w:val="center"/>
            <w:hideMark/>
          </w:tcPr>
          <w:p w14:paraId="5FEEFD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D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218" w:type="dxa"/>
            <w:tcBorders>
              <w:top w:val="nil"/>
              <w:left w:val="nil"/>
              <w:bottom w:val="single" w:sz="4" w:space="0" w:color="auto"/>
              <w:right w:val="single" w:sz="4" w:space="0" w:color="auto"/>
            </w:tcBorders>
            <w:shd w:val="clear" w:color="000000" w:fill="FFFFFF"/>
            <w:vAlign w:val="center"/>
            <w:hideMark/>
          </w:tcPr>
          <w:p w14:paraId="5FEEFD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D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D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D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D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E0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D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1.2.3</w:t>
            </w:r>
          </w:p>
        </w:tc>
        <w:tc>
          <w:tcPr>
            <w:tcW w:w="814" w:type="dxa"/>
            <w:tcBorders>
              <w:top w:val="nil"/>
              <w:left w:val="nil"/>
              <w:bottom w:val="single" w:sz="4" w:space="0" w:color="auto"/>
              <w:right w:val="single" w:sz="4" w:space="0" w:color="auto"/>
            </w:tcBorders>
            <w:shd w:val="clear" w:color="auto" w:fill="auto"/>
            <w:vAlign w:val="center"/>
            <w:hideMark/>
          </w:tcPr>
          <w:p w14:paraId="5FEEFDF0"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Kryeja e analizës mbi individë/grupe që dyshohet se kryejnë vepra penale lidhur me terrorizmin dhe financimin e terrorizmit</w:t>
            </w:r>
          </w:p>
        </w:tc>
        <w:tc>
          <w:tcPr>
            <w:tcW w:w="350" w:type="dxa"/>
            <w:tcBorders>
              <w:top w:val="nil"/>
              <w:left w:val="nil"/>
              <w:bottom w:val="single" w:sz="4" w:space="0" w:color="auto"/>
              <w:right w:val="single" w:sz="4" w:space="0" w:color="auto"/>
            </w:tcBorders>
            <w:shd w:val="clear" w:color="000000" w:fill="FFFFFF"/>
            <w:vAlign w:val="center"/>
            <w:hideMark/>
          </w:tcPr>
          <w:p w14:paraId="5FEEFD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D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w:t>
            </w:r>
          </w:p>
        </w:tc>
        <w:tc>
          <w:tcPr>
            <w:tcW w:w="1442" w:type="dxa"/>
            <w:tcBorders>
              <w:top w:val="nil"/>
              <w:left w:val="nil"/>
              <w:bottom w:val="single" w:sz="4" w:space="0" w:color="auto"/>
              <w:right w:val="single" w:sz="4" w:space="0" w:color="auto"/>
            </w:tcBorders>
            <w:shd w:val="clear" w:color="auto" w:fill="auto"/>
            <w:vAlign w:val="center"/>
            <w:hideMark/>
          </w:tcPr>
          <w:p w14:paraId="5FEEFD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SHISH/AISM/</w:t>
            </w:r>
            <w:r w:rsidRPr="00795698">
              <w:rPr>
                <w:rFonts w:ascii="Arial" w:hAnsi="Arial" w:cs="Arial"/>
                <w:color w:val="000000"/>
                <w:sz w:val="6"/>
                <w:szCs w:val="6"/>
                <w:lang w:eastAsia="sq-AL"/>
              </w:rPr>
              <w:br/>
              <w:t>DPPPP/SPAK</w:t>
            </w:r>
          </w:p>
        </w:tc>
        <w:tc>
          <w:tcPr>
            <w:tcW w:w="201" w:type="dxa"/>
            <w:tcBorders>
              <w:top w:val="nil"/>
              <w:left w:val="nil"/>
              <w:bottom w:val="single" w:sz="4" w:space="0" w:color="auto"/>
              <w:right w:val="single" w:sz="4" w:space="0" w:color="auto"/>
            </w:tcBorders>
            <w:shd w:val="clear" w:color="auto" w:fill="auto"/>
            <w:vAlign w:val="center"/>
            <w:hideMark/>
          </w:tcPr>
          <w:p w14:paraId="5FEEFDF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DF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D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EFD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03" w:type="dxa"/>
            <w:tcBorders>
              <w:top w:val="nil"/>
              <w:left w:val="nil"/>
              <w:bottom w:val="single" w:sz="4" w:space="0" w:color="auto"/>
              <w:right w:val="single" w:sz="4" w:space="0" w:color="auto"/>
            </w:tcBorders>
            <w:shd w:val="clear" w:color="000000" w:fill="FFFFFF"/>
            <w:vAlign w:val="center"/>
            <w:hideMark/>
          </w:tcPr>
          <w:p w14:paraId="5FEEFD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EFD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03" w:type="dxa"/>
            <w:tcBorders>
              <w:top w:val="nil"/>
              <w:left w:val="nil"/>
              <w:bottom w:val="single" w:sz="4" w:space="0" w:color="auto"/>
              <w:right w:val="single" w:sz="4" w:space="0" w:color="auto"/>
            </w:tcBorders>
            <w:shd w:val="clear" w:color="000000" w:fill="FFFFFF"/>
            <w:vAlign w:val="center"/>
            <w:hideMark/>
          </w:tcPr>
          <w:p w14:paraId="5FEEFD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EFD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D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45" w:type="dxa"/>
            <w:tcBorders>
              <w:top w:val="nil"/>
              <w:left w:val="nil"/>
              <w:bottom w:val="single" w:sz="4" w:space="0" w:color="auto"/>
              <w:right w:val="single" w:sz="4" w:space="0" w:color="auto"/>
            </w:tcBorders>
            <w:shd w:val="clear" w:color="000000" w:fill="FFFFFF"/>
            <w:vAlign w:val="center"/>
            <w:hideMark/>
          </w:tcPr>
          <w:p w14:paraId="5FEEFD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28" w:type="dxa"/>
            <w:tcBorders>
              <w:top w:val="nil"/>
              <w:left w:val="nil"/>
              <w:bottom w:val="single" w:sz="4" w:space="0" w:color="auto"/>
              <w:right w:val="single" w:sz="4" w:space="0" w:color="auto"/>
            </w:tcBorders>
            <w:shd w:val="clear" w:color="000000" w:fill="FFFFFF"/>
            <w:vAlign w:val="center"/>
            <w:hideMark/>
          </w:tcPr>
          <w:p w14:paraId="5FEEFE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345" w:type="dxa"/>
            <w:tcBorders>
              <w:top w:val="nil"/>
              <w:left w:val="nil"/>
              <w:bottom w:val="single" w:sz="4" w:space="0" w:color="auto"/>
              <w:right w:val="single" w:sz="4" w:space="0" w:color="auto"/>
            </w:tcBorders>
            <w:shd w:val="clear" w:color="000000" w:fill="FFFFFF"/>
            <w:vAlign w:val="center"/>
            <w:hideMark/>
          </w:tcPr>
          <w:p w14:paraId="5FEEFE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28" w:type="dxa"/>
            <w:tcBorders>
              <w:top w:val="nil"/>
              <w:left w:val="nil"/>
              <w:bottom w:val="single" w:sz="4" w:space="0" w:color="auto"/>
              <w:right w:val="single" w:sz="4" w:space="0" w:color="auto"/>
            </w:tcBorders>
            <w:shd w:val="clear" w:color="000000" w:fill="FFFFFF"/>
            <w:vAlign w:val="center"/>
            <w:hideMark/>
          </w:tcPr>
          <w:p w14:paraId="5FEEFE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18" w:type="dxa"/>
            <w:tcBorders>
              <w:top w:val="nil"/>
              <w:left w:val="nil"/>
              <w:bottom w:val="single" w:sz="4" w:space="0" w:color="auto"/>
              <w:right w:val="single" w:sz="4" w:space="0" w:color="auto"/>
            </w:tcBorders>
            <w:shd w:val="clear" w:color="000000" w:fill="FFFFFF"/>
            <w:vAlign w:val="center"/>
            <w:hideMark/>
          </w:tcPr>
          <w:p w14:paraId="5FEEFE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E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E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E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E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E2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0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1.2.4</w:t>
            </w:r>
          </w:p>
        </w:tc>
        <w:tc>
          <w:tcPr>
            <w:tcW w:w="814" w:type="dxa"/>
            <w:tcBorders>
              <w:top w:val="nil"/>
              <w:left w:val="nil"/>
              <w:bottom w:val="single" w:sz="4" w:space="0" w:color="auto"/>
              <w:right w:val="single" w:sz="4" w:space="0" w:color="auto"/>
            </w:tcBorders>
            <w:shd w:val="clear" w:color="auto" w:fill="auto"/>
            <w:vAlign w:val="center"/>
            <w:hideMark/>
          </w:tcPr>
          <w:p w14:paraId="5FEEFE0C"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informacioneve të shkëmbyera midis DPPPP, DPT, DPD, dhe institucioneve të tjera të sigurisë me institucionet e tjera ligjzbatuese në vend për veprat penale të lidhura me financimin e terrorizmit</w:t>
            </w:r>
          </w:p>
        </w:tc>
        <w:tc>
          <w:tcPr>
            <w:tcW w:w="350" w:type="dxa"/>
            <w:tcBorders>
              <w:top w:val="nil"/>
              <w:left w:val="nil"/>
              <w:bottom w:val="single" w:sz="4" w:space="0" w:color="auto"/>
              <w:right w:val="single" w:sz="4" w:space="0" w:color="auto"/>
            </w:tcBorders>
            <w:shd w:val="clear" w:color="000000" w:fill="FFFFFF"/>
            <w:vAlign w:val="center"/>
            <w:hideMark/>
          </w:tcPr>
          <w:p w14:paraId="5FEEFE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E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w:t>
            </w:r>
          </w:p>
        </w:tc>
        <w:tc>
          <w:tcPr>
            <w:tcW w:w="1442" w:type="dxa"/>
            <w:tcBorders>
              <w:top w:val="nil"/>
              <w:left w:val="nil"/>
              <w:bottom w:val="single" w:sz="4" w:space="0" w:color="auto"/>
              <w:right w:val="single" w:sz="4" w:space="0" w:color="auto"/>
            </w:tcBorders>
            <w:shd w:val="clear" w:color="auto" w:fill="auto"/>
            <w:vAlign w:val="center"/>
            <w:hideMark/>
          </w:tcPr>
          <w:p w14:paraId="5FEEFE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MB/DPPSH/SHISH/AISM/SPAK</w:t>
            </w:r>
          </w:p>
        </w:tc>
        <w:tc>
          <w:tcPr>
            <w:tcW w:w="201" w:type="dxa"/>
            <w:tcBorders>
              <w:top w:val="nil"/>
              <w:left w:val="nil"/>
              <w:bottom w:val="single" w:sz="4" w:space="0" w:color="auto"/>
              <w:right w:val="single" w:sz="4" w:space="0" w:color="auto"/>
            </w:tcBorders>
            <w:shd w:val="clear" w:color="auto" w:fill="auto"/>
            <w:vAlign w:val="center"/>
            <w:hideMark/>
          </w:tcPr>
          <w:p w14:paraId="5FEEFE1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E1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E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EFE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vAlign w:val="center"/>
            <w:hideMark/>
          </w:tcPr>
          <w:p w14:paraId="5FEEFE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EFE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vAlign w:val="center"/>
            <w:hideMark/>
          </w:tcPr>
          <w:p w14:paraId="5FEEFE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EFE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45" w:type="dxa"/>
            <w:tcBorders>
              <w:top w:val="nil"/>
              <w:left w:val="nil"/>
              <w:bottom w:val="single" w:sz="4" w:space="0" w:color="auto"/>
              <w:right w:val="single" w:sz="4" w:space="0" w:color="auto"/>
            </w:tcBorders>
            <w:shd w:val="clear" w:color="000000" w:fill="FFFFFF"/>
            <w:vAlign w:val="center"/>
            <w:hideMark/>
          </w:tcPr>
          <w:p w14:paraId="5FEEFE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EFE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345" w:type="dxa"/>
            <w:tcBorders>
              <w:top w:val="nil"/>
              <w:left w:val="nil"/>
              <w:bottom w:val="single" w:sz="4" w:space="0" w:color="auto"/>
              <w:right w:val="single" w:sz="4" w:space="0" w:color="auto"/>
            </w:tcBorders>
            <w:shd w:val="clear" w:color="000000" w:fill="FFFFFF"/>
            <w:vAlign w:val="center"/>
            <w:hideMark/>
          </w:tcPr>
          <w:p w14:paraId="5FEEFE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EFE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18" w:type="dxa"/>
            <w:tcBorders>
              <w:top w:val="nil"/>
              <w:left w:val="nil"/>
              <w:bottom w:val="single" w:sz="4" w:space="0" w:color="auto"/>
              <w:right w:val="single" w:sz="4" w:space="0" w:color="auto"/>
            </w:tcBorders>
            <w:shd w:val="clear" w:color="000000" w:fill="FFFFFF"/>
            <w:vAlign w:val="center"/>
            <w:hideMark/>
          </w:tcPr>
          <w:p w14:paraId="5FEEFE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E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E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E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E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E4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2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1.2.5</w:t>
            </w:r>
          </w:p>
        </w:tc>
        <w:tc>
          <w:tcPr>
            <w:tcW w:w="814" w:type="dxa"/>
            <w:tcBorders>
              <w:top w:val="nil"/>
              <w:left w:val="nil"/>
              <w:bottom w:val="single" w:sz="4" w:space="0" w:color="auto"/>
              <w:right w:val="single" w:sz="4" w:space="0" w:color="auto"/>
            </w:tcBorders>
            <w:shd w:val="clear" w:color="auto" w:fill="auto"/>
            <w:vAlign w:val="center"/>
            <w:hideMark/>
          </w:tcPr>
          <w:p w14:paraId="5FEEFE28" w14:textId="06ACA5B0"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Analizimi</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i Raporteve të Aktivitetit të Dyshuar për Financim të Terrorizmit dhe dërgimi i informacioneve në </w:t>
            </w:r>
            <w:r w:rsidRPr="00795698">
              <w:rPr>
                <w:rFonts w:ascii="Arial" w:hAnsi="Arial" w:cs="Arial"/>
                <w:color w:val="000000"/>
                <w:sz w:val="6"/>
                <w:szCs w:val="6"/>
                <w:lang w:eastAsia="sq-AL"/>
              </w:rPr>
              <w:lastRenderedPageBreak/>
              <w:t>organet ligj zbatuese nëse pas verifikimeve përmbajnë dyshime për Financim të Terrorizmit</w:t>
            </w:r>
          </w:p>
        </w:tc>
        <w:tc>
          <w:tcPr>
            <w:tcW w:w="350" w:type="dxa"/>
            <w:tcBorders>
              <w:top w:val="nil"/>
              <w:left w:val="nil"/>
              <w:bottom w:val="single" w:sz="4" w:space="0" w:color="auto"/>
              <w:right w:val="single" w:sz="4" w:space="0" w:color="auto"/>
            </w:tcBorders>
            <w:shd w:val="clear" w:color="auto" w:fill="auto"/>
            <w:vAlign w:val="center"/>
            <w:hideMark/>
          </w:tcPr>
          <w:p w14:paraId="5FEEFE29" w14:textId="3D1CBFE1"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Programi 01160 Lufta kundër transaksio</w:t>
            </w:r>
            <w:r w:rsidRPr="00795698">
              <w:rPr>
                <w:rFonts w:ascii="Arial" w:hAnsi="Arial" w:cs="Arial"/>
                <w:color w:val="000000"/>
                <w:sz w:val="6"/>
                <w:szCs w:val="6"/>
                <w:lang w:eastAsia="sq-AL"/>
              </w:rPr>
              <w:lastRenderedPageBreak/>
              <w:t xml:space="preserve">neve financiare </w:t>
            </w:r>
            <w:r w:rsidR="00B4110E" w:rsidRPr="00795698">
              <w:rPr>
                <w:rFonts w:ascii="Arial" w:hAnsi="Arial" w:cs="Arial"/>
                <w:color w:val="000000"/>
                <w:sz w:val="6"/>
                <w:szCs w:val="6"/>
                <w:lang w:eastAsia="sq-AL"/>
              </w:rPr>
              <w:t>jo</w:t>
            </w:r>
            <w:r w:rsidRPr="00795698">
              <w:rPr>
                <w:rFonts w:ascii="Arial" w:hAnsi="Arial" w:cs="Arial"/>
                <w:color w:val="000000"/>
                <w:sz w:val="6"/>
                <w:szCs w:val="6"/>
                <w:lang w:eastAsia="sq-AL"/>
              </w:rPr>
              <w:t xml:space="preserve">ligjore </w:t>
            </w:r>
            <w:r w:rsidRPr="00795698">
              <w:rPr>
                <w:rFonts w:ascii="Arial" w:hAnsi="Arial" w:cs="Arial"/>
                <w:color w:val="000000"/>
                <w:sz w:val="6"/>
                <w:szCs w:val="6"/>
                <w:lang w:eastAsia="sq-AL"/>
              </w:rPr>
              <w:br/>
              <w:t>91006AA</w:t>
            </w:r>
          </w:p>
        </w:tc>
        <w:tc>
          <w:tcPr>
            <w:tcW w:w="458" w:type="dxa"/>
            <w:tcBorders>
              <w:top w:val="nil"/>
              <w:left w:val="nil"/>
              <w:bottom w:val="single" w:sz="4" w:space="0" w:color="auto"/>
              <w:right w:val="single" w:sz="4" w:space="0" w:color="auto"/>
            </w:tcBorders>
            <w:shd w:val="clear" w:color="auto" w:fill="auto"/>
            <w:vAlign w:val="center"/>
            <w:hideMark/>
          </w:tcPr>
          <w:p w14:paraId="5FEEFE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DPPPP</w:t>
            </w:r>
          </w:p>
        </w:tc>
        <w:tc>
          <w:tcPr>
            <w:tcW w:w="1442" w:type="dxa"/>
            <w:tcBorders>
              <w:top w:val="nil"/>
              <w:left w:val="nil"/>
              <w:bottom w:val="single" w:sz="4" w:space="0" w:color="auto"/>
              <w:right w:val="single" w:sz="4" w:space="0" w:color="auto"/>
            </w:tcBorders>
            <w:shd w:val="clear" w:color="auto" w:fill="auto"/>
            <w:vAlign w:val="center"/>
            <w:hideMark/>
          </w:tcPr>
          <w:p w14:paraId="5FEEFE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SHISH/AISM/SPAK/DPPSH</w:t>
            </w:r>
          </w:p>
        </w:tc>
        <w:tc>
          <w:tcPr>
            <w:tcW w:w="201" w:type="dxa"/>
            <w:tcBorders>
              <w:top w:val="nil"/>
              <w:left w:val="nil"/>
              <w:bottom w:val="single" w:sz="4" w:space="0" w:color="auto"/>
              <w:right w:val="single" w:sz="4" w:space="0" w:color="auto"/>
            </w:tcBorders>
            <w:shd w:val="clear" w:color="auto" w:fill="auto"/>
            <w:vAlign w:val="center"/>
            <w:hideMark/>
          </w:tcPr>
          <w:p w14:paraId="5FEEFE2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E2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E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98,000</w:t>
            </w:r>
          </w:p>
        </w:tc>
        <w:tc>
          <w:tcPr>
            <w:tcW w:w="228" w:type="dxa"/>
            <w:tcBorders>
              <w:top w:val="nil"/>
              <w:left w:val="nil"/>
              <w:bottom w:val="single" w:sz="4" w:space="0" w:color="auto"/>
              <w:right w:val="single" w:sz="4" w:space="0" w:color="auto"/>
            </w:tcBorders>
            <w:shd w:val="clear" w:color="000000" w:fill="FFFFFF"/>
            <w:vAlign w:val="center"/>
            <w:hideMark/>
          </w:tcPr>
          <w:p w14:paraId="5FEEFE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98,000</w:t>
            </w:r>
          </w:p>
        </w:tc>
        <w:tc>
          <w:tcPr>
            <w:tcW w:w="303" w:type="dxa"/>
            <w:tcBorders>
              <w:top w:val="nil"/>
              <w:left w:val="nil"/>
              <w:bottom w:val="single" w:sz="4" w:space="0" w:color="auto"/>
              <w:right w:val="single" w:sz="4" w:space="0" w:color="auto"/>
            </w:tcBorders>
            <w:shd w:val="clear" w:color="000000" w:fill="FFFFFF"/>
            <w:vAlign w:val="center"/>
            <w:hideMark/>
          </w:tcPr>
          <w:p w14:paraId="5FEEFE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98,000</w:t>
            </w:r>
          </w:p>
        </w:tc>
        <w:tc>
          <w:tcPr>
            <w:tcW w:w="228" w:type="dxa"/>
            <w:tcBorders>
              <w:top w:val="nil"/>
              <w:left w:val="nil"/>
              <w:bottom w:val="single" w:sz="4" w:space="0" w:color="auto"/>
              <w:right w:val="single" w:sz="4" w:space="0" w:color="auto"/>
            </w:tcBorders>
            <w:shd w:val="clear" w:color="000000" w:fill="FFFFFF"/>
            <w:vAlign w:val="center"/>
            <w:hideMark/>
          </w:tcPr>
          <w:p w14:paraId="5FEEFE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98,000</w:t>
            </w:r>
          </w:p>
        </w:tc>
        <w:tc>
          <w:tcPr>
            <w:tcW w:w="303" w:type="dxa"/>
            <w:tcBorders>
              <w:top w:val="nil"/>
              <w:left w:val="nil"/>
              <w:bottom w:val="single" w:sz="4" w:space="0" w:color="auto"/>
              <w:right w:val="single" w:sz="4" w:space="0" w:color="auto"/>
            </w:tcBorders>
            <w:shd w:val="clear" w:color="000000" w:fill="FFFFFF"/>
            <w:vAlign w:val="center"/>
            <w:hideMark/>
          </w:tcPr>
          <w:p w14:paraId="5FEEFE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98,000</w:t>
            </w:r>
          </w:p>
        </w:tc>
        <w:tc>
          <w:tcPr>
            <w:tcW w:w="228" w:type="dxa"/>
            <w:tcBorders>
              <w:top w:val="nil"/>
              <w:left w:val="nil"/>
              <w:bottom w:val="single" w:sz="4" w:space="0" w:color="auto"/>
              <w:right w:val="single" w:sz="4" w:space="0" w:color="auto"/>
            </w:tcBorders>
            <w:shd w:val="clear" w:color="000000" w:fill="FFFFFF"/>
            <w:vAlign w:val="center"/>
            <w:hideMark/>
          </w:tcPr>
          <w:p w14:paraId="5FEEFE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98,000</w:t>
            </w:r>
          </w:p>
        </w:tc>
        <w:tc>
          <w:tcPr>
            <w:tcW w:w="345" w:type="dxa"/>
            <w:tcBorders>
              <w:top w:val="nil"/>
              <w:left w:val="nil"/>
              <w:bottom w:val="single" w:sz="4" w:space="0" w:color="auto"/>
              <w:right w:val="single" w:sz="4" w:space="0" w:color="auto"/>
            </w:tcBorders>
            <w:shd w:val="clear" w:color="000000" w:fill="FFFFFF"/>
            <w:vAlign w:val="center"/>
            <w:hideMark/>
          </w:tcPr>
          <w:p w14:paraId="5FEEFE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294,000</w:t>
            </w:r>
          </w:p>
        </w:tc>
        <w:tc>
          <w:tcPr>
            <w:tcW w:w="228" w:type="dxa"/>
            <w:tcBorders>
              <w:top w:val="nil"/>
              <w:left w:val="nil"/>
              <w:bottom w:val="single" w:sz="4" w:space="0" w:color="auto"/>
              <w:right w:val="single" w:sz="4" w:space="0" w:color="auto"/>
            </w:tcBorders>
            <w:shd w:val="clear" w:color="000000" w:fill="FFFFFF"/>
            <w:vAlign w:val="center"/>
            <w:hideMark/>
          </w:tcPr>
          <w:p w14:paraId="5FEEFE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294,000</w:t>
            </w:r>
          </w:p>
        </w:tc>
        <w:tc>
          <w:tcPr>
            <w:tcW w:w="345" w:type="dxa"/>
            <w:tcBorders>
              <w:top w:val="nil"/>
              <w:left w:val="nil"/>
              <w:bottom w:val="single" w:sz="4" w:space="0" w:color="auto"/>
              <w:right w:val="single" w:sz="4" w:space="0" w:color="auto"/>
            </w:tcBorders>
            <w:shd w:val="clear" w:color="000000" w:fill="FFFFFF"/>
            <w:vAlign w:val="center"/>
            <w:hideMark/>
          </w:tcPr>
          <w:p w14:paraId="5FEEFE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294,000</w:t>
            </w:r>
          </w:p>
        </w:tc>
        <w:tc>
          <w:tcPr>
            <w:tcW w:w="228" w:type="dxa"/>
            <w:tcBorders>
              <w:top w:val="nil"/>
              <w:left w:val="nil"/>
              <w:bottom w:val="single" w:sz="4" w:space="0" w:color="auto"/>
              <w:right w:val="single" w:sz="4" w:space="0" w:color="auto"/>
            </w:tcBorders>
            <w:shd w:val="clear" w:color="000000" w:fill="FFFFFF"/>
            <w:vAlign w:val="center"/>
            <w:hideMark/>
          </w:tcPr>
          <w:p w14:paraId="5FEEFE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294,000</w:t>
            </w:r>
          </w:p>
        </w:tc>
        <w:tc>
          <w:tcPr>
            <w:tcW w:w="218" w:type="dxa"/>
            <w:tcBorders>
              <w:top w:val="nil"/>
              <w:left w:val="nil"/>
              <w:bottom w:val="single" w:sz="4" w:space="0" w:color="auto"/>
              <w:right w:val="single" w:sz="4" w:space="0" w:color="auto"/>
            </w:tcBorders>
            <w:shd w:val="clear" w:color="000000" w:fill="FFFFFF"/>
            <w:vAlign w:val="center"/>
            <w:hideMark/>
          </w:tcPr>
          <w:p w14:paraId="5FEEFE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E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E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E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E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E5E"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EFE4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EFE44"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1.2</w:t>
            </w:r>
          </w:p>
        </w:tc>
        <w:tc>
          <w:tcPr>
            <w:tcW w:w="350" w:type="dxa"/>
            <w:tcBorders>
              <w:top w:val="nil"/>
              <w:left w:val="nil"/>
              <w:bottom w:val="single" w:sz="4" w:space="0" w:color="auto"/>
              <w:right w:val="single" w:sz="4" w:space="0" w:color="auto"/>
            </w:tcBorders>
            <w:shd w:val="clear" w:color="000000" w:fill="D9D9D9"/>
            <w:vAlign w:val="center"/>
            <w:hideMark/>
          </w:tcPr>
          <w:p w14:paraId="5FEEFE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EFE4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EFE4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EFE4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EFE4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EFE4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26,598,000</w:t>
            </w:r>
          </w:p>
        </w:tc>
        <w:tc>
          <w:tcPr>
            <w:tcW w:w="228" w:type="dxa"/>
            <w:tcBorders>
              <w:top w:val="nil"/>
              <w:left w:val="nil"/>
              <w:bottom w:val="single" w:sz="4" w:space="0" w:color="auto"/>
              <w:right w:val="single" w:sz="4" w:space="0" w:color="auto"/>
            </w:tcBorders>
            <w:shd w:val="clear" w:color="000000" w:fill="D9D9D9"/>
            <w:vAlign w:val="center"/>
            <w:hideMark/>
          </w:tcPr>
          <w:p w14:paraId="5FEEFE4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E4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26,598,000</w:t>
            </w:r>
          </w:p>
        </w:tc>
        <w:tc>
          <w:tcPr>
            <w:tcW w:w="303" w:type="dxa"/>
            <w:tcBorders>
              <w:top w:val="nil"/>
              <w:left w:val="nil"/>
              <w:bottom w:val="single" w:sz="4" w:space="0" w:color="auto"/>
              <w:right w:val="single" w:sz="4" w:space="0" w:color="auto"/>
            </w:tcBorders>
            <w:shd w:val="clear" w:color="000000" w:fill="D9D9D9"/>
            <w:vAlign w:val="center"/>
            <w:hideMark/>
          </w:tcPr>
          <w:p w14:paraId="5FEEFE4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26,598,000</w:t>
            </w:r>
          </w:p>
        </w:tc>
        <w:tc>
          <w:tcPr>
            <w:tcW w:w="228" w:type="dxa"/>
            <w:tcBorders>
              <w:top w:val="nil"/>
              <w:left w:val="nil"/>
              <w:bottom w:val="single" w:sz="4" w:space="0" w:color="auto"/>
              <w:right w:val="single" w:sz="4" w:space="0" w:color="auto"/>
            </w:tcBorders>
            <w:shd w:val="clear" w:color="000000" w:fill="D9D9D9"/>
            <w:vAlign w:val="center"/>
            <w:hideMark/>
          </w:tcPr>
          <w:p w14:paraId="5FEEFE4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E4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26,598,000</w:t>
            </w:r>
          </w:p>
        </w:tc>
        <w:tc>
          <w:tcPr>
            <w:tcW w:w="303" w:type="dxa"/>
            <w:tcBorders>
              <w:top w:val="nil"/>
              <w:left w:val="nil"/>
              <w:bottom w:val="single" w:sz="4" w:space="0" w:color="auto"/>
              <w:right w:val="single" w:sz="4" w:space="0" w:color="auto"/>
            </w:tcBorders>
            <w:shd w:val="clear" w:color="000000" w:fill="D9D9D9"/>
            <w:vAlign w:val="center"/>
            <w:hideMark/>
          </w:tcPr>
          <w:p w14:paraId="5FEEFE5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26,598,000</w:t>
            </w:r>
          </w:p>
        </w:tc>
        <w:tc>
          <w:tcPr>
            <w:tcW w:w="228" w:type="dxa"/>
            <w:tcBorders>
              <w:top w:val="nil"/>
              <w:left w:val="nil"/>
              <w:bottom w:val="single" w:sz="4" w:space="0" w:color="auto"/>
              <w:right w:val="single" w:sz="4" w:space="0" w:color="auto"/>
            </w:tcBorders>
            <w:shd w:val="clear" w:color="000000" w:fill="D9D9D9"/>
            <w:vAlign w:val="center"/>
            <w:hideMark/>
          </w:tcPr>
          <w:p w14:paraId="5FEEFE5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E5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26,598,000</w:t>
            </w:r>
          </w:p>
        </w:tc>
        <w:tc>
          <w:tcPr>
            <w:tcW w:w="345" w:type="dxa"/>
            <w:tcBorders>
              <w:top w:val="nil"/>
              <w:left w:val="nil"/>
              <w:bottom w:val="single" w:sz="4" w:space="0" w:color="auto"/>
              <w:right w:val="single" w:sz="4" w:space="0" w:color="auto"/>
            </w:tcBorders>
            <w:shd w:val="clear" w:color="000000" w:fill="D9D9D9"/>
            <w:vAlign w:val="center"/>
            <w:hideMark/>
          </w:tcPr>
          <w:p w14:paraId="5FEEFE5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79,794,000</w:t>
            </w:r>
          </w:p>
        </w:tc>
        <w:tc>
          <w:tcPr>
            <w:tcW w:w="228" w:type="dxa"/>
            <w:tcBorders>
              <w:top w:val="nil"/>
              <w:left w:val="nil"/>
              <w:bottom w:val="single" w:sz="4" w:space="0" w:color="auto"/>
              <w:right w:val="single" w:sz="4" w:space="0" w:color="auto"/>
            </w:tcBorders>
            <w:shd w:val="clear" w:color="000000" w:fill="D9D9D9"/>
            <w:vAlign w:val="center"/>
            <w:hideMark/>
          </w:tcPr>
          <w:p w14:paraId="5FEEFE5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EFE5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79,794,000</w:t>
            </w:r>
          </w:p>
        </w:tc>
        <w:tc>
          <w:tcPr>
            <w:tcW w:w="345" w:type="dxa"/>
            <w:tcBorders>
              <w:top w:val="nil"/>
              <w:left w:val="nil"/>
              <w:bottom w:val="single" w:sz="4" w:space="0" w:color="auto"/>
              <w:right w:val="single" w:sz="4" w:space="0" w:color="auto"/>
            </w:tcBorders>
            <w:shd w:val="clear" w:color="000000" w:fill="D9D9D9"/>
            <w:vAlign w:val="center"/>
            <w:hideMark/>
          </w:tcPr>
          <w:p w14:paraId="5FEEFE5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79,794,000</w:t>
            </w:r>
          </w:p>
        </w:tc>
        <w:tc>
          <w:tcPr>
            <w:tcW w:w="228" w:type="dxa"/>
            <w:tcBorders>
              <w:top w:val="nil"/>
              <w:left w:val="nil"/>
              <w:bottom w:val="single" w:sz="4" w:space="0" w:color="auto"/>
              <w:right w:val="single" w:sz="4" w:space="0" w:color="auto"/>
            </w:tcBorders>
            <w:shd w:val="clear" w:color="000000" w:fill="D9D9D9"/>
            <w:vAlign w:val="center"/>
            <w:hideMark/>
          </w:tcPr>
          <w:p w14:paraId="5FEEFE5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EFE5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79,794,000</w:t>
            </w:r>
          </w:p>
        </w:tc>
        <w:tc>
          <w:tcPr>
            <w:tcW w:w="218" w:type="dxa"/>
            <w:tcBorders>
              <w:top w:val="nil"/>
              <w:left w:val="nil"/>
              <w:bottom w:val="single" w:sz="4" w:space="0" w:color="auto"/>
              <w:right w:val="single" w:sz="4" w:space="0" w:color="auto"/>
            </w:tcBorders>
            <w:shd w:val="clear" w:color="000000" w:fill="D9D9D9"/>
            <w:vAlign w:val="center"/>
            <w:hideMark/>
          </w:tcPr>
          <w:p w14:paraId="5FEEFE5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EFE5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EFE5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EFE5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EFE5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EFE7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5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w:t>
            </w:r>
          </w:p>
        </w:tc>
        <w:tc>
          <w:tcPr>
            <w:tcW w:w="814" w:type="dxa"/>
            <w:tcBorders>
              <w:top w:val="nil"/>
              <w:left w:val="nil"/>
              <w:bottom w:val="single" w:sz="4" w:space="0" w:color="auto"/>
              <w:right w:val="single" w:sz="4" w:space="0" w:color="auto"/>
            </w:tcBorders>
            <w:shd w:val="clear" w:color="auto" w:fill="auto"/>
            <w:vAlign w:val="center"/>
            <w:hideMark/>
          </w:tcPr>
          <w:p w14:paraId="5FEEFE60" w14:textId="2D2235CB"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INTENSIFIKIMI I MASAVE PËR NDJEKJEN DHE MONITORIMIN E SITUATËS LIDHUR ME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SHTETASIT</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SHQIPTARË LHT QË MUND TË KTHEHEN NGA ZONAT E KONFLIKTIT SIRI/IRAK, SI DHE ÇDO INDIVIDI TË DYSHUAR PËR VEPRA ME QËLLIME TERRORISTE.</w:t>
            </w:r>
          </w:p>
        </w:tc>
        <w:tc>
          <w:tcPr>
            <w:tcW w:w="350" w:type="dxa"/>
            <w:tcBorders>
              <w:top w:val="nil"/>
              <w:left w:val="nil"/>
              <w:bottom w:val="single" w:sz="4" w:space="0" w:color="auto"/>
              <w:right w:val="single" w:sz="4" w:space="0" w:color="auto"/>
            </w:tcBorders>
            <w:shd w:val="clear" w:color="auto" w:fill="auto"/>
            <w:vAlign w:val="center"/>
            <w:hideMark/>
          </w:tcPr>
          <w:p w14:paraId="5FEEFE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E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E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E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E6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E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E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EFE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EFE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E9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EFE7C" w14:textId="205CBE05"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r w:rsidR="007C064A" w:rsidRPr="00795698">
              <w:rPr>
                <w:rFonts w:ascii="Arial" w:hAnsi="Arial" w:cs="Arial"/>
                <w:b/>
                <w:bCs/>
                <w:i/>
                <w:iCs/>
                <w:color w:val="0066CC"/>
                <w:sz w:val="6"/>
                <w:szCs w:val="6"/>
                <w:lang w:eastAsia="sq-AL"/>
              </w:rPr>
              <w:t xml:space="preserve"> </w:t>
            </w:r>
          </w:p>
        </w:tc>
        <w:tc>
          <w:tcPr>
            <w:tcW w:w="350" w:type="dxa"/>
            <w:tcBorders>
              <w:top w:val="nil"/>
              <w:left w:val="nil"/>
              <w:bottom w:val="single" w:sz="4" w:space="0" w:color="auto"/>
              <w:right w:val="single" w:sz="4" w:space="0" w:color="auto"/>
            </w:tcBorders>
            <w:shd w:val="clear" w:color="auto" w:fill="auto"/>
            <w:vAlign w:val="center"/>
            <w:hideMark/>
          </w:tcPr>
          <w:p w14:paraId="5FEEFE7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E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E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E8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E8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E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E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E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E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E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EFE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EFE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EB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9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1.3.1</w:t>
            </w:r>
          </w:p>
        </w:tc>
        <w:tc>
          <w:tcPr>
            <w:tcW w:w="814" w:type="dxa"/>
            <w:tcBorders>
              <w:top w:val="nil"/>
              <w:left w:val="nil"/>
              <w:bottom w:val="single" w:sz="4" w:space="0" w:color="auto"/>
              <w:right w:val="single" w:sz="4" w:space="0" w:color="auto"/>
            </w:tcBorders>
            <w:shd w:val="clear" w:color="auto" w:fill="auto"/>
            <w:vAlign w:val="center"/>
            <w:hideMark/>
          </w:tcPr>
          <w:p w14:paraId="5FEEFE98"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Mbajtja nën monitorim të vazhdueshëm të personave të kthyer LHT dhe ata që mund të kthehen nga zonat e konfliktit</w:t>
            </w:r>
          </w:p>
        </w:tc>
        <w:tc>
          <w:tcPr>
            <w:tcW w:w="350" w:type="dxa"/>
            <w:tcBorders>
              <w:top w:val="nil"/>
              <w:left w:val="nil"/>
              <w:bottom w:val="single" w:sz="4" w:space="0" w:color="auto"/>
              <w:right w:val="single" w:sz="4" w:space="0" w:color="auto"/>
            </w:tcBorders>
            <w:shd w:val="clear" w:color="000000" w:fill="FFFFFF"/>
            <w:vAlign w:val="center"/>
            <w:hideMark/>
          </w:tcPr>
          <w:p w14:paraId="5FEEFE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E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EFE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SHISH/MM/AISM/MFE/SPAK/DPPPP/QKEDH/MAS/MSHMS</w:t>
            </w:r>
          </w:p>
        </w:tc>
        <w:tc>
          <w:tcPr>
            <w:tcW w:w="201" w:type="dxa"/>
            <w:tcBorders>
              <w:top w:val="nil"/>
              <w:left w:val="nil"/>
              <w:bottom w:val="single" w:sz="4" w:space="0" w:color="auto"/>
              <w:right w:val="single" w:sz="4" w:space="0" w:color="auto"/>
            </w:tcBorders>
            <w:shd w:val="clear" w:color="auto" w:fill="auto"/>
            <w:vAlign w:val="center"/>
            <w:hideMark/>
          </w:tcPr>
          <w:p w14:paraId="5FEEFE9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E9D"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E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2,800,000</w:t>
            </w:r>
          </w:p>
        </w:tc>
        <w:tc>
          <w:tcPr>
            <w:tcW w:w="228" w:type="dxa"/>
            <w:tcBorders>
              <w:top w:val="nil"/>
              <w:left w:val="nil"/>
              <w:bottom w:val="single" w:sz="4" w:space="0" w:color="auto"/>
              <w:right w:val="single" w:sz="4" w:space="0" w:color="auto"/>
            </w:tcBorders>
            <w:shd w:val="clear" w:color="000000" w:fill="FFFFFF"/>
            <w:vAlign w:val="center"/>
            <w:hideMark/>
          </w:tcPr>
          <w:p w14:paraId="5FEEFE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2,800,000</w:t>
            </w:r>
          </w:p>
        </w:tc>
        <w:tc>
          <w:tcPr>
            <w:tcW w:w="303" w:type="dxa"/>
            <w:tcBorders>
              <w:top w:val="nil"/>
              <w:left w:val="nil"/>
              <w:bottom w:val="single" w:sz="4" w:space="0" w:color="auto"/>
              <w:right w:val="single" w:sz="4" w:space="0" w:color="auto"/>
            </w:tcBorders>
            <w:shd w:val="clear" w:color="000000" w:fill="FFFFFF"/>
            <w:vAlign w:val="center"/>
            <w:hideMark/>
          </w:tcPr>
          <w:p w14:paraId="5FEEFE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2,800,000</w:t>
            </w:r>
          </w:p>
        </w:tc>
        <w:tc>
          <w:tcPr>
            <w:tcW w:w="228" w:type="dxa"/>
            <w:tcBorders>
              <w:top w:val="nil"/>
              <w:left w:val="nil"/>
              <w:bottom w:val="single" w:sz="4" w:space="0" w:color="auto"/>
              <w:right w:val="single" w:sz="4" w:space="0" w:color="auto"/>
            </w:tcBorders>
            <w:shd w:val="clear" w:color="000000" w:fill="FFFFFF"/>
            <w:vAlign w:val="center"/>
            <w:hideMark/>
          </w:tcPr>
          <w:p w14:paraId="5FEEFE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2,800,000</w:t>
            </w:r>
          </w:p>
        </w:tc>
        <w:tc>
          <w:tcPr>
            <w:tcW w:w="303" w:type="dxa"/>
            <w:tcBorders>
              <w:top w:val="nil"/>
              <w:left w:val="nil"/>
              <w:bottom w:val="single" w:sz="4" w:space="0" w:color="auto"/>
              <w:right w:val="single" w:sz="4" w:space="0" w:color="auto"/>
            </w:tcBorders>
            <w:shd w:val="clear" w:color="000000" w:fill="FFFFFF"/>
            <w:vAlign w:val="center"/>
            <w:hideMark/>
          </w:tcPr>
          <w:p w14:paraId="5FEEFE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2,800,000</w:t>
            </w:r>
          </w:p>
        </w:tc>
        <w:tc>
          <w:tcPr>
            <w:tcW w:w="228" w:type="dxa"/>
            <w:tcBorders>
              <w:top w:val="nil"/>
              <w:left w:val="nil"/>
              <w:bottom w:val="single" w:sz="4" w:space="0" w:color="auto"/>
              <w:right w:val="single" w:sz="4" w:space="0" w:color="auto"/>
            </w:tcBorders>
            <w:shd w:val="clear" w:color="000000" w:fill="FFFFFF"/>
            <w:vAlign w:val="center"/>
            <w:hideMark/>
          </w:tcPr>
          <w:p w14:paraId="5FEEFE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2,800,000</w:t>
            </w:r>
          </w:p>
        </w:tc>
        <w:tc>
          <w:tcPr>
            <w:tcW w:w="345" w:type="dxa"/>
            <w:tcBorders>
              <w:top w:val="nil"/>
              <w:left w:val="nil"/>
              <w:bottom w:val="single" w:sz="4" w:space="0" w:color="auto"/>
              <w:right w:val="single" w:sz="4" w:space="0" w:color="auto"/>
            </w:tcBorders>
            <w:shd w:val="clear" w:color="000000" w:fill="FFFFFF"/>
            <w:vAlign w:val="center"/>
            <w:hideMark/>
          </w:tcPr>
          <w:p w14:paraId="5FEEFE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8,400,000</w:t>
            </w:r>
          </w:p>
        </w:tc>
        <w:tc>
          <w:tcPr>
            <w:tcW w:w="228" w:type="dxa"/>
            <w:tcBorders>
              <w:top w:val="nil"/>
              <w:left w:val="nil"/>
              <w:bottom w:val="single" w:sz="4" w:space="0" w:color="auto"/>
              <w:right w:val="single" w:sz="4" w:space="0" w:color="auto"/>
            </w:tcBorders>
            <w:shd w:val="clear" w:color="000000" w:fill="FFFFFF"/>
            <w:vAlign w:val="center"/>
            <w:hideMark/>
          </w:tcPr>
          <w:p w14:paraId="5FEEFE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8,400,000</w:t>
            </w:r>
          </w:p>
        </w:tc>
        <w:tc>
          <w:tcPr>
            <w:tcW w:w="345" w:type="dxa"/>
            <w:tcBorders>
              <w:top w:val="nil"/>
              <w:left w:val="nil"/>
              <w:bottom w:val="single" w:sz="4" w:space="0" w:color="auto"/>
              <w:right w:val="single" w:sz="4" w:space="0" w:color="auto"/>
            </w:tcBorders>
            <w:shd w:val="clear" w:color="000000" w:fill="FFFFFF"/>
            <w:vAlign w:val="center"/>
            <w:hideMark/>
          </w:tcPr>
          <w:p w14:paraId="5FEEFE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8,400,000</w:t>
            </w:r>
          </w:p>
        </w:tc>
        <w:tc>
          <w:tcPr>
            <w:tcW w:w="228" w:type="dxa"/>
            <w:tcBorders>
              <w:top w:val="nil"/>
              <w:left w:val="nil"/>
              <w:bottom w:val="single" w:sz="4" w:space="0" w:color="auto"/>
              <w:right w:val="single" w:sz="4" w:space="0" w:color="auto"/>
            </w:tcBorders>
            <w:shd w:val="clear" w:color="000000" w:fill="FFFFFF"/>
            <w:vAlign w:val="center"/>
            <w:hideMark/>
          </w:tcPr>
          <w:p w14:paraId="5FEEFE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8,400,000</w:t>
            </w:r>
          </w:p>
        </w:tc>
        <w:tc>
          <w:tcPr>
            <w:tcW w:w="218" w:type="dxa"/>
            <w:tcBorders>
              <w:top w:val="nil"/>
              <w:left w:val="nil"/>
              <w:bottom w:val="single" w:sz="4" w:space="0" w:color="auto"/>
              <w:right w:val="single" w:sz="4" w:space="0" w:color="auto"/>
            </w:tcBorders>
            <w:shd w:val="clear" w:color="000000" w:fill="FFFFFF"/>
            <w:vAlign w:val="center"/>
            <w:hideMark/>
          </w:tcPr>
          <w:p w14:paraId="5FEEFE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E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E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E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E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EC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B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1.3.2</w:t>
            </w:r>
          </w:p>
        </w:tc>
        <w:tc>
          <w:tcPr>
            <w:tcW w:w="814" w:type="dxa"/>
            <w:tcBorders>
              <w:top w:val="nil"/>
              <w:left w:val="nil"/>
              <w:bottom w:val="single" w:sz="4" w:space="0" w:color="auto"/>
              <w:right w:val="single" w:sz="4" w:space="0" w:color="auto"/>
            </w:tcBorders>
            <w:shd w:val="clear" w:color="auto" w:fill="auto"/>
            <w:vAlign w:val="center"/>
            <w:hideMark/>
          </w:tcPr>
          <w:p w14:paraId="5FEEFEB4" w14:textId="79E9AD3E"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xml:space="preserve">Lidhja e marrëveshjeve të bashkëpunimit/operacioneve të përbashkëta me </w:t>
            </w:r>
            <w:r w:rsidR="007265E9" w:rsidRPr="00795698">
              <w:rPr>
                <w:rFonts w:ascii="Arial" w:hAnsi="Arial" w:cs="Arial"/>
                <w:color w:val="000000"/>
                <w:sz w:val="6"/>
                <w:szCs w:val="6"/>
                <w:lang w:eastAsia="sq-AL"/>
              </w:rPr>
              <w:t>agjenc</w:t>
            </w:r>
            <w:r w:rsidRPr="00795698">
              <w:rPr>
                <w:rFonts w:ascii="Arial" w:hAnsi="Arial" w:cs="Arial"/>
                <w:color w:val="000000"/>
                <w:sz w:val="6"/>
                <w:szCs w:val="6"/>
                <w:lang w:eastAsia="sq-AL"/>
              </w:rPr>
              <w:t>itë inteligjente në vend dhe ato ndërkombëtare lidhur me LHT</w:t>
            </w:r>
          </w:p>
        </w:tc>
        <w:tc>
          <w:tcPr>
            <w:tcW w:w="350" w:type="dxa"/>
            <w:tcBorders>
              <w:top w:val="nil"/>
              <w:left w:val="nil"/>
              <w:bottom w:val="single" w:sz="4" w:space="0" w:color="auto"/>
              <w:right w:val="single" w:sz="4" w:space="0" w:color="auto"/>
            </w:tcBorders>
            <w:shd w:val="clear" w:color="000000" w:fill="FFFFFF"/>
            <w:vAlign w:val="center"/>
            <w:hideMark/>
          </w:tcPr>
          <w:p w14:paraId="5FEEFE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E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EFE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MM/AISM/MFE/SPAK/DPPPP/QKEDH/MAS/MSHMS/MEPJ</w:t>
            </w:r>
          </w:p>
        </w:tc>
        <w:tc>
          <w:tcPr>
            <w:tcW w:w="201" w:type="dxa"/>
            <w:tcBorders>
              <w:top w:val="nil"/>
              <w:left w:val="nil"/>
              <w:bottom w:val="single" w:sz="4" w:space="0" w:color="auto"/>
              <w:right w:val="single" w:sz="4" w:space="0" w:color="auto"/>
            </w:tcBorders>
            <w:shd w:val="clear" w:color="auto" w:fill="auto"/>
            <w:vAlign w:val="center"/>
            <w:hideMark/>
          </w:tcPr>
          <w:p w14:paraId="5FEEFEB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EB9"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E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EFE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vAlign w:val="center"/>
            <w:hideMark/>
          </w:tcPr>
          <w:p w14:paraId="5FEEFE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EFE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vAlign w:val="center"/>
            <w:hideMark/>
          </w:tcPr>
          <w:p w14:paraId="5FEEFE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EFE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5FEEFE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EFE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45" w:type="dxa"/>
            <w:tcBorders>
              <w:top w:val="nil"/>
              <w:left w:val="nil"/>
              <w:bottom w:val="single" w:sz="4" w:space="0" w:color="auto"/>
              <w:right w:val="single" w:sz="4" w:space="0" w:color="auto"/>
            </w:tcBorders>
            <w:shd w:val="clear" w:color="000000" w:fill="FFFFFF"/>
            <w:vAlign w:val="center"/>
            <w:hideMark/>
          </w:tcPr>
          <w:p w14:paraId="5FEEFE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EFE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18" w:type="dxa"/>
            <w:tcBorders>
              <w:top w:val="nil"/>
              <w:left w:val="nil"/>
              <w:bottom w:val="single" w:sz="4" w:space="0" w:color="auto"/>
              <w:right w:val="single" w:sz="4" w:space="0" w:color="auto"/>
            </w:tcBorders>
            <w:shd w:val="clear" w:color="000000" w:fill="FFFFFF"/>
            <w:vAlign w:val="center"/>
            <w:hideMark/>
          </w:tcPr>
          <w:p w14:paraId="5FEEFE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E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E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E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E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EE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EC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1.3.3</w:t>
            </w:r>
          </w:p>
        </w:tc>
        <w:tc>
          <w:tcPr>
            <w:tcW w:w="814" w:type="dxa"/>
            <w:tcBorders>
              <w:top w:val="nil"/>
              <w:left w:val="nil"/>
              <w:bottom w:val="single" w:sz="4" w:space="0" w:color="auto"/>
              <w:right w:val="single" w:sz="4" w:space="0" w:color="auto"/>
            </w:tcBorders>
            <w:shd w:val="clear" w:color="auto" w:fill="auto"/>
            <w:vAlign w:val="center"/>
            <w:hideMark/>
          </w:tcPr>
          <w:p w14:paraId="5FEEFED0"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Monitorimi i rrjeteve sociale dhe mediave elektronike në lidhje me LHT dhe individët e dyshuar për terrorizëm</w:t>
            </w:r>
          </w:p>
        </w:tc>
        <w:tc>
          <w:tcPr>
            <w:tcW w:w="350" w:type="dxa"/>
            <w:tcBorders>
              <w:top w:val="nil"/>
              <w:left w:val="nil"/>
              <w:bottom w:val="single" w:sz="4" w:space="0" w:color="auto"/>
              <w:right w:val="single" w:sz="4" w:space="0" w:color="auto"/>
            </w:tcBorders>
            <w:shd w:val="clear" w:color="000000" w:fill="FFFFFF"/>
            <w:vAlign w:val="center"/>
            <w:hideMark/>
          </w:tcPr>
          <w:p w14:paraId="5FEEFE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E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EFE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MM/AISM/MFE/SPAK/DPPPP/QKEDH/MAS/MSHMS</w:t>
            </w:r>
          </w:p>
        </w:tc>
        <w:tc>
          <w:tcPr>
            <w:tcW w:w="201" w:type="dxa"/>
            <w:tcBorders>
              <w:top w:val="nil"/>
              <w:left w:val="nil"/>
              <w:bottom w:val="single" w:sz="4" w:space="0" w:color="auto"/>
              <w:right w:val="single" w:sz="4" w:space="0" w:color="auto"/>
            </w:tcBorders>
            <w:shd w:val="clear" w:color="auto" w:fill="auto"/>
            <w:vAlign w:val="center"/>
            <w:hideMark/>
          </w:tcPr>
          <w:p w14:paraId="5FEEFED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ED5"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E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EFE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vAlign w:val="center"/>
            <w:hideMark/>
          </w:tcPr>
          <w:p w14:paraId="5FEEFE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EFE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vAlign w:val="center"/>
            <w:hideMark/>
          </w:tcPr>
          <w:p w14:paraId="5FEEFE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EFE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E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5FEEFE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EFE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45" w:type="dxa"/>
            <w:tcBorders>
              <w:top w:val="nil"/>
              <w:left w:val="nil"/>
              <w:bottom w:val="single" w:sz="4" w:space="0" w:color="auto"/>
              <w:right w:val="single" w:sz="4" w:space="0" w:color="auto"/>
            </w:tcBorders>
            <w:shd w:val="clear" w:color="000000" w:fill="FFFFFF"/>
            <w:vAlign w:val="center"/>
            <w:hideMark/>
          </w:tcPr>
          <w:p w14:paraId="5FEEFE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EFE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E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18" w:type="dxa"/>
            <w:tcBorders>
              <w:top w:val="nil"/>
              <w:left w:val="nil"/>
              <w:bottom w:val="single" w:sz="4" w:space="0" w:color="auto"/>
              <w:right w:val="single" w:sz="4" w:space="0" w:color="auto"/>
            </w:tcBorders>
            <w:shd w:val="clear" w:color="000000" w:fill="FFFFFF"/>
            <w:vAlign w:val="center"/>
            <w:hideMark/>
          </w:tcPr>
          <w:p w14:paraId="5FEEFE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E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E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E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E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F06"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EFEE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EFEEC"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1.3</w:t>
            </w:r>
          </w:p>
        </w:tc>
        <w:tc>
          <w:tcPr>
            <w:tcW w:w="350" w:type="dxa"/>
            <w:tcBorders>
              <w:top w:val="nil"/>
              <w:left w:val="nil"/>
              <w:bottom w:val="single" w:sz="4" w:space="0" w:color="auto"/>
              <w:right w:val="single" w:sz="4" w:space="0" w:color="auto"/>
            </w:tcBorders>
            <w:shd w:val="clear" w:color="000000" w:fill="D9D9D9"/>
            <w:vAlign w:val="center"/>
            <w:hideMark/>
          </w:tcPr>
          <w:p w14:paraId="5FEEFE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EFE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EFE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EFEF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EFEF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EFEF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3,800,000</w:t>
            </w:r>
          </w:p>
        </w:tc>
        <w:tc>
          <w:tcPr>
            <w:tcW w:w="228" w:type="dxa"/>
            <w:tcBorders>
              <w:top w:val="nil"/>
              <w:left w:val="nil"/>
              <w:bottom w:val="single" w:sz="4" w:space="0" w:color="auto"/>
              <w:right w:val="single" w:sz="4" w:space="0" w:color="auto"/>
            </w:tcBorders>
            <w:shd w:val="clear" w:color="000000" w:fill="D9D9D9"/>
            <w:vAlign w:val="center"/>
            <w:hideMark/>
          </w:tcPr>
          <w:p w14:paraId="5FEEFEF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EF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3,800,000</w:t>
            </w:r>
          </w:p>
        </w:tc>
        <w:tc>
          <w:tcPr>
            <w:tcW w:w="303" w:type="dxa"/>
            <w:tcBorders>
              <w:top w:val="nil"/>
              <w:left w:val="nil"/>
              <w:bottom w:val="single" w:sz="4" w:space="0" w:color="auto"/>
              <w:right w:val="single" w:sz="4" w:space="0" w:color="auto"/>
            </w:tcBorders>
            <w:shd w:val="clear" w:color="000000" w:fill="D9D9D9"/>
            <w:vAlign w:val="center"/>
            <w:hideMark/>
          </w:tcPr>
          <w:p w14:paraId="5FEEFEF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3,800,000</w:t>
            </w:r>
          </w:p>
        </w:tc>
        <w:tc>
          <w:tcPr>
            <w:tcW w:w="228" w:type="dxa"/>
            <w:tcBorders>
              <w:top w:val="nil"/>
              <w:left w:val="nil"/>
              <w:bottom w:val="single" w:sz="4" w:space="0" w:color="auto"/>
              <w:right w:val="single" w:sz="4" w:space="0" w:color="auto"/>
            </w:tcBorders>
            <w:shd w:val="clear" w:color="000000" w:fill="D9D9D9"/>
            <w:vAlign w:val="center"/>
            <w:hideMark/>
          </w:tcPr>
          <w:p w14:paraId="5FEEFEF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EF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3,800,000</w:t>
            </w:r>
          </w:p>
        </w:tc>
        <w:tc>
          <w:tcPr>
            <w:tcW w:w="303" w:type="dxa"/>
            <w:tcBorders>
              <w:top w:val="nil"/>
              <w:left w:val="nil"/>
              <w:bottom w:val="single" w:sz="4" w:space="0" w:color="auto"/>
              <w:right w:val="single" w:sz="4" w:space="0" w:color="auto"/>
            </w:tcBorders>
            <w:shd w:val="clear" w:color="000000" w:fill="D9D9D9"/>
            <w:vAlign w:val="center"/>
            <w:hideMark/>
          </w:tcPr>
          <w:p w14:paraId="5FEEFEF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3,800,000</w:t>
            </w:r>
          </w:p>
        </w:tc>
        <w:tc>
          <w:tcPr>
            <w:tcW w:w="228" w:type="dxa"/>
            <w:tcBorders>
              <w:top w:val="nil"/>
              <w:left w:val="nil"/>
              <w:bottom w:val="single" w:sz="4" w:space="0" w:color="auto"/>
              <w:right w:val="single" w:sz="4" w:space="0" w:color="auto"/>
            </w:tcBorders>
            <w:shd w:val="clear" w:color="000000" w:fill="D9D9D9"/>
            <w:vAlign w:val="center"/>
            <w:hideMark/>
          </w:tcPr>
          <w:p w14:paraId="5FEEFEF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EF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3,800,000</w:t>
            </w:r>
          </w:p>
        </w:tc>
        <w:tc>
          <w:tcPr>
            <w:tcW w:w="345" w:type="dxa"/>
            <w:tcBorders>
              <w:top w:val="nil"/>
              <w:left w:val="nil"/>
              <w:bottom w:val="single" w:sz="4" w:space="0" w:color="auto"/>
              <w:right w:val="single" w:sz="4" w:space="0" w:color="auto"/>
            </w:tcBorders>
            <w:shd w:val="clear" w:color="000000" w:fill="D9D9D9"/>
            <w:vAlign w:val="center"/>
            <w:hideMark/>
          </w:tcPr>
          <w:p w14:paraId="5FEEFEF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11,400,000</w:t>
            </w:r>
          </w:p>
        </w:tc>
        <w:tc>
          <w:tcPr>
            <w:tcW w:w="228" w:type="dxa"/>
            <w:tcBorders>
              <w:top w:val="nil"/>
              <w:left w:val="nil"/>
              <w:bottom w:val="single" w:sz="4" w:space="0" w:color="auto"/>
              <w:right w:val="single" w:sz="4" w:space="0" w:color="auto"/>
            </w:tcBorders>
            <w:shd w:val="clear" w:color="000000" w:fill="D9D9D9"/>
            <w:vAlign w:val="center"/>
            <w:hideMark/>
          </w:tcPr>
          <w:p w14:paraId="5FEEFEF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EFEF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11,400,000</w:t>
            </w:r>
          </w:p>
        </w:tc>
        <w:tc>
          <w:tcPr>
            <w:tcW w:w="345" w:type="dxa"/>
            <w:tcBorders>
              <w:top w:val="nil"/>
              <w:left w:val="nil"/>
              <w:bottom w:val="single" w:sz="4" w:space="0" w:color="auto"/>
              <w:right w:val="single" w:sz="4" w:space="0" w:color="auto"/>
            </w:tcBorders>
            <w:shd w:val="clear" w:color="000000" w:fill="D9D9D9"/>
            <w:vAlign w:val="center"/>
            <w:hideMark/>
          </w:tcPr>
          <w:p w14:paraId="5FEEFEF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11,400,000</w:t>
            </w:r>
          </w:p>
        </w:tc>
        <w:tc>
          <w:tcPr>
            <w:tcW w:w="228" w:type="dxa"/>
            <w:tcBorders>
              <w:top w:val="nil"/>
              <w:left w:val="nil"/>
              <w:bottom w:val="single" w:sz="4" w:space="0" w:color="auto"/>
              <w:right w:val="single" w:sz="4" w:space="0" w:color="auto"/>
            </w:tcBorders>
            <w:shd w:val="clear" w:color="000000" w:fill="D9D9D9"/>
            <w:vAlign w:val="center"/>
            <w:hideMark/>
          </w:tcPr>
          <w:p w14:paraId="5FEEFEF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EFF0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11,400,000</w:t>
            </w:r>
          </w:p>
        </w:tc>
        <w:tc>
          <w:tcPr>
            <w:tcW w:w="218" w:type="dxa"/>
            <w:tcBorders>
              <w:top w:val="nil"/>
              <w:left w:val="nil"/>
              <w:bottom w:val="single" w:sz="4" w:space="0" w:color="auto"/>
              <w:right w:val="single" w:sz="4" w:space="0" w:color="auto"/>
            </w:tcBorders>
            <w:shd w:val="clear" w:color="000000" w:fill="D9D9D9"/>
            <w:vAlign w:val="center"/>
            <w:hideMark/>
          </w:tcPr>
          <w:p w14:paraId="5FEEFF0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EFF0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EFF0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EFF0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EFF0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EFF2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0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w:t>
            </w:r>
          </w:p>
        </w:tc>
        <w:tc>
          <w:tcPr>
            <w:tcW w:w="814" w:type="dxa"/>
            <w:tcBorders>
              <w:top w:val="nil"/>
              <w:left w:val="nil"/>
              <w:bottom w:val="single" w:sz="4" w:space="0" w:color="auto"/>
              <w:right w:val="single" w:sz="4" w:space="0" w:color="auto"/>
            </w:tcBorders>
            <w:shd w:val="clear" w:color="auto" w:fill="auto"/>
            <w:vAlign w:val="center"/>
            <w:hideMark/>
          </w:tcPr>
          <w:p w14:paraId="5FEEFF08"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FORCIMI I BASHKËPUNIMIT DHE KOORDINIMIT TË STRUKTURAVE TË POLICISË SË SHTETIT, AGJENCIVE INTELIGJENTE DHE LIGJZBATUESE NË VEND DHE TË HUAJA QË KANË DETYRIME NË LUFTËN KUNDËR TERRORIZMIT.</w:t>
            </w:r>
          </w:p>
        </w:tc>
        <w:tc>
          <w:tcPr>
            <w:tcW w:w="350" w:type="dxa"/>
            <w:tcBorders>
              <w:top w:val="nil"/>
              <w:left w:val="nil"/>
              <w:bottom w:val="single" w:sz="4" w:space="0" w:color="auto"/>
              <w:right w:val="single" w:sz="4" w:space="0" w:color="auto"/>
            </w:tcBorders>
            <w:shd w:val="clear" w:color="auto" w:fill="auto"/>
            <w:vAlign w:val="center"/>
            <w:hideMark/>
          </w:tcPr>
          <w:p w14:paraId="5FEEFF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F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F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F0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F0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F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F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EFF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vAlign w:val="center"/>
            <w:hideMark/>
          </w:tcPr>
          <w:p w14:paraId="5FEEFF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F3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2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EFF24" w14:textId="1102F569"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r w:rsidR="007C064A" w:rsidRPr="00795698">
              <w:rPr>
                <w:rFonts w:ascii="Arial" w:hAnsi="Arial" w:cs="Arial"/>
                <w:b/>
                <w:bCs/>
                <w:i/>
                <w:iCs/>
                <w:color w:val="0066CC"/>
                <w:sz w:val="6"/>
                <w:szCs w:val="6"/>
                <w:lang w:eastAsia="sq-AL"/>
              </w:rPr>
              <w:t xml:space="preserve"> </w:t>
            </w:r>
          </w:p>
        </w:tc>
        <w:tc>
          <w:tcPr>
            <w:tcW w:w="350" w:type="dxa"/>
            <w:tcBorders>
              <w:top w:val="nil"/>
              <w:left w:val="nil"/>
              <w:bottom w:val="single" w:sz="4" w:space="0" w:color="auto"/>
              <w:right w:val="single" w:sz="4" w:space="0" w:color="auto"/>
            </w:tcBorders>
            <w:shd w:val="clear" w:color="auto" w:fill="auto"/>
            <w:vAlign w:val="center"/>
            <w:hideMark/>
          </w:tcPr>
          <w:p w14:paraId="5FEEFF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vAlign w:val="center"/>
            <w:hideMark/>
          </w:tcPr>
          <w:p w14:paraId="5FEEFF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vAlign w:val="center"/>
            <w:hideMark/>
          </w:tcPr>
          <w:p w14:paraId="5FEEFF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EFF2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EFF2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EFF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EFF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EFF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EFF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EFF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EFF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vAlign w:val="center"/>
            <w:hideMark/>
          </w:tcPr>
          <w:p w14:paraId="5FEEFF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EFF5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3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1.4.1</w:t>
            </w:r>
          </w:p>
        </w:tc>
        <w:tc>
          <w:tcPr>
            <w:tcW w:w="814" w:type="dxa"/>
            <w:tcBorders>
              <w:top w:val="nil"/>
              <w:left w:val="nil"/>
              <w:bottom w:val="single" w:sz="4" w:space="0" w:color="auto"/>
              <w:right w:val="single" w:sz="4" w:space="0" w:color="auto"/>
            </w:tcBorders>
            <w:shd w:val="clear" w:color="auto" w:fill="auto"/>
            <w:vAlign w:val="center"/>
            <w:hideMark/>
          </w:tcPr>
          <w:p w14:paraId="5FEEFF40"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informacioneve të shkëmbyera ndërmjet strukturave të PSH dhe institucioneve inteligjente e ligjzbatuese në vend</w:t>
            </w:r>
          </w:p>
        </w:tc>
        <w:tc>
          <w:tcPr>
            <w:tcW w:w="350" w:type="dxa"/>
            <w:tcBorders>
              <w:top w:val="nil"/>
              <w:left w:val="nil"/>
              <w:bottom w:val="single" w:sz="4" w:space="0" w:color="auto"/>
              <w:right w:val="single" w:sz="4" w:space="0" w:color="auto"/>
            </w:tcBorders>
            <w:shd w:val="clear" w:color="000000" w:fill="FFFFFF"/>
            <w:vAlign w:val="center"/>
            <w:hideMark/>
          </w:tcPr>
          <w:p w14:paraId="5FEEFF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F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EFF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 Europol, SELEC dhe INTERPOL</w:t>
            </w:r>
          </w:p>
        </w:tc>
        <w:tc>
          <w:tcPr>
            <w:tcW w:w="201" w:type="dxa"/>
            <w:tcBorders>
              <w:top w:val="nil"/>
              <w:left w:val="nil"/>
              <w:bottom w:val="single" w:sz="4" w:space="0" w:color="auto"/>
              <w:right w:val="single" w:sz="4" w:space="0" w:color="auto"/>
            </w:tcBorders>
            <w:shd w:val="clear" w:color="auto" w:fill="auto"/>
            <w:vAlign w:val="center"/>
            <w:hideMark/>
          </w:tcPr>
          <w:p w14:paraId="5FEEFF4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F45"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F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8,500,000</w:t>
            </w:r>
          </w:p>
        </w:tc>
        <w:tc>
          <w:tcPr>
            <w:tcW w:w="228" w:type="dxa"/>
            <w:tcBorders>
              <w:top w:val="nil"/>
              <w:left w:val="nil"/>
              <w:bottom w:val="single" w:sz="4" w:space="0" w:color="auto"/>
              <w:right w:val="single" w:sz="4" w:space="0" w:color="auto"/>
            </w:tcBorders>
            <w:shd w:val="clear" w:color="000000" w:fill="FFFFFF"/>
            <w:vAlign w:val="center"/>
            <w:hideMark/>
          </w:tcPr>
          <w:p w14:paraId="5FEEFF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8,500,000</w:t>
            </w:r>
          </w:p>
        </w:tc>
        <w:tc>
          <w:tcPr>
            <w:tcW w:w="303" w:type="dxa"/>
            <w:tcBorders>
              <w:top w:val="nil"/>
              <w:left w:val="nil"/>
              <w:bottom w:val="single" w:sz="4" w:space="0" w:color="auto"/>
              <w:right w:val="single" w:sz="4" w:space="0" w:color="auto"/>
            </w:tcBorders>
            <w:shd w:val="clear" w:color="000000" w:fill="FFFFFF"/>
            <w:vAlign w:val="center"/>
            <w:hideMark/>
          </w:tcPr>
          <w:p w14:paraId="5FEEFF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8,500,000</w:t>
            </w:r>
          </w:p>
        </w:tc>
        <w:tc>
          <w:tcPr>
            <w:tcW w:w="228" w:type="dxa"/>
            <w:tcBorders>
              <w:top w:val="nil"/>
              <w:left w:val="nil"/>
              <w:bottom w:val="single" w:sz="4" w:space="0" w:color="auto"/>
              <w:right w:val="single" w:sz="4" w:space="0" w:color="auto"/>
            </w:tcBorders>
            <w:shd w:val="clear" w:color="000000" w:fill="FFFFFF"/>
            <w:vAlign w:val="center"/>
            <w:hideMark/>
          </w:tcPr>
          <w:p w14:paraId="5FEEFF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8,500,000</w:t>
            </w:r>
          </w:p>
        </w:tc>
        <w:tc>
          <w:tcPr>
            <w:tcW w:w="303" w:type="dxa"/>
            <w:tcBorders>
              <w:top w:val="nil"/>
              <w:left w:val="nil"/>
              <w:bottom w:val="single" w:sz="4" w:space="0" w:color="auto"/>
              <w:right w:val="single" w:sz="4" w:space="0" w:color="auto"/>
            </w:tcBorders>
            <w:shd w:val="clear" w:color="000000" w:fill="FFFFFF"/>
            <w:vAlign w:val="center"/>
            <w:hideMark/>
          </w:tcPr>
          <w:p w14:paraId="5FEEFF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8,500,000</w:t>
            </w:r>
          </w:p>
        </w:tc>
        <w:tc>
          <w:tcPr>
            <w:tcW w:w="228" w:type="dxa"/>
            <w:tcBorders>
              <w:top w:val="nil"/>
              <w:left w:val="nil"/>
              <w:bottom w:val="single" w:sz="4" w:space="0" w:color="auto"/>
              <w:right w:val="single" w:sz="4" w:space="0" w:color="auto"/>
            </w:tcBorders>
            <w:shd w:val="clear" w:color="000000" w:fill="FFFFFF"/>
            <w:vAlign w:val="center"/>
            <w:hideMark/>
          </w:tcPr>
          <w:p w14:paraId="5FEEFF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8,500,000</w:t>
            </w:r>
          </w:p>
        </w:tc>
        <w:tc>
          <w:tcPr>
            <w:tcW w:w="345" w:type="dxa"/>
            <w:tcBorders>
              <w:top w:val="nil"/>
              <w:left w:val="nil"/>
              <w:bottom w:val="single" w:sz="4" w:space="0" w:color="auto"/>
              <w:right w:val="single" w:sz="4" w:space="0" w:color="auto"/>
            </w:tcBorders>
            <w:shd w:val="clear" w:color="000000" w:fill="FFFFFF"/>
            <w:vAlign w:val="center"/>
            <w:hideMark/>
          </w:tcPr>
          <w:p w14:paraId="5FEEFF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25,500,000</w:t>
            </w:r>
          </w:p>
        </w:tc>
        <w:tc>
          <w:tcPr>
            <w:tcW w:w="228" w:type="dxa"/>
            <w:tcBorders>
              <w:top w:val="nil"/>
              <w:left w:val="nil"/>
              <w:bottom w:val="single" w:sz="4" w:space="0" w:color="auto"/>
              <w:right w:val="single" w:sz="4" w:space="0" w:color="auto"/>
            </w:tcBorders>
            <w:shd w:val="clear" w:color="000000" w:fill="FFFFFF"/>
            <w:vAlign w:val="center"/>
            <w:hideMark/>
          </w:tcPr>
          <w:p w14:paraId="5FEEFF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25,500,000</w:t>
            </w:r>
          </w:p>
        </w:tc>
        <w:tc>
          <w:tcPr>
            <w:tcW w:w="345" w:type="dxa"/>
            <w:tcBorders>
              <w:top w:val="nil"/>
              <w:left w:val="nil"/>
              <w:bottom w:val="single" w:sz="4" w:space="0" w:color="auto"/>
              <w:right w:val="single" w:sz="4" w:space="0" w:color="auto"/>
            </w:tcBorders>
            <w:shd w:val="clear" w:color="000000" w:fill="FFFFFF"/>
            <w:vAlign w:val="center"/>
            <w:hideMark/>
          </w:tcPr>
          <w:p w14:paraId="5FEEFF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25,500,000</w:t>
            </w:r>
          </w:p>
        </w:tc>
        <w:tc>
          <w:tcPr>
            <w:tcW w:w="228" w:type="dxa"/>
            <w:tcBorders>
              <w:top w:val="nil"/>
              <w:left w:val="nil"/>
              <w:bottom w:val="single" w:sz="4" w:space="0" w:color="auto"/>
              <w:right w:val="single" w:sz="4" w:space="0" w:color="auto"/>
            </w:tcBorders>
            <w:shd w:val="clear" w:color="000000" w:fill="FFFFFF"/>
            <w:vAlign w:val="center"/>
            <w:hideMark/>
          </w:tcPr>
          <w:p w14:paraId="5FEEFF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25,500,000</w:t>
            </w:r>
          </w:p>
        </w:tc>
        <w:tc>
          <w:tcPr>
            <w:tcW w:w="218" w:type="dxa"/>
            <w:tcBorders>
              <w:top w:val="nil"/>
              <w:left w:val="nil"/>
              <w:bottom w:val="single" w:sz="4" w:space="0" w:color="auto"/>
              <w:right w:val="single" w:sz="4" w:space="0" w:color="auto"/>
            </w:tcBorders>
            <w:shd w:val="clear" w:color="000000" w:fill="FFFFFF"/>
            <w:vAlign w:val="center"/>
            <w:hideMark/>
          </w:tcPr>
          <w:p w14:paraId="5FEEFF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F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F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F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F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F7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5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1.4.2</w:t>
            </w:r>
          </w:p>
        </w:tc>
        <w:tc>
          <w:tcPr>
            <w:tcW w:w="814" w:type="dxa"/>
            <w:tcBorders>
              <w:top w:val="nil"/>
              <w:left w:val="nil"/>
              <w:bottom w:val="single" w:sz="4" w:space="0" w:color="auto"/>
              <w:right w:val="single" w:sz="4" w:space="0" w:color="auto"/>
            </w:tcBorders>
            <w:shd w:val="clear" w:color="auto" w:fill="auto"/>
            <w:vAlign w:val="center"/>
            <w:hideMark/>
          </w:tcPr>
          <w:p w14:paraId="5FEEFF5C" w14:textId="3ADFB1FE"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xml:space="preserve">Rritja e bashkëpunimit dhe shkëmbimi i informacioneve për verifikimin e terrorizmit në bazë të marrëveshjeve </w:t>
            </w:r>
            <w:r w:rsidR="00264E1C">
              <w:rPr>
                <w:rFonts w:ascii="Arial" w:hAnsi="Arial" w:cs="Arial"/>
                <w:color w:val="000000"/>
                <w:sz w:val="6"/>
                <w:szCs w:val="6"/>
                <w:lang w:eastAsia="sq-AL"/>
              </w:rPr>
              <w:t>dy</w:t>
            </w:r>
            <w:r w:rsidRPr="00795698">
              <w:rPr>
                <w:rFonts w:ascii="Arial" w:hAnsi="Arial" w:cs="Arial"/>
                <w:color w:val="000000"/>
                <w:sz w:val="6"/>
                <w:szCs w:val="6"/>
                <w:lang w:eastAsia="sq-AL"/>
              </w:rPr>
              <w:t>palëshe me të gjitha shërbimet homologe e partnere: Europol, SELEC, INTERPOL</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Interforza, TSC-SHBA</w:t>
            </w:r>
          </w:p>
        </w:tc>
        <w:tc>
          <w:tcPr>
            <w:tcW w:w="350" w:type="dxa"/>
            <w:tcBorders>
              <w:top w:val="nil"/>
              <w:left w:val="nil"/>
              <w:bottom w:val="single" w:sz="4" w:space="0" w:color="auto"/>
              <w:right w:val="single" w:sz="4" w:space="0" w:color="auto"/>
            </w:tcBorders>
            <w:shd w:val="clear" w:color="000000" w:fill="FFFFFF"/>
            <w:vAlign w:val="center"/>
            <w:hideMark/>
          </w:tcPr>
          <w:p w14:paraId="5FEEFF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F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EFF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w:t>
            </w:r>
          </w:p>
        </w:tc>
        <w:tc>
          <w:tcPr>
            <w:tcW w:w="201" w:type="dxa"/>
            <w:tcBorders>
              <w:top w:val="nil"/>
              <w:left w:val="nil"/>
              <w:bottom w:val="single" w:sz="4" w:space="0" w:color="auto"/>
              <w:right w:val="single" w:sz="4" w:space="0" w:color="auto"/>
            </w:tcBorders>
            <w:shd w:val="clear" w:color="auto" w:fill="auto"/>
            <w:vAlign w:val="center"/>
            <w:hideMark/>
          </w:tcPr>
          <w:p w14:paraId="5FEEFF6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F61"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F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10,000,000</w:t>
            </w:r>
          </w:p>
        </w:tc>
        <w:tc>
          <w:tcPr>
            <w:tcW w:w="228" w:type="dxa"/>
            <w:tcBorders>
              <w:top w:val="nil"/>
              <w:left w:val="nil"/>
              <w:bottom w:val="single" w:sz="4" w:space="0" w:color="auto"/>
              <w:right w:val="single" w:sz="4" w:space="0" w:color="auto"/>
            </w:tcBorders>
            <w:shd w:val="clear" w:color="000000" w:fill="FFFFFF"/>
            <w:vAlign w:val="center"/>
            <w:hideMark/>
          </w:tcPr>
          <w:p w14:paraId="5FEEFF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10,000,000</w:t>
            </w:r>
          </w:p>
        </w:tc>
        <w:tc>
          <w:tcPr>
            <w:tcW w:w="303" w:type="dxa"/>
            <w:tcBorders>
              <w:top w:val="nil"/>
              <w:left w:val="nil"/>
              <w:bottom w:val="single" w:sz="4" w:space="0" w:color="auto"/>
              <w:right w:val="single" w:sz="4" w:space="0" w:color="auto"/>
            </w:tcBorders>
            <w:shd w:val="clear" w:color="000000" w:fill="FFFFFF"/>
            <w:vAlign w:val="center"/>
            <w:hideMark/>
          </w:tcPr>
          <w:p w14:paraId="5FEEFF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10,000,000</w:t>
            </w:r>
          </w:p>
        </w:tc>
        <w:tc>
          <w:tcPr>
            <w:tcW w:w="228" w:type="dxa"/>
            <w:tcBorders>
              <w:top w:val="nil"/>
              <w:left w:val="nil"/>
              <w:bottom w:val="single" w:sz="4" w:space="0" w:color="auto"/>
              <w:right w:val="single" w:sz="4" w:space="0" w:color="auto"/>
            </w:tcBorders>
            <w:shd w:val="clear" w:color="000000" w:fill="FFFFFF"/>
            <w:vAlign w:val="center"/>
            <w:hideMark/>
          </w:tcPr>
          <w:p w14:paraId="5FEEFF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10,000,000</w:t>
            </w:r>
          </w:p>
        </w:tc>
        <w:tc>
          <w:tcPr>
            <w:tcW w:w="303" w:type="dxa"/>
            <w:tcBorders>
              <w:top w:val="nil"/>
              <w:left w:val="nil"/>
              <w:bottom w:val="single" w:sz="4" w:space="0" w:color="auto"/>
              <w:right w:val="single" w:sz="4" w:space="0" w:color="auto"/>
            </w:tcBorders>
            <w:shd w:val="clear" w:color="000000" w:fill="FFFFFF"/>
            <w:vAlign w:val="center"/>
            <w:hideMark/>
          </w:tcPr>
          <w:p w14:paraId="5FEEFF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10,000,000</w:t>
            </w:r>
          </w:p>
        </w:tc>
        <w:tc>
          <w:tcPr>
            <w:tcW w:w="228" w:type="dxa"/>
            <w:tcBorders>
              <w:top w:val="nil"/>
              <w:left w:val="nil"/>
              <w:bottom w:val="single" w:sz="4" w:space="0" w:color="auto"/>
              <w:right w:val="single" w:sz="4" w:space="0" w:color="auto"/>
            </w:tcBorders>
            <w:shd w:val="clear" w:color="000000" w:fill="FFFFFF"/>
            <w:vAlign w:val="center"/>
            <w:hideMark/>
          </w:tcPr>
          <w:p w14:paraId="5FEEFF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10,000,000</w:t>
            </w:r>
          </w:p>
        </w:tc>
        <w:tc>
          <w:tcPr>
            <w:tcW w:w="345" w:type="dxa"/>
            <w:tcBorders>
              <w:top w:val="nil"/>
              <w:left w:val="nil"/>
              <w:bottom w:val="single" w:sz="4" w:space="0" w:color="auto"/>
              <w:right w:val="single" w:sz="4" w:space="0" w:color="auto"/>
            </w:tcBorders>
            <w:shd w:val="clear" w:color="000000" w:fill="FFFFFF"/>
            <w:vAlign w:val="center"/>
            <w:hideMark/>
          </w:tcPr>
          <w:p w14:paraId="5FEEFF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30,000,000</w:t>
            </w:r>
          </w:p>
        </w:tc>
        <w:tc>
          <w:tcPr>
            <w:tcW w:w="228" w:type="dxa"/>
            <w:tcBorders>
              <w:top w:val="nil"/>
              <w:left w:val="nil"/>
              <w:bottom w:val="single" w:sz="4" w:space="0" w:color="auto"/>
              <w:right w:val="single" w:sz="4" w:space="0" w:color="auto"/>
            </w:tcBorders>
            <w:shd w:val="clear" w:color="000000" w:fill="FFFFFF"/>
            <w:vAlign w:val="center"/>
            <w:hideMark/>
          </w:tcPr>
          <w:p w14:paraId="5FEEFF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30,000,000</w:t>
            </w:r>
          </w:p>
        </w:tc>
        <w:tc>
          <w:tcPr>
            <w:tcW w:w="345" w:type="dxa"/>
            <w:tcBorders>
              <w:top w:val="nil"/>
              <w:left w:val="nil"/>
              <w:bottom w:val="single" w:sz="4" w:space="0" w:color="auto"/>
              <w:right w:val="single" w:sz="4" w:space="0" w:color="auto"/>
            </w:tcBorders>
            <w:shd w:val="clear" w:color="000000" w:fill="FFFFFF"/>
            <w:vAlign w:val="center"/>
            <w:hideMark/>
          </w:tcPr>
          <w:p w14:paraId="5FEEFF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30,000,000</w:t>
            </w:r>
          </w:p>
        </w:tc>
        <w:tc>
          <w:tcPr>
            <w:tcW w:w="228" w:type="dxa"/>
            <w:tcBorders>
              <w:top w:val="nil"/>
              <w:left w:val="nil"/>
              <w:bottom w:val="single" w:sz="4" w:space="0" w:color="auto"/>
              <w:right w:val="single" w:sz="4" w:space="0" w:color="auto"/>
            </w:tcBorders>
            <w:shd w:val="clear" w:color="000000" w:fill="FFFFFF"/>
            <w:vAlign w:val="center"/>
            <w:hideMark/>
          </w:tcPr>
          <w:p w14:paraId="5FEEFF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30,000,000</w:t>
            </w:r>
          </w:p>
        </w:tc>
        <w:tc>
          <w:tcPr>
            <w:tcW w:w="218" w:type="dxa"/>
            <w:tcBorders>
              <w:top w:val="nil"/>
              <w:left w:val="nil"/>
              <w:bottom w:val="single" w:sz="4" w:space="0" w:color="auto"/>
              <w:right w:val="single" w:sz="4" w:space="0" w:color="auto"/>
            </w:tcBorders>
            <w:shd w:val="clear" w:color="000000" w:fill="FFFFFF"/>
            <w:vAlign w:val="center"/>
            <w:hideMark/>
          </w:tcPr>
          <w:p w14:paraId="5FEEFF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F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F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F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F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F9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7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1.4.3</w:t>
            </w:r>
          </w:p>
        </w:tc>
        <w:tc>
          <w:tcPr>
            <w:tcW w:w="814" w:type="dxa"/>
            <w:tcBorders>
              <w:top w:val="nil"/>
              <w:left w:val="nil"/>
              <w:bottom w:val="single" w:sz="4" w:space="0" w:color="auto"/>
              <w:right w:val="single" w:sz="4" w:space="0" w:color="auto"/>
            </w:tcBorders>
            <w:shd w:val="clear" w:color="auto" w:fill="auto"/>
            <w:vAlign w:val="center"/>
            <w:hideMark/>
          </w:tcPr>
          <w:p w14:paraId="5FEEFF78" w14:textId="217326CC"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informacioneve të shkëmbyera për identifikimin e ve</w:t>
            </w:r>
            <w:r w:rsidR="00264E1C">
              <w:rPr>
                <w:rFonts w:ascii="Arial" w:hAnsi="Arial" w:cs="Arial"/>
                <w:color w:val="000000"/>
                <w:sz w:val="6"/>
                <w:szCs w:val="6"/>
                <w:lang w:eastAsia="sq-AL"/>
              </w:rPr>
              <w:t>nd</w:t>
            </w:r>
            <w:r w:rsidRPr="00795698">
              <w:rPr>
                <w:rFonts w:ascii="Arial" w:hAnsi="Arial" w:cs="Arial"/>
                <w:color w:val="000000"/>
                <w:sz w:val="6"/>
                <w:szCs w:val="6"/>
                <w:lang w:eastAsia="sq-AL"/>
              </w:rPr>
              <w:t>ndodhjes dhe kapjen e personave në kërkim ndërkombëtar për vepra me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qëllime terroriste</w:t>
            </w:r>
          </w:p>
        </w:tc>
        <w:tc>
          <w:tcPr>
            <w:tcW w:w="350" w:type="dxa"/>
            <w:tcBorders>
              <w:top w:val="nil"/>
              <w:left w:val="nil"/>
              <w:bottom w:val="single" w:sz="4" w:space="0" w:color="auto"/>
              <w:right w:val="single" w:sz="4" w:space="0" w:color="auto"/>
            </w:tcBorders>
            <w:shd w:val="clear" w:color="000000" w:fill="FFFFFF"/>
            <w:vAlign w:val="center"/>
            <w:hideMark/>
          </w:tcPr>
          <w:p w14:paraId="5FEEFF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F7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EFF7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w:t>
            </w:r>
          </w:p>
        </w:tc>
        <w:tc>
          <w:tcPr>
            <w:tcW w:w="201" w:type="dxa"/>
            <w:tcBorders>
              <w:top w:val="nil"/>
              <w:left w:val="nil"/>
              <w:bottom w:val="single" w:sz="4" w:space="0" w:color="auto"/>
              <w:right w:val="single" w:sz="4" w:space="0" w:color="auto"/>
            </w:tcBorders>
            <w:shd w:val="clear" w:color="auto" w:fill="auto"/>
            <w:vAlign w:val="center"/>
            <w:hideMark/>
          </w:tcPr>
          <w:p w14:paraId="5FEEFF7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F7D"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F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EFF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vAlign w:val="center"/>
            <w:hideMark/>
          </w:tcPr>
          <w:p w14:paraId="5FEEFF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EFF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vAlign w:val="center"/>
            <w:hideMark/>
          </w:tcPr>
          <w:p w14:paraId="5FEEFF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EFF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45" w:type="dxa"/>
            <w:tcBorders>
              <w:top w:val="nil"/>
              <w:left w:val="nil"/>
              <w:bottom w:val="single" w:sz="4" w:space="0" w:color="auto"/>
              <w:right w:val="single" w:sz="4" w:space="0" w:color="auto"/>
            </w:tcBorders>
            <w:shd w:val="clear" w:color="000000" w:fill="FFFFFF"/>
            <w:vAlign w:val="center"/>
            <w:hideMark/>
          </w:tcPr>
          <w:p w14:paraId="5FEEFF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EFF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345" w:type="dxa"/>
            <w:tcBorders>
              <w:top w:val="nil"/>
              <w:left w:val="nil"/>
              <w:bottom w:val="single" w:sz="4" w:space="0" w:color="auto"/>
              <w:right w:val="single" w:sz="4" w:space="0" w:color="auto"/>
            </w:tcBorders>
            <w:shd w:val="clear" w:color="000000" w:fill="FFFFFF"/>
            <w:vAlign w:val="center"/>
            <w:hideMark/>
          </w:tcPr>
          <w:p w14:paraId="5FEEFF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EFF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18" w:type="dxa"/>
            <w:tcBorders>
              <w:top w:val="nil"/>
              <w:left w:val="nil"/>
              <w:bottom w:val="single" w:sz="4" w:space="0" w:color="auto"/>
              <w:right w:val="single" w:sz="4" w:space="0" w:color="auto"/>
            </w:tcBorders>
            <w:shd w:val="clear" w:color="000000" w:fill="FFFFFF"/>
            <w:vAlign w:val="center"/>
            <w:hideMark/>
          </w:tcPr>
          <w:p w14:paraId="5FEEFF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F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F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F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F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FA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9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1.4.4</w:t>
            </w:r>
          </w:p>
        </w:tc>
        <w:tc>
          <w:tcPr>
            <w:tcW w:w="814" w:type="dxa"/>
            <w:tcBorders>
              <w:top w:val="nil"/>
              <w:left w:val="nil"/>
              <w:bottom w:val="single" w:sz="4" w:space="0" w:color="auto"/>
              <w:right w:val="single" w:sz="4" w:space="0" w:color="auto"/>
            </w:tcBorders>
            <w:shd w:val="clear" w:color="auto" w:fill="auto"/>
            <w:vAlign w:val="center"/>
            <w:hideMark/>
          </w:tcPr>
          <w:p w14:paraId="5FEEFF94" w14:textId="20180F58"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hetimeve/operacioneve të përbashkëta me partneret ndërkombëtare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për individë/grupe të dyshuara për veprimtari që lidhen</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me terrorizmin brenda dhe jashtë vendit</w:t>
            </w:r>
          </w:p>
        </w:tc>
        <w:tc>
          <w:tcPr>
            <w:tcW w:w="350" w:type="dxa"/>
            <w:tcBorders>
              <w:top w:val="nil"/>
              <w:left w:val="nil"/>
              <w:bottom w:val="single" w:sz="4" w:space="0" w:color="auto"/>
              <w:right w:val="single" w:sz="4" w:space="0" w:color="auto"/>
            </w:tcBorders>
            <w:shd w:val="clear" w:color="000000" w:fill="FFFFFF"/>
            <w:vAlign w:val="center"/>
            <w:hideMark/>
          </w:tcPr>
          <w:p w14:paraId="5FEEFF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F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EFF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w:t>
            </w:r>
          </w:p>
        </w:tc>
        <w:tc>
          <w:tcPr>
            <w:tcW w:w="201" w:type="dxa"/>
            <w:tcBorders>
              <w:top w:val="nil"/>
              <w:left w:val="nil"/>
              <w:bottom w:val="single" w:sz="4" w:space="0" w:color="auto"/>
              <w:right w:val="single" w:sz="4" w:space="0" w:color="auto"/>
            </w:tcBorders>
            <w:shd w:val="clear" w:color="auto" w:fill="auto"/>
            <w:vAlign w:val="center"/>
            <w:hideMark/>
          </w:tcPr>
          <w:p w14:paraId="5FEEFF9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F99"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F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EFF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EFF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EFF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EFF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EFF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45" w:type="dxa"/>
            <w:tcBorders>
              <w:top w:val="nil"/>
              <w:left w:val="nil"/>
              <w:bottom w:val="single" w:sz="4" w:space="0" w:color="auto"/>
              <w:right w:val="single" w:sz="4" w:space="0" w:color="auto"/>
            </w:tcBorders>
            <w:shd w:val="clear" w:color="000000" w:fill="FFFFFF"/>
            <w:vAlign w:val="center"/>
            <w:hideMark/>
          </w:tcPr>
          <w:p w14:paraId="5FEEFF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EFF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345" w:type="dxa"/>
            <w:tcBorders>
              <w:top w:val="nil"/>
              <w:left w:val="nil"/>
              <w:bottom w:val="single" w:sz="4" w:space="0" w:color="auto"/>
              <w:right w:val="single" w:sz="4" w:space="0" w:color="auto"/>
            </w:tcBorders>
            <w:shd w:val="clear" w:color="000000" w:fill="FFFFFF"/>
            <w:vAlign w:val="center"/>
            <w:hideMark/>
          </w:tcPr>
          <w:p w14:paraId="5FEEFF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EFF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18" w:type="dxa"/>
            <w:tcBorders>
              <w:top w:val="nil"/>
              <w:left w:val="nil"/>
              <w:bottom w:val="single" w:sz="4" w:space="0" w:color="auto"/>
              <w:right w:val="single" w:sz="4" w:space="0" w:color="auto"/>
            </w:tcBorders>
            <w:shd w:val="clear" w:color="000000" w:fill="FFFFFF"/>
            <w:vAlign w:val="center"/>
            <w:hideMark/>
          </w:tcPr>
          <w:p w14:paraId="5FEEFF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F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F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F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F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FC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A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1.4.5</w:t>
            </w:r>
          </w:p>
        </w:tc>
        <w:tc>
          <w:tcPr>
            <w:tcW w:w="814" w:type="dxa"/>
            <w:tcBorders>
              <w:top w:val="nil"/>
              <w:left w:val="nil"/>
              <w:bottom w:val="single" w:sz="4" w:space="0" w:color="auto"/>
              <w:right w:val="single" w:sz="4" w:space="0" w:color="auto"/>
            </w:tcBorders>
            <w:shd w:val="clear" w:color="auto" w:fill="auto"/>
            <w:vAlign w:val="center"/>
            <w:hideMark/>
          </w:tcPr>
          <w:p w14:paraId="5FEEFFB0" w14:textId="76A351BE"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Përdorimi</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me proaktivitet i produkteve, shërbimeve e platformave të komunikimit të Qendrës Evropiane Kundër Terrorizmit Europol</w:t>
            </w:r>
          </w:p>
        </w:tc>
        <w:tc>
          <w:tcPr>
            <w:tcW w:w="350" w:type="dxa"/>
            <w:tcBorders>
              <w:top w:val="nil"/>
              <w:left w:val="nil"/>
              <w:bottom w:val="single" w:sz="4" w:space="0" w:color="auto"/>
              <w:right w:val="single" w:sz="4" w:space="0" w:color="auto"/>
            </w:tcBorders>
            <w:shd w:val="clear" w:color="000000" w:fill="FFFFFF"/>
            <w:vAlign w:val="center"/>
            <w:hideMark/>
          </w:tcPr>
          <w:p w14:paraId="5FEEFF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EFF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EFF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w:t>
            </w:r>
          </w:p>
        </w:tc>
        <w:tc>
          <w:tcPr>
            <w:tcW w:w="201" w:type="dxa"/>
            <w:tcBorders>
              <w:top w:val="nil"/>
              <w:left w:val="nil"/>
              <w:bottom w:val="single" w:sz="4" w:space="0" w:color="auto"/>
              <w:right w:val="single" w:sz="4" w:space="0" w:color="auto"/>
            </w:tcBorders>
            <w:shd w:val="clear" w:color="auto" w:fill="auto"/>
            <w:vAlign w:val="center"/>
            <w:hideMark/>
          </w:tcPr>
          <w:p w14:paraId="5FEEFFB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FB5"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F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w:t>
            </w:r>
          </w:p>
        </w:tc>
        <w:tc>
          <w:tcPr>
            <w:tcW w:w="228" w:type="dxa"/>
            <w:tcBorders>
              <w:top w:val="nil"/>
              <w:left w:val="nil"/>
              <w:bottom w:val="single" w:sz="4" w:space="0" w:color="auto"/>
              <w:right w:val="single" w:sz="4" w:space="0" w:color="auto"/>
            </w:tcBorders>
            <w:shd w:val="clear" w:color="000000" w:fill="FFFFFF"/>
            <w:vAlign w:val="center"/>
            <w:hideMark/>
          </w:tcPr>
          <w:p w14:paraId="5FEEFF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w:t>
            </w:r>
          </w:p>
        </w:tc>
        <w:tc>
          <w:tcPr>
            <w:tcW w:w="303" w:type="dxa"/>
            <w:tcBorders>
              <w:top w:val="nil"/>
              <w:left w:val="nil"/>
              <w:bottom w:val="single" w:sz="4" w:space="0" w:color="auto"/>
              <w:right w:val="single" w:sz="4" w:space="0" w:color="auto"/>
            </w:tcBorders>
            <w:shd w:val="clear" w:color="000000" w:fill="FFFFFF"/>
            <w:vAlign w:val="center"/>
            <w:hideMark/>
          </w:tcPr>
          <w:p w14:paraId="5FEEFF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w:t>
            </w:r>
          </w:p>
        </w:tc>
        <w:tc>
          <w:tcPr>
            <w:tcW w:w="228" w:type="dxa"/>
            <w:tcBorders>
              <w:top w:val="nil"/>
              <w:left w:val="nil"/>
              <w:bottom w:val="single" w:sz="4" w:space="0" w:color="auto"/>
              <w:right w:val="single" w:sz="4" w:space="0" w:color="auto"/>
            </w:tcBorders>
            <w:shd w:val="clear" w:color="000000" w:fill="FFFFFF"/>
            <w:vAlign w:val="center"/>
            <w:hideMark/>
          </w:tcPr>
          <w:p w14:paraId="5FEEFF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w:t>
            </w:r>
          </w:p>
        </w:tc>
        <w:tc>
          <w:tcPr>
            <w:tcW w:w="303" w:type="dxa"/>
            <w:tcBorders>
              <w:top w:val="nil"/>
              <w:left w:val="nil"/>
              <w:bottom w:val="single" w:sz="4" w:space="0" w:color="auto"/>
              <w:right w:val="single" w:sz="4" w:space="0" w:color="auto"/>
            </w:tcBorders>
            <w:shd w:val="clear" w:color="000000" w:fill="FFFFFF"/>
            <w:vAlign w:val="center"/>
            <w:hideMark/>
          </w:tcPr>
          <w:p w14:paraId="5FEEFF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w:t>
            </w:r>
          </w:p>
        </w:tc>
        <w:tc>
          <w:tcPr>
            <w:tcW w:w="228" w:type="dxa"/>
            <w:tcBorders>
              <w:top w:val="nil"/>
              <w:left w:val="nil"/>
              <w:bottom w:val="single" w:sz="4" w:space="0" w:color="auto"/>
              <w:right w:val="single" w:sz="4" w:space="0" w:color="auto"/>
            </w:tcBorders>
            <w:shd w:val="clear" w:color="000000" w:fill="FFFFFF"/>
            <w:vAlign w:val="center"/>
            <w:hideMark/>
          </w:tcPr>
          <w:p w14:paraId="5FEEFF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3,000,000</w:t>
            </w:r>
          </w:p>
        </w:tc>
        <w:tc>
          <w:tcPr>
            <w:tcW w:w="345" w:type="dxa"/>
            <w:tcBorders>
              <w:top w:val="nil"/>
              <w:left w:val="nil"/>
              <w:bottom w:val="single" w:sz="4" w:space="0" w:color="auto"/>
              <w:right w:val="single" w:sz="4" w:space="0" w:color="auto"/>
            </w:tcBorders>
            <w:shd w:val="clear" w:color="000000" w:fill="FFFFFF"/>
            <w:vAlign w:val="center"/>
            <w:hideMark/>
          </w:tcPr>
          <w:p w14:paraId="5FEEFF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228" w:type="dxa"/>
            <w:tcBorders>
              <w:top w:val="nil"/>
              <w:left w:val="nil"/>
              <w:bottom w:val="single" w:sz="4" w:space="0" w:color="auto"/>
              <w:right w:val="single" w:sz="4" w:space="0" w:color="auto"/>
            </w:tcBorders>
            <w:shd w:val="clear" w:color="000000" w:fill="FFFFFF"/>
            <w:vAlign w:val="center"/>
            <w:hideMark/>
          </w:tcPr>
          <w:p w14:paraId="5FEEFF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345" w:type="dxa"/>
            <w:tcBorders>
              <w:top w:val="nil"/>
              <w:left w:val="nil"/>
              <w:bottom w:val="single" w:sz="4" w:space="0" w:color="auto"/>
              <w:right w:val="single" w:sz="4" w:space="0" w:color="auto"/>
            </w:tcBorders>
            <w:shd w:val="clear" w:color="000000" w:fill="FFFFFF"/>
            <w:vAlign w:val="center"/>
            <w:hideMark/>
          </w:tcPr>
          <w:p w14:paraId="5FEEFF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228" w:type="dxa"/>
            <w:tcBorders>
              <w:top w:val="nil"/>
              <w:left w:val="nil"/>
              <w:bottom w:val="single" w:sz="4" w:space="0" w:color="auto"/>
              <w:right w:val="single" w:sz="4" w:space="0" w:color="auto"/>
            </w:tcBorders>
            <w:shd w:val="clear" w:color="000000" w:fill="FFFFFF"/>
            <w:vAlign w:val="center"/>
            <w:hideMark/>
          </w:tcPr>
          <w:p w14:paraId="5FEEFF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9,000,000</w:t>
            </w:r>
          </w:p>
        </w:tc>
        <w:tc>
          <w:tcPr>
            <w:tcW w:w="218" w:type="dxa"/>
            <w:tcBorders>
              <w:top w:val="nil"/>
              <w:left w:val="nil"/>
              <w:bottom w:val="single" w:sz="4" w:space="0" w:color="auto"/>
              <w:right w:val="single" w:sz="4" w:space="0" w:color="auto"/>
            </w:tcBorders>
            <w:shd w:val="clear" w:color="000000" w:fill="FFFFFF"/>
            <w:vAlign w:val="center"/>
            <w:hideMark/>
          </w:tcPr>
          <w:p w14:paraId="5FEEFF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F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F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F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F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EFFE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EFFC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1.4.6</w:t>
            </w:r>
          </w:p>
        </w:tc>
        <w:tc>
          <w:tcPr>
            <w:tcW w:w="814" w:type="dxa"/>
            <w:tcBorders>
              <w:top w:val="nil"/>
              <w:left w:val="nil"/>
              <w:bottom w:val="single" w:sz="4" w:space="0" w:color="auto"/>
              <w:right w:val="single" w:sz="4" w:space="0" w:color="auto"/>
            </w:tcBorders>
            <w:shd w:val="clear" w:color="auto" w:fill="auto"/>
            <w:vAlign w:val="center"/>
            <w:hideMark/>
          </w:tcPr>
          <w:p w14:paraId="5FEEFFCC"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Grumbullimi, përpunimi dhe analizimi i të dhënave informative mbi treguesit/indikatorët mbi radikalizimin që ekstremizmi me natyrë fetare, etnike dhe ideologjike me qëllim sinjalizimin e veprimtarive të dyshimta me natyrë terroriste</w:t>
            </w:r>
          </w:p>
        </w:tc>
        <w:tc>
          <w:tcPr>
            <w:tcW w:w="350" w:type="dxa"/>
            <w:tcBorders>
              <w:top w:val="nil"/>
              <w:left w:val="nil"/>
              <w:bottom w:val="single" w:sz="4" w:space="0" w:color="auto"/>
              <w:right w:val="single" w:sz="4" w:space="0" w:color="auto"/>
            </w:tcBorders>
            <w:shd w:val="clear" w:color="000000" w:fill="FFFFFF"/>
            <w:vAlign w:val="center"/>
            <w:hideMark/>
          </w:tcPr>
          <w:p w14:paraId="5FEEFFCD" w14:textId="378F76DA"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auto" w:fill="auto"/>
            <w:vAlign w:val="center"/>
            <w:hideMark/>
          </w:tcPr>
          <w:p w14:paraId="5FEEFF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auto" w:fill="auto"/>
            <w:vAlign w:val="center"/>
            <w:hideMark/>
          </w:tcPr>
          <w:p w14:paraId="5FEEFF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PSH/DAT/SHISH/MFE/</w:t>
            </w:r>
            <w:r w:rsidRPr="00795698">
              <w:rPr>
                <w:rFonts w:ascii="Arial" w:hAnsi="Arial" w:cs="Arial"/>
                <w:color w:val="000000"/>
                <w:sz w:val="6"/>
                <w:szCs w:val="6"/>
                <w:lang w:eastAsia="sq-AL"/>
              </w:rPr>
              <w:br/>
              <w:t>SPAK</w:t>
            </w:r>
          </w:p>
        </w:tc>
        <w:tc>
          <w:tcPr>
            <w:tcW w:w="201" w:type="dxa"/>
            <w:tcBorders>
              <w:top w:val="nil"/>
              <w:left w:val="nil"/>
              <w:bottom w:val="single" w:sz="4" w:space="0" w:color="auto"/>
              <w:right w:val="single" w:sz="4" w:space="0" w:color="auto"/>
            </w:tcBorders>
            <w:shd w:val="clear" w:color="auto" w:fill="auto"/>
            <w:vAlign w:val="center"/>
            <w:hideMark/>
          </w:tcPr>
          <w:p w14:paraId="5FEEFFD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EFFD1"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EFF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F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03" w:type="dxa"/>
            <w:tcBorders>
              <w:top w:val="nil"/>
              <w:left w:val="nil"/>
              <w:bottom w:val="single" w:sz="4" w:space="0" w:color="auto"/>
              <w:right w:val="single" w:sz="4" w:space="0" w:color="auto"/>
            </w:tcBorders>
            <w:shd w:val="clear" w:color="000000" w:fill="FFFFFF"/>
            <w:vAlign w:val="center"/>
            <w:hideMark/>
          </w:tcPr>
          <w:p w14:paraId="5FEEFF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F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03" w:type="dxa"/>
            <w:tcBorders>
              <w:top w:val="nil"/>
              <w:left w:val="nil"/>
              <w:bottom w:val="single" w:sz="4" w:space="0" w:color="auto"/>
              <w:right w:val="single" w:sz="4" w:space="0" w:color="auto"/>
            </w:tcBorders>
            <w:shd w:val="clear" w:color="000000" w:fill="FFFFFF"/>
            <w:vAlign w:val="center"/>
            <w:hideMark/>
          </w:tcPr>
          <w:p w14:paraId="5FEEFF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228" w:type="dxa"/>
            <w:tcBorders>
              <w:top w:val="nil"/>
              <w:left w:val="nil"/>
              <w:bottom w:val="single" w:sz="4" w:space="0" w:color="auto"/>
              <w:right w:val="single" w:sz="4" w:space="0" w:color="auto"/>
            </w:tcBorders>
            <w:shd w:val="clear" w:color="000000" w:fill="FFFFFF"/>
            <w:vAlign w:val="center"/>
            <w:hideMark/>
          </w:tcPr>
          <w:p w14:paraId="5FEEFF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EFF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8,484,000</w:t>
            </w:r>
          </w:p>
        </w:tc>
        <w:tc>
          <w:tcPr>
            <w:tcW w:w="345" w:type="dxa"/>
            <w:tcBorders>
              <w:top w:val="nil"/>
              <w:left w:val="nil"/>
              <w:bottom w:val="single" w:sz="4" w:space="0" w:color="auto"/>
              <w:right w:val="single" w:sz="4" w:space="0" w:color="auto"/>
            </w:tcBorders>
            <w:shd w:val="clear" w:color="000000" w:fill="FFFFFF"/>
            <w:vAlign w:val="center"/>
            <w:hideMark/>
          </w:tcPr>
          <w:p w14:paraId="5FEEFF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28" w:type="dxa"/>
            <w:tcBorders>
              <w:top w:val="nil"/>
              <w:left w:val="nil"/>
              <w:bottom w:val="single" w:sz="4" w:space="0" w:color="auto"/>
              <w:right w:val="single" w:sz="4" w:space="0" w:color="auto"/>
            </w:tcBorders>
            <w:shd w:val="clear" w:color="000000" w:fill="FFFFFF"/>
            <w:vAlign w:val="center"/>
            <w:hideMark/>
          </w:tcPr>
          <w:p w14:paraId="5FEEFF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345" w:type="dxa"/>
            <w:tcBorders>
              <w:top w:val="nil"/>
              <w:left w:val="nil"/>
              <w:bottom w:val="single" w:sz="4" w:space="0" w:color="auto"/>
              <w:right w:val="single" w:sz="4" w:space="0" w:color="auto"/>
            </w:tcBorders>
            <w:shd w:val="clear" w:color="000000" w:fill="FFFFFF"/>
            <w:vAlign w:val="center"/>
            <w:hideMark/>
          </w:tcPr>
          <w:p w14:paraId="5FEEFF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28" w:type="dxa"/>
            <w:tcBorders>
              <w:top w:val="nil"/>
              <w:left w:val="nil"/>
              <w:bottom w:val="single" w:sz="4" w:space="0" w:color="auto"/>
              <w:right w:val="single" w:sz="4" w:space="0" w:color="auto"/>
            </w:tcBorders>
            <w:shd w:val="clear" w:color="000000" w:fill="FFFFFF"/>
            <w:vAlign w:val="center"/>
            <w:hideMark/>
          </w:tcPr>
          <w:p w14:paraId="5FEEFF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EFF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25,452,000</w:t>
            </w:r>
          </w:p>
        </w:tc>
        <w:tc>
          <w:tcPr>
            <w:tcW w:w="218" w:type="dxa"/>
            <w:tcBorders>
              <w:top w:val="nil"/>
              <w:left w:val="nil"/>
              <w:bottom w:val="single" w:sz="4" w:space="0" w:color="auto"/>
              <w:right w:val="single" w:sz="4" w:space="0" w:color="auto"/>
            </w:tcBorders>
            <w:shd w:val="clear" w:color="000000" w:fill="FFFFFF"/>
            <w:vAlign w:val="center"/>
            <w:hideMark/>
          </w:tcPr>
          <w:p w14:paraId="5FEEFF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EFF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EFF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EFF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EFF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002"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EFFE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EFFE8"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1.4</w:t>
            </w:r>
          </w:p>
        </w:tc>
        <w:tc>
          <w:tcPr>
            <w:tcW w:w="350" w:type="dxa"/>
            <w:tcBorders>
              <w:top w:val="nil"/>
              <w:left w:val="nil"/>
              <w:bottom w:val="single" w:sz="4" w:space="0" w:color="auto"/>
              <w:right w:val="single" w:sz="4" w:space="0" w:color="auto"/>
            </w:tcBorders>
            <w:shd w:val="clear" w:color="000000" w:fill="D9D9D9"/>
            <w:vAlign w:val="center"/>
            <w:hideMark/>
          </w:tcPr>
          <w:p w14:paraId="5FEEFF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EFFE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EFFE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EFFE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EFFE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EFFE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42,984,000</w:t>
            </w:r>
          </w:p>
        </w:tc>
        <w:tc>
          <w:tcPr>
            <w:tcW w:w="228" w:type="dxa"/>
            <w:tcBorders>
              <w:top w:val="nil"/>
              <w:left w:val="nil"/>
              <w:bottom w:val="single" w:sz="4" w:space="0" w:color="auto"/>
              <w:right w:val="single" w:sz="4" w:space="0" w:color="auto"/>
            </w:tcBorders>
            <w:shd w:val="clear" w:color="000000" w:fill="D9D9D9"/>
            <w:vAlign w:val="center"/>
            <w:hideMark/>
          </w:tcPr>
          <w:p w14:paraId="5FEEFFE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FF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42,984,000</w:t>
            </w:r>
          </w:p>
        </w:tc>
        <w:tc>
          <w:tcPr>
            <w:tcW w:w="303" w:type="dxa"/>
            <w:tcBorders>
              <w:top w:val="nil"/>
              <w:left w:val="nil"/>
              <w:bottom w:val="single" w:sz="4" w:space="0" w:color="auto"/>
              <w:right w:val="single" w:sz="4" w:space="0" w:color="auto"/>
            </w:tcBorders>
            <w:shd w:val="clear" w:color="000000" w:fill="D9D9D9"/>
            <w:vAlign w:val="center"/>
            <w:hideMark/>
          </w:tcPr>
          <w:p w14:paraId="5FEEFFF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42,984,000</w:t>
            </w:r>
          </w:p>
        </w:tc>
        <w:tc>
          <w:tcPr>
            <w:tcW w:w="228" w:type="dxa"/>
            <w:tcBorders>
              <w:top w:val="nil"/>
              <w:left w:val="nil"/>
              <w:bottom w:val="single" w:sz="4" w:space="0" w:color="auto"/>
              <w:right w:val="single" w:sz="4" w:space="0" w:color="auto"/>
            </w:tcBorders>
            <w:shd w:val="clear" w:color="000000" w:fill="D9D9D9"/>
            <w:vAlign w:val="center"/>
            <w:hideMark/>
          </w:tcPr>
          <w:p w14:paraId="5FEEFFF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FF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42,984,000</w:t>
            </w:r>
          </w:p>
        </w:tc>
        <w:tc>
          <w:tcPr>
            <w:tcW w:w="303" w:type="dxa"/>
            <w:tcBorders>
              <w:top w:val="nil"/>
              <w:left w:val="nil"/>
              <w:bottom w:val="single" w:sz="4" w:space="0" w:color="auto"/>
              <w:right w:val="single" w:sz="4" w:space="0" w:color="auto"/>
            </w:tcBorders>
            <w:shd w:val="clear" w:color="000000" w:fill="D9D9D9"/>
            <w:vAlign w:val="center"/>
            <w:hideMark/>
          </w:tcPr>
          <w:p w14:paraId="5FEEFFF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42,984,000</w:t>
            </w:r>
          </w:p>
        </w:tc>
        <w:tc>
          <w:tcPr>
            <w:tcW w:w="228" w:type="dxa"/>
            <w:tcBorders>
              <w:top w:val="nil"/>
              <w:left w:val="nil"/>
              <w:bottom w:val="single" w:sz="4" w:space="0" w:color="auto"/>
              <w:right w:val="single" w:sz="4" w:space="0" w:color="auto"/>
            </w:tcBorders>
            <w:shd w:val="clear" w:color="000000" w:fill="D9D9D9"/>
            <w:vAlign w:val="center"/>
            <w:hideMark/>
          </w:tcPr>
          <w:p w14:paraId="5FEEFFF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EFFF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42,984,000</w:t>
            </w:r>
          </w:p>
        </w:tc>
        <w:tc>
          <w:tcPr>
            <w:tcW w:w="345" w:type="dxa"/>
            <w:tcBorders>
              <w:top w:val="nil"/>
              <w:left w:val="nil"/>
              <w:bottom w:val="single" w:sz="4" w:space="0" w:color="auto"/>
              <w:right w:val="single" w:sz="4" w:space="0" w:color="auto"/>
            </w:tcBorders>
            <w:shd w:val="clear" w:color="000000" w:fill="D9D9D9"/>
            <w:vAlign w:val="center"/>
            <w:hideMark/>
          </w:tcPr>
          <w:p w14:paraId="5FEEFFF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128,952,000</w:t>
            </w:r>
          </w:p>
        </w:tc>
        <w:tc>
          <w:tcPr>
            <w:tcW w:w="228" w:type="dxa"/>
            <w:tcBorders>
              <w:top w:val="nil"/>
              <w:left w:val="nil"/>
              <w:bottom w:val="single" w:sz="4" w:space="0" w:color="auto"/>
              <w:right w:val="single" w:sz="4" w:space="0" w:color="auto"/>
            </w:tcBorders>
            <w:shd w:val="clear" w:color="000000" w:fill="D9D9D9"/>
            <w:vAlign w:val="center"/>
            <w:hideMark/>
          </w:tcPr>
          <w:p w14:paraId="5FEEFFF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EFFF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128,952,000</w:t>
            </w:r>
          </w:p>
        </w:tc>
        <w:tc>
          <w:tcPr>
            <w:tcW w:w="345" w:type="dxa"/>
            <w:tcBorders>
              <w:top w:val="nil"/>
              <w:left w:val="nil"/>
              <w:bottom w:val="single" w:sz="4" w:space="0" w:color="auto"/>
              <w:right w:val="single" w:sz="4" w:space="0" w:color="auto"/>
            </w:tcBorders>
            <w:shd w:val="clear" w:color="000000" w:fill="D9D9D9"/>
            <w:vAlign w:val="center"/>
            <w:hideMark/>
          </w:tcPr>
          <w:p w14:paraId="5FEEFFF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128,952,000</w:t>
            </w:r>
          </w:p>
        </w:tc>
        <w:tc>
          <w:tcPr>
            <w:tcW w:w="228" w:type="dxa"/>
            <w:tcBorders>
              <w:top w:val="nil"/>
              <w:left w:val="nil"/>
              <w:bottom w:val="single" w:sz="4" w:space="0" w:color="auto"/>
              <w:right w:val="single" w:sz="4" w:space="0" w:color="auto"/>
            </w:tcBorders>
            <w:shd w:val="clear" w:color="000000" w:fill="D9D9D9"/>
            <w:vAlign w:val="center"/>
            <w:hideMark/>
          </w:tcPr>
          <w:p w14:paraId="5FEEFFF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EFFF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128,952,000</w:t>
            </w:r>
          </w:p>
        </w:tc>
        <w:tc>
          <w:tcPr>
            <w:tcW w:w="218" w:type="dxa"/>
            <w:tcBorders>
              <w:top w:val="nil"/>
              <w:left w:val="nil"/>
              <w:bottom w:val="single" w:sz="4" w:space="0" w:color="auto"/>
              <w:right w:val="single" w:sz="4" w:space="0" w:color="auto"/>
            </w:tcBorders>
            <w:shd w:val="clear" w:color="000000" w:fill="D9D9D9"/>
            <w:vAlign w:val="center"/>
            <w:hideMark/>
          </w:tcPr>
          <w:p w14:paraId="5FEEFFF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EFFF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EFFF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00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00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01E"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00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004"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I</w:t>
            </w:r>
          </w:p>
        </w:tc>
        <w:tc>
          <w:tcPr>
            <w:tcW w:w="350" w:type="dxa"/>
            <w:tcBorders>
              <w:top w:val="nil"/>
              <w:left w:val="nil"/>
              <w:bottom w:val="single" w:sz="4" w:space="0" w:color="auto"/>
              <w:right w:val="single" w:sz="4" w:space="0" w:color="auto"/>
            </w:tcBorders>
            <w:shd w:val="clear" w:color="000000" w:fill="D9D9D9"/>
            <w:vAlign w:val="center"/>
            <w:hideMark/>
          </w:tcPr>
          <w:p w14:paraId="5FEF00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006"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00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008"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009"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00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118,150,000</w:t>
            </w:r>
          </w:p>
        </w:tc>
        <w:tc>
          <w:tcPr>
            <w:tcW w:w="228" w:type="dxa"/>
            <w:tcBorders>
              <w:top w:val="nil"/>
              <w:left w:val="nil"/>
              <w:bottom w:val="single" w:sz="4" w:space="0" w:color="auto"/>
              <w:right w:val="single" w:sz="4" w:space="0" w:color="auto"/>
            </w:tcBorders>
            <w:shd w:val="clear" w:color="000000" w:fill="D9D9D9"/>
            <w:vAlign w:val="center"/>
            <w:hideMark/>
          </w:tcPr>
          <w:p w14:paraId="5FEF000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00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118,150,000</w:t>
            </w:r>
          </w:p>
        </w:tc>
        <w:tc>
          <w:tcPr>
            <w:tcW w:w="303" w:type="dxa"/>
            <w:tcBorders>
              <w:top w:val="nil"/>
              <w:left w:val="nil"/>
              <w:bottom w:val="single" w:sz="4" w:space="0" w:color="auto"/>
              <w:right w:val="single" w:sz="4" w:space="0" w:color="auto"/>
            </w:tcBorders>
            <w:shd w:val="clear" w:color="000000" w:fill="D9D9D9"/>
            <w:vAlign w:val="center"/>
            <w:hideMark/>
          </w:tcPr>
          <w:p w14:paraId="5FEF000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118,150,000</w:t>
            </w:r>
          </w:p>
        </w:tc>
        <w:tc>
          <w:tcPr>
            <w:tcW w:w="228" w:type="dxa"/>
            <w:tcBorders>
              <w:top w:val="nil"/>
              <w:left w:val="nil"/>
              <w:bottom w:val="single" w:sz="4" w:space="0" w:color="auto"/>
              <w:right w:val="single" w:sz="4" w:space="0" w:color="auto"/>
            </w:tcBorders>
            <w:shd w:val="clear" w:color="000000" w:fill="D9D9D9"/>
            <w:vAlign w:val="center"/>
            <w:hideMark/>
          </w:tcPr>
          <w:p w14:paraId="5FEF000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00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118,150,000</w:t>
            </w:r>
          </w:p>
        </w:tc>
        <w:tc>
          <w:tcPr>
            <w:tcW w:w="303" w:type="dxa"/>
            <w:tcBorders>
              <w:top w:val="nil"/>
              <w:left w:val="nil"/>
              <w:bottom w:val="single" w:sz="4" w:space="0" w:color="auto"/>
              <w:right w:val="single" w:sz="4" w:space="0" w:color="auto"/>
            </w:tcBorders>
            <w:shd w:val="clear" w:color="000000" w:fill="D9D9D9"/>
            <w:vAlign w:val="center"/>
            <w:hideMark/>
          </w:tcPr>
          <w:p w14:paraId="5FEF001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118,150,000</w:t>
            </w:r>
          </w:p>
        </w:tc>
        <w:tc>
          <w:tcPr>
            <w:tcW w:w="228" w:type="dxa"/>
            <w:tcBorders>
              <w:top w:val="nil"/>
              <w:left w:val="nil"/>
              <w:bottom w:val="single" w:sz="4" w:space="0" w:color="auto"/>
              <w:right w:val="single" w:sz="4" w:space="0" w:color="auto"/>
            </w:tcBorders>
            <w:shd w:val="clear" w:color="000000" w:fill="D9D9D9"/>
            <w:vAlign w:val="center"/>
            <w:hideMark/>
          </w:tcPr>
          <w:p w14:paraId="5FEF001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01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118,150,000</w:t>
            </w:r>
          </w:p>
        </w:tc>
        <w:tc>
          <w:tcPr>
            <w:tcW w:w="345" w:type="dxa"/>
            <w:tcBorders>
              <w:top w:val="nil"/>
              <w:left w:val="nil"/>
              <w:bottom w:val="single" w:sz="4" w:space="0" w:color="auto"/>
              <w:right w:val="single" w:sz="4" w:space="0" w:color="auto"/>
            </w:tcBorders>
            <w:shd w:val="clear" w:color="000000" w:fill="D9D9D9"/>
            <w:vAlign w:val="center"/>
            <w:hideMark/>
          </w:tcPr>
          <w:p w14:paraId="5FEF001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354,450,000</w:t>
            </w:r>
          </w:p>
        </w:tc>
        <w:tc>
          <w:tcPr>
            <w:tcW w:w="228" w:type="dxa"/>
            <w:tcBorders>
              <w:top w:val="nil"/>
              <w:left w:val="nil"/>
              <w:bottom w:val="single" w:sz="4" w:space="0" w:color="auto"/>
              <w:right w:val="single" w:sz="4" w:space="0" w:color="auto"/>
            </w:tcBorders>
            <w:shd w:val="clear" w:color="000000" w:fill="D9D9D9"/>
            <w:vAlign w:val="center"/>
            <w:hideMark/>
          </w:tcPr>
          <w:p w14:paraId="5FEF001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01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354,450,000</w:t>
            </w:r>
          </w:p>
        </w:tc>
        <w:tc>
          <w:tcPr>
            <w:tcW w:w="345" w:type="dxa"/>
            <w:tcBorders>
              <w:top w:val="nil"/>
              <w:left w:val="nil"/>
              <w:bottom w:val="single" w:sz="4" w:space="0" w:color="auto"/>
              <w:right w:val="single" w:sz="4" w:space="0" w:color="auto"/>
            </w:tcBorders>
            <w:shd w:val="clear" w:color="000000" w:fill="D9D9D9"/>
            <w:vAlign w:val="center"/>
            <w:hideMark/>
          </w:tcPr>
          <w:p w14:paraId="5FEF001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354,450,000</w:t>
            </w:r>
          </w:p>
        </w:tc>
        <w:tc>
          <w:tcPr>
            <w:tcW w:w="228" w:type="dxa"/>
            <w:tcBorders>
              <w:top w:val="nil"/>
              <w:left w:val="nil"/>
              <w:bottom w:val="single" w:sz="4" w:space="0" w:color="auto"/>
              <w:right w:val="single" w:sz="4" w:space="0" w:color="auto"/>
            </w:tcBorders>
            <w:shd w:val="clear" w:color="000000" w:fill="D9D9D9"/>
            <w:vAlign w:val="center"/>
            <w:hideMark/>
          </w:tcPr>
          <w:p w14:paraId="5FEF001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01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354,450,000</w:t>
            </w:r>
          </w:p>
        </w:tc>
        <w:tc>
          <w:tcPr>
            <w:tcW w:w="218" w:type="dxa"/>
            <w:tcBorders>
              <w:top w:val="nil"/>
              <w:left w:val="nil"/>
              <w:bottom w:val="single" w:sz="4" w:space="0" w:color="auto"/>
              <w:right w:val="single" w:sz="4" w:space="0" w:color="auto"/>
            </w:tcBorders>
            <w:shd w:val="clear" w:color="000000" w:fill="D9D9D9"/>
            <w:vAlign w:val="center"/>
            <w:hideMark/>
          </w:tcPr>
          <w:p w14:paraId="5FEF001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01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01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01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01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020"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01F"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022"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021"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lastRenderedPageBreak/>
              <w:t>I.1 QASJA PARANDALUESE: PARANDALIMI I TERRORIZMIT DHE RADIKALIZIMIT QË ÇON NË TERRORIZËM PËRMES SINJALIZIMIT TË HERSHËM</w:t>
            </w:r>
          </w:p>
        </w:tc>
      </w:tr>
      <w:tr w:rsidR="00D845EC" w:rsidRPr="00795698" w14:paraId="5FEF0024"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023"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QËLLIMI I POLITIKËS 2: NDËRPRERJA E AKTIVITETEVE TË FAQEVE DHE PLATFORMAVE DIXHITALE SI DHE INDIVIDËVE QË TËRHEQIN NJERËZ NË TERRORIZËM</w:t>
            </w:r>
          </w:p>
        </w:tc>
      </w:tr>
      <w:tr w:rsidR="00D845EC" w:rsidRPr="00795698" w14:paraId="5FEF0026"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025" w14:textId="1D862A0E"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Programi Buxhetor Policia e Shtetit, Kodi i Programit 03140;</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Programi buxhetor: "Planifikimi, Menaxhimi dhe Administrimi", Kodi i Programit 01110;</w:t>
            </w:r>
          </w:p>
        </w:tc>
      </w:tr>
      <w:tr w:rsidR="00D845EC" w:rsidRPr="00795698" w14:paraId="5FEF0032" w14:textId="77777777" w:rsidTr="00D845EC">
        <w:trPr>
          <w:trHeight w:val="180"/>
        </w:trPr>
        <w:tc>
          <w:tcPr>
            <w:tcW w:w="164" w:type="dxa"/>
            <w:vMerge w:val="restart"/>
            <w:tcBorders>
              <w:top w:val="nil"/>
              <w:left w:val="single" w:sz="8" w:space="0" w:color="auto"/>
              <w:bottom w:val="single" w:sz="4" w:space="0" w:color="auto"/>
              <w:right w:val="single" w:sz="4" w:space="0" w:color="auto"/>
            </w:tcBorders>
            <w:shd w:val="clear" w:color="auto" w:fill="auto"/>
            <w:vAlign w:val="center"/>
            <w:hideMark/>
          </w:tcPr>
          <w:p w14:paraId="5FEF002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02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350" w:type="dxa"/>
            <w:tcBorders>
              <w:top w:val="nil"/>
              <w:left w:val="nil"/>
              <w:bottom w:val="single" w:sz="4" w:space="0" w:color="auto"/>
              <w:right w:val="single" w:sz="4" w:space="0" w:color="auto"/>
            </w:tcBorders>
            <w:shd w:val="clear" w:color="auto" w:fill="auto"/>
            <w:vAlign w:val="center"/>
            <w:hideMark/>
          </w:tcPr>
          <w:p w14:paraId="5FEF00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900" w:type="dxa"/>
            <w:gridSpan w:val="2"/>
            <w:tcBorders>
              <w:top w:val="single" w:sz="4" w:space="0" w:color="auto"/>
              <w:left w:val="nil"/>
              <w:bottom w:val="single" w:sz="4" w:space="0" w:color="auto"/>
              <w:right w:val="single" w:sz="4" w:space="0" w:color="auto"/>
            </w:tcBorders>
            <w:shd w:val="clear" w:color="auto" w:fill="auto"/>
            <w:vAlign w:val="center"/>
            <w:hideMark/>
          </w:tcPr>
          <w:p w14:paraId="5FEF002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55" w:type="dxa"/>
            <w:gridSpan w:val="2"/>
            <w:tcBorders>
              <w:top w:val="single" w:sz="4" w:space="0" w:color="auto"/>
              <w:left w:val="nil"/>
              <w:bottom w:val="single" w:sz="4" w:space="0" w:color="auto"/>
              <w:right w:val="single" w:sz="4" w:space="0" w:color="auto"/>
            </w:tcBorders>
            <w:shd w:val="clear" w:color="auto" w:fill="auto"/>
            <w:vAlign w:val="center"/>
            <w:hideMark/>
          </w:tcPr>
          <w:p w14:paraId="5FEF002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02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02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02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91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002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04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FEF003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vMerge w:val="restart"/>
            <w:tcBorders>
              <w:top w:val="nil"/>
              <w:left w:val="single" w:sz="4" w:space="0" w:color="auto"/>
              <w:bottom w:val="single" w:sz="4" w:space="0" w:color="auto"/>
              <w:right w:val="single" w:sz="8" w:space="0" w:color="auto"/>
            </w:tcBorders>
            <w:shd w:val="clear" w:color="auto" w:fill="auto"/>
            <w:vAlign w:val="center"/>
            <w:hideMark/>
          </w:tcPr>
          <w:p w14:paraId="5FEF003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D845EC" w:rsidRPr="00795698" w14:paraId="5FEF0041"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033"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034" w14:textId="77777777" w:rsidR="00D845EC" w:rsidRPr="00795698" w:rsidRDefault="00D845EC" w:rsidP="00D845EC">
            <w:pPr>
              <w:rPr>
                <w:rFonts w:ascii="Arial" w:hAnsi="Arial" w:cs="Arial"/>
                <w:b/>
                <w:bCs/>
                <w:color w:val="000000"/>
                <w:sz w:val="6"/>
                <w:szCs w:val="6"/>
                <w:lang w:eastAsia="sq-AL"/>
              </w:rPr>
            </w:pPr>
          </w:p>
        </w:tc>
        <w:tc>
          <w:tcPr>
            <w:tcW w:w="350" w:type="dxa"/>
            <w:vMerge w:val="restart"/>
            <w:tcBorders>
              <w:top w:val="nil"/>
              <w:left w:val="single" w:sz="4" w:space="0" w:color="auto"/>
              <w:bottom w:val="single" w:sz="4" w:space="0" w:color="auto"/>
              <w:right w:val="single" w:sz="4" w:space="0" w:color="auto"/>
            </w:tcBorders>
            <w:shd w:val="clear" w:color="auto" w:fill="auto"/>
            <w:vAlign w:val="center"/>
            <w:hideMark/>
          </w:tcPr>
          <w:p w14:paraId="5FEF0035" w14:textId="35E69C2C"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14:paraId="5FEF003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1442" w:type="dxa"/>
            <w:vMerge w:val="restart"/>
            <w:tcBorders>
              <w:top w:val="nil"/>
              <w:left w:val="single" w:sz="4" w:space="0" w:color="auto"/>
              <w:bottom w:val="single" w:sz="4" w:space="0" w:color="auto"/>
              <w:right w:val="single" w:sz="4" w:space="0" w:color="auto"/>
            </w:tcBorders>
            <w:shd w:val="clear" w:color="auto" w:fill="auto"/>
            <w:vAlign w:val="center"/>
            <w:hideMark/>
          </w:tcPr>
          <w:p w14:paraId="5FEF003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1" w:type="dxa"/>
            <w:vMerge w:val="restart"/>
            <w:tcBorders>
              <w:top w:val="nil"/>
              <w:left w:val="single" w:sz="4" w:space="0" w:color="auto"/>
              <w:bottom w:val="single" w:sz="4" w:space="0" w:color="auto"/>
              <w:right w:val="single" w:sz="4" w:space="0" w:color="auto"/>
            </w:tcBorders>
            <w:shd w:val="clear" w:color="auto" w:fill="auto"/>
            <w:vAlign w:val="center"/>
            <w:hideMark/>
          </w:tcPr>
          <w:p w14:paraId="5FEF003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5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03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34" w:type="dxa"/>
            <w:gridSpan w:val="3"/>
            <w:vMerge/>
            <w:tcBorders>
              <w:top w:val="nil"/>
              <w:left w:val="single" w:sz="4" w:space="0" w:color="auto"/>
              <w:bottom w:val="single" w:sz="4" w:space="0" w:color="auto"/>
              <w:right w:val="single" w:sz="4" w:space="0" w:color="auto"/>
            </w:tcBorders>
            <w:vAlign w:val="center"/>
            <w:hideMark/>
          </w:tcPr>
          <w:p w14:paraId="5FEF003A"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03B"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03C" w14:textId="77777777" w:rsidR="00D845EC" w:rsidRPr="00795698" w:rsidRDefault="00D845EC" w:rsidP="00D845EC">
            <w:pPr>
              <w:rPr>
                <w:rFonts w:ascii="Arial" w:hAnsi="Arial" w:cs="Arial"/>
                <w:b/>
                <w:bCs/>
                <w:color w:val="000000"/>
                <w:sz w:val="6"/>
                <w:szCs w:val="6"/>
                <w:lang w:eastAsia="sq-AL"/>
              </w:rPr>
            </w:pPr>
          </w:p>
        </w:tc>
        <w:tc>
          <w:tcPr>
            <w:tcW w:w="918" w:type="dxa"/>
            <w:gridSpan w:val="3"/>
            <w:vMerge/>
            <w:tcBorders>
              <w:top w:val="nil"/>
              <w:left w:val="single" w:sz="4" w:space="0" w:color="auto"/>
              <w:bottom w:val="single" w:sz="4" w:space="0" w:color="auto"/>
              <w:right w:val="single" w:sz="4" w:space="0" w:color="auto"/>
            </w:tcBorders>
            <w:vAlign w:val="center"/>
            <w:hideMark/>
          </w:tcPr>
          <w:p w14:paraId="5FEF003D" w14:textId="77777777" w:rsidR="00D845EC" w:rsidRPr="00795698" w:rsidRDefault="00D845EC" w:rsidP="00D845EC">
            <w:pPr>
              <w:rPr>
                <w:rFonts w:ascii="Arial" w:hAnsi="Arial" w:cs="Arial"/>
                <w:b/>
                <w:bCs/>
                <w:color w:val="000000"/>
                <w:sz w:val="6"/>
                <w:szCs w:val="6"/>
                <w:lang w:eastAsia="sq-AL"/>
              </w:rPr>
            </w:pPr>
          </w:p>
        </w:tc>
        <w:tc>
          <w:tcPr>
            <w:tcW w:w="918" w:type="dxa"/>
            <w:gridSpan w:val="3"/>
            <w:tcBorders>
              <w:top w:val="single" w:sz="8" w:space="0" w:color="auto"/>
              <w:left w:val="nil"/>
              <w:bottom w:val="single" w:sz="8" w:space="0" w:color="auto"/>
              <w:right w:val="single" w:sz="8" w:space="0" w:color="000000"/>
            </w:tcBorders>
            <w:shd w:val="clear" w:color="auto" w:fill="auto"/>
            <w:vAlign w:val="center"/>
            <w:hideMark/>
          </w:tcPr>
          <w:p w14:paraId="5FEF003E" w14:textId="48BB164B"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129" w:type="dxa"/>
            <w:gridSpan w:val="4"/>
            <w:tcBorders>
              <w:top w:val="single" w:sz="8" w:space="0" w:color="auto"/>
              <w:left w:val="nil"/>
              <w:bottom w:val="single" w:sz="8" w:space="0" w:color="auto"/>
              <w:right w:val="single" w:sz="8" w:space="0" w:color="000000"/>
            </w:tcBorders>
            <w:shd w:val="clear" w:color="auto" w:fill="auto"/>
            <w:vAlign w:val="center"/>
            <w:hideMark/>
          </w:tcPr>
          <w:p w14:paraId="5FEF003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40" w:type="dxa"/>
            <w:vMerge/>
            <w:tcBorders>
              <w:top w:val="nil"/>
              <w:left w:val="single" w:sz="4" w:space="0" w:color="auto"/>
              <w:bottom w:val="single" w:sz="4" w:space="0" w:color="auto"/>
              <w:right w:val="single" w:sz="8" w:space="0" w:color="auto"/>
            </w:tcBorders>
            <w:vAlign w:val="center"/>
            <w:hideMark/>
          </w:tcPr>
          <w:p w14:paraId="5FEF0040" w14:textId="77777777" w:rsidR="00D845EC" w:rsidRPr="00795698" w:rsidRDefault="00D845EC" w:rsidP="00D845EC">
            <w:pPr>
              <w:rPr>
                <w:rFonts w:ascii="Arial" w:hAnsi="Arial" w:cs="Arial"/>
                <w:b/>
                <w:bCs/>
                <w:color w:val="000000"/>
                <w:sz w:val="6"/>
                <w:szCs w:val="6"/>
                <w:lang w:eastAsia="sq-AL"/>
              </w:rPr>
            </w:pPr>
          </w:p>
        </w:tc>
      </w:tr>
      <w:tr w:rsidR="00D845EC" w:rsidRPr="00795698" w14:paraId="5FEF005D"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042"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043" w14:textId="77777777" w:rsidR="00D845EC" w:rsidRPr="00795698" w:rsidRDefault="00D845EC" w:rsidP="00D845EC">
            <w:pPr>
              <w:rPr>
                <w:rFonts w:ascii="Arial" w:hAnsi="Arial" w:cs="Arial"/>
                <w:b/>
                <w:bCs/>
                <w:color w:val="000000"/>
                <w:sz w:val="6"/>
                <w:szCs w:val="6"/>
                <w:lang w:eastAsia="sq-AL"/>
              </w:rPr>
            </w:pPr>
          </w:p>
        </w:tc>
        <w:tc>
          <w:tcPr>
            <w:tcW w:w="350" w:type="dxa"/>
            <w:vMerge/>
            <w:tcBorders>
              <w:top w:val="nil"/>
              <w:left w:val="single" w:sz="4" w:space="0" w:color="auto"/>
              <w:bottom w:val="single" w:sz="4" w:space="0" w:color="auto"/>
              <w:right w:val="single" w:sz="4" w:space="0" w:color="auto"/>
            </w:tcBorders>
            <w:vAlign w:val="center"/>
            <w:hideMark/>
          </w:tcPr>
          <w:p w14:paraId="5FEF0044" w14:textId="77777777" w:rsidR="00D845EC" w:rsidRPr="00795698" w:rsidRDefault="00D845EC" w:rsidP="00D845EC">
            <w:pPr>
              <w:rPr>
                <w:rFonts w:ascii="Arial" w:hAnsi="Arial" w:cs="Arial"/>
                <w:color w:val="000000"/>
                <w:sz w:val="6"/>
                <w:szCs w:val="6"/>
                <w:lang w:eastAsia="sq-AL"/>
              </w:rPr>
            </w:pPr>
          </w:p>
        </w:tc>
        <w:tc>
          <w:tcPr>
            <w:tcW w:w="458" w:type="dxa"/>
            <w:vMerge/>
            <w:tcBorders>
              <w:top w:val="nil"/>
              <w:left w:val="single" w:sz="4" w:space="0" w:color="auto"/>
              <w:bottom w:val="single" w:sz="4" w:space="0" w:color="auto"/>
              <w:right w:val="single" w:sz="4" w:space="0" w:color="auto"/>
            </w:tcBorders>
            <w:vAlign w:val="center"/>
            <w:hideMark/>
          </w:tcPr>
          <w:p w14:paraId="5FEF0045" w14:textId="77777777" w:rsidR="00D845EC" w:rsidRPr="00795698" w:rsidRDefault="00D845EC" w:rsidP="00D845EC">
            <w:pPr>
              <w:rPr>
                <w:rFonts w:ascii="Arial" w:hAnsi="Arial" w:cs="Arial"/>
                <w:b/>
                <w:bCs/>
                <w:color w:val="000000"/>
                <w:sz w:val="6"/>
                <w:szCs w:val="6"/>
                <w:lang w:eastAsia="sq-AL"/>
              </w:rPr>
            </w:pPr>
          </w:p>
        </w:tc>
        <w:tc>
          <w:tcPr>
            <w:tcW w:w="1442" w:type="dxa"/>
            <w:vMerge/>
            <w:tcBorders>
              <w:top w:val="nil"/>
              <w:left w:val="single" w:sz="4" w:space="0" w:color="auto"/>
              <w:bottom w:val="single" w:sz="4" w:space="0" w:color="auto"/>
              <w:right w:val="single" w:sz="4" w:space="0" w:color="auto"/>
            </w:tcBorders>
            <w:vAlign w:val="center"/>
            <w:hideMark/>
          </w:tcPr>
          <w:p w14:paraId="5FEF0046" w14:textId="77777777" w:rsidR="00D845EC" w:rsidRPr="00795698" w:rsidRDefault="00D845EC" w:rsidP="00D845EC">
            <w:pPr>
              <w:rPr>
                <w:rFonts w:ascii="Arial" w:hAnsi="Arial" w:cs="Arial"/>
                <w:b/>
                <w:bCs/>
                <w:color w:val="000000"/>
                <w:sz w:val="6"/>
                <w:szCs w:val="6"/>
                <w:lang w:eastAsia="sq-AL"/>
              </w:rPr>
            </w:pPr>
          </w:p>
        </w:tc>
        <w:tc>
          <w:tcPr>
            <w:tcW w:w="201" w:type="dxa"/>
            <w:vMerge/>
            <w:tcBorders>
              <w:top w:val="nil"/>
              <w:left w:val="single" w:sz="4" w:space="0" w:color="auto"/>
              <w:bottom w:val="single" w:sz="4" w:space="0" w:color="auto"/>
              <w:right w:val="single" w:sz="4" w:space="0" w:color="auto"/>
            </w:tcBorders>
            <w:vAlign w:val="center"/>
            <w:hideMark/>
          </w:tcPr>
          <w:p w14:paraId="5FEF0047" w14:textId="77777777" w:rsidR="00D845EC" w:rsidRPr="00795698" w:rsidRDefault="00D845EC" w:rsidP="00D845EC">
            <w:pPr>
              <w:rPr>
                <w:rFonts w:ascii="Arial" w:hAnsi="Arial" w:cs="Arial"/>
                <w:b/>
                <w:bCs/>
                <w:color w:val="000000"/>
                <w:sz w:val="6"/>
                <w:szCs w:val="6"/>
                <w:lang w:eastAsia="sq-AL"/>
              </w:rPr>
            </w:pPr>
          </w:p>
        </w:tc>
        <w:tc>
          <w:tcPr>
            <w:tcW w:w="254" w:type="dxa"/>
            <w:vMerge/>
            <w:tcBorders>
              <w:top w:val="nil"/>
              <w:left w:val="single" w:sz="4" w:space="0" w:color="auto"/>
              <w:bottom w:val="single" w:sz="4" w:space="0" w:color="auto"/>
              <w:right w:val="single" w:sz="4" w:space="0" w:color="auto"/>
            </w:tcBorders>
            <w:vAlign w:val="center"/>
            <w:hideMark/>
          </w:tcPr>
          <w:p w14:paraId="5FEF0048" w14:textId="77777777" w:rsidR="00D845EC" w:rsidRPr="00795698" w:rsidRDefault="00D845EC" w:rsidP="00D845EC">
            <w:pPr>
              <w:rPr>
                <w:rFonts w:ascii="Arial" w:hAnsi="Arial" w:cs="Arial"/>
                <w:b/>
                <w:bCs/>
                <w:color w:val="000000"/>
                <w:sz w:val="6"/>
                <w:szCs w:val="6"/>
                <w:lang w:eastAsia="sq-AL"/>
              </w:rPr>
            </w:pPr>
          </w:p>
        </w:tc>
        <w:tc>
          <w:tcPr>
            <w:tcW w:w="303" w:type="dxa"/>
            <w:tcBorders>
              <w:top w:val="nil"/>
              <w:left w:val="nil"/>
              <w:bottom w:val="single" w:sz="4" w:space="0" w:color="auto"/>
              <w:right w:val="single" w:sz="4" w:space="0" w:color="auto"/>
            </w:tcBorders>
            <w:shd w:val="clear" w:color="auto" w:fill="auto"/>
            <w:vAlign w:val="center"/>
            <w:hideMark/>
          </w:tcPr>
          <w:p w14:paraId="5FEF004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04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04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04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04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04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04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05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05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single" w:sz="8" w:space="0" w:color="auto"/>
              <w:bottom w:val="single" w:sz="8" w:space="0" w:color="auto"/>
              <w:right w:val="nil"/>
            </w:tcBorders>
            <w:shd w:val="clear" w:color="auto" w:fill="auto"/>
            <w:vAlign w:val="center"/>
            <w:hideMark/>
          </w:tcPr>
          <w:p w14:paraId="5FEF005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05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05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nil"/>
              <w:bottom w:val="single" w:sz="8" w:space="0" w:color="auto"/>
              <w:right w:val="nil"/>
            </w:tcBorders>
            <w:shd w:val="clear" w:color="auto" w:fill="auto"/>
            <w:vAlign w:val="center"/>
            <w:hideMark/>
          </w:tcPr>
          <w:p w14:paraId="5FEF005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05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05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F005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4" w:space="0" w:color="auto"/>
              <w:left w:val="nil"/>
              <w:bottom w:val="single" w:sz="4" w:space="0" w:color="auto"/>
              <w:right w:val="single" w:sz="4" w:space="0" w:color="auto"/>
            </w:tcBorders>
            <w:shd w:val="clear" w:color="auto" w:fill="auto"/>
            <w:vAlign w:val="center"/>
            <w:hideMark/>
          </w:tcPr>
          <w:p w14:paraId="5FEF005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34" w:type="dxa"/>
            <w:tcBorders>
              <w:top w:val="single" w:sz="4" w:space="0" w:color="auto"/>
              <w:left w:val="nil"/>
              <w:bottom w:val="single" w:sz="4" w:space="0" w:color="auto"/>
              <w:right w:val="single" w:sz="4" w:space="0" w:color="auto"/>
            </w:tcBorders>
            <w:shd w:val="clear" w:color="auto" w:fill="auto"/>
            <w:vAlign w:val="center"/>
            <w:hideMark/>
          </w:tcPr>
          <w:p w14:paraId="5FEF00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49" w:type="dxa"/>
            <w:tcBorders>
              <w:top w:val="single" w:sz="4" w:space="0" w:color="auto"/>
              <w:left w:val="nil"/>
              <w:bottom w:val="single" w:sz="4" w:space="0" w:color="auto"/>
              <w:right w:val="single" w:sz="4" w:space="0" w:color="auto"/>
            </w:tcBorders>
            <w:shd w:val="clear" w:color="auto" w:fill="auto"/>
            <w:vAlign w:val="center"/>
            <w:hideMark/>
          </w:tcPr>
          <w:p w14:paraId="5FEF005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40" w:type="dxa"/>
            <w:tcBorders>
              <w:top w:val="nil"/>
              <w:left w:val="nil"/>
              <w:bottom w:val="single" w:sz="4" w:space="0" w:color="auto"/>
              <w:right w:val="single" w:sz="8" w:space="0" w:color="auto"/>
            </w:tcBorders>
            <w:shd w:val="clear" w:color="auto" w:fill="auto"/>
            <w:vAlign w:val="center"/>
            <w:hideMark/>
          </w:tcPr>
          <w:p w14:paraId="5FEF005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D845EC" w:rsidRPr="00795698" w14:paraId="5FEF007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05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2.1</w:t>
            </w:r>
          </w:p>
        </w:tc>
        <w:tc>
          <w:tcPr>
            <w:tcW w:w="814" w:type="dxa"/>
            <w:tcBorders>
              <w:top w:val="nil"/>
              <w:left w:val="nil"/>
              <w:bottom w:val="single" w:sz="4" w:space="0" w:color="auto"/>
              <w:right w:val="single" w:sz="4" w:space="0" w:color="auto"/>
            </w:tcBorders>
            <w:shd w:val="clear" w:color="auto" w:fill="auto"/>
            <w:vAlign w:val="center"/>
            <w:hideMark/>
          </w:tcPr>
          <w:p w14:paraId="5FEF005F"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PARANDALIMI I RADIKALIZIMIT NËPËRMJET INTERNETIT</w:t>
            </w:r>
          </w:p>
        </w:tc>
        <w:tc>
          <w:tcPr>
            <w:tcW w:w="350" w:type="dxa"/>
            <w:tcBorders>
              <w:top w:val="nil"/>
              <w:left w:val="nil"/>
              <w:bottom w:val="single" w:sz="4" w:space="0" w:color="auto"/>
              <w:right w:val="single" w:sz="4" w:space="0" w:color="auto"/>
            </w:tcBorders>
            <w:shd w:val="clear" w:color="auto" w:fill="auto"/>
            <w:vAlign w:val="center"/>
            <w:hideMark/>
          </w:tcPr>
          <w:p w14:paraId="5FEF00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0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0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06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F00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vAlign w:val="center"/>
            <w:hideMark/>
          </w:tcPr>
          <w:p w14:paraId="5FEF00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vAlign w:val="center"/>
            <w:hideMark/>
          </w:tcPr>
          <w:p w14:paraId="5FEF00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vAlign w:val="center"/>
            <w:hideMark/>
          </w:tcPr>
          <w:p w14:paraId="5FEF00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vAlign w:val="center"/>
            <w:hideMark/>
          </w:tcPr>
          <w:p w14:paraId="5FEF00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vAlign w:val="center"/>
            <w:hideMark/>
          </w:tcPr>
          <w:p w14:paraId="5FEF00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vAlign w:val="center"/>
            <w:hideMark/>
          </w:tcPr>
          <w:p w14:paraId="5FEF00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F00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F00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F00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vAlign w:val="center"/>
            <w:hideMark/>
          </w:tcPr>
          <w:p w14:paraId="5FEF00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09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0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07B"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0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07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0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07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F008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vAlign w:val="center"/>
            <w:hideMark/>
          </w:tcPr>
          <w:p w14:paraId="5FEF00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F00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F00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F00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vAlign w:val="center"/>
            <w:hideMark/>
          </w:tcPr>
          <w:p w14:paraId="5FEF00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vAlign w:val="center"/>
            <w:hideMark/>
          </w:tcPr>
          <w:p w14:paraId="5FEF00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vAlign w:val="center"/>
            <w:hideMark/>
          </w:tcPr>
          <w:p w14:paraId="5FEF00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vAlign w:val="center"/>
            <w:hideMark/>
          </w:tcPr>
          <w:p w14:paraId="5FEF00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vAlign w:val="center"/>
            <w:hideMark/>
          </w:tcPr>
          <w:p w14:paraId="5FEF00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vAlign w:val="center"/>
            <w:hideMark/>
          </w:tcPr>
          <w:p w14:paraId="5FEF00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0B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center"/>
            <w:hideMark/>
          </w:tcPr>
          <w:p w14:paraId="5FEF009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2.1.1</w:t>
            </w:r>
          </w:p>
        </w:tc>
        <w:tc>
          <w:tcPr>
            <w:tcW w:w="814" w:type="dxa"/>
            <w:tcBorders>
              <w:top w:val="nil"/>
              <w:left w:val="nil"/>
              <w:bottom w:val="single" w:sz="4" w:space="0" w:color="auto"/>
              <w:right w:val="single" w:sz="4" w:space="0" w:color="auto"/>
            </w:tcBorders>
            <w:shd w:val="clear" w:color="auto" w:fill="auto"/>
            <w:vAlign w:val="center"/>
            <w:hideMark/>
          </w:tcPr>
          <w:p w14:paraId="5FEF0097"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Krijimi i një sistemi të aksesit të kontrolluar për grupmoshat e reja në site dhe faqe online të cilat mund të kenë përmbajtje propagandiste</w:t>
            </w:r>
          </w:p>
        </w:tc>
        <w:tc>
          <w:tcPr>
            <w:tcW w:w="350" w:type="dxa"/>
            <w:tcBorders>
              <w:top w:val="nil"/>
              <w:left w:val="nil"/>
              <w:bottom w:val="single" w:sz="4" w:space="0" w:color="auto"/>
              <w:right w:val="single" w:sz="4" w:space="0" w:color="auto"/>
            </w:tcBorders>
            <w:shd w:val="clear" w:color="auto" w:fill="auto"/>
            <w:vAlign w:val="center"/>
            <w:hideMark/>
          </w:tcPr>
          <w:p w14:paraId="5FEF00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000000" w:fill="FFFFFF"/>
            <w:vAlign w:val="center"/>
            <w:hideMark/>
          </w:tcPr>
          <w:p w14:paraId="5FEF00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auto" w:fill="auto"/>
            <w:vAlign w:val="center"/>
            <w:hideMark/>
          </w:tcPr>
          <w:p w14:paraId="5FEF00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SHISH/MM/AISM</w:t>
            </w:r>
          </w:p>
        </w:tc>
        <w:tc>
          <w:tcPr>
            <w:tcW w:w="201" w:type="dxa"/>
            <w:tcBorders>
              <w:top w:val="nil"/>
              <w:left w:val="nil"/>
              <w:bottom w:val="single" w:sz="4" w:space="0" w:color="auto"/>
              <w:right w:val="single" w:sz="4" w:space="0" w:color="auto"/>
            </w:tcBorders>
            <w:shd w:val="clear" w:color="auto" w:fill="auto"/>
            <w:vAlign w:val="center"/>
            <w:hideMark/>
          </w:tcPr>
          <w:p w14:paraId="5FEF009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09C"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0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0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0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0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0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0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0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0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0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0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0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0C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0B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2.1.2</w:t>
            </w:r>
          </w:p>
        </w:tc>
        <w:tc>
          <w:tcPr>
            <w:tcW w:w="814" w:type="dxa"/>
            <w:tcBorders>
              <w:top w:val="nil"/>
              <w:left w:val="nil"/>
              <w:bottom w:val="single" w:sz="4" w:space="0" w:color="auto"/>
              <w:right w:val="single" w:sz="4" w:space="0" w:color="auto"/>
            </w:tcBorders>
            <w:shd w:val="clear" w:color="auto" w:fill="auto"/>
            <w:vAlign w:val="center"/>
            <w:hideMark/>
          </w:tcPr>
          <w:p w14:paraId="5FEF00B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xml:space="preserve">Krijimi i hapësirave për denoncimin e faqeve/profileve të dyshimta në faqet zyrtare të P.SH, AKCESK, QKEDH etj. </w:t>
            </w:r>
          </w:p>
        </w:tc>
        <w:tc>
          <w:tcPr>
            <w:tcW w:w="350" w:type="dxa"/>
            <w:tcBorders>
              <w:top w:val="nil"/>
              <w:left w:val="nil"/>
              <w:bottom w:val="single" w:sz="4" w:space="0" w:color="auto"/>
              <w:right w:val="single" w:sz="4" w:space="0" w:color="auto"/>
            </w:tcBorders>
            <w:shd w:val="clear" w:color="auto" w:fill="auto"/>
            <w:vAlign w:val="center"/>
            <w:hideMark/>
          </w:tcPr>
          <w:p w14:paraId="5FEF00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000000" w:fill="FFFFFF"/>
            <w:vAlign w:val="center"/>
            <w:hideMark/>
          </w:tcPr>
          <w:p w14:paraId="5FEF00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auto" w:fill="auto"/>
            <w:vAlign w:val="center"/>
            <w:hideMark/>
          </w:tcPr>
          <w:p w14:paraId="5FEF00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AKCESK/ AKEP/ QKEDH</w:t>
            </w:r>
          </w:p>
        </w:tc>
        <w:tc>
          <w:tcPr>
            <w:tcW w:w="201" w:type="dxa"/>
            <w:tcBorders>
              <w:top w:val="nil"/>
              <w:left w:val="nil"/>
              <w:bottom w:val="single" w:sz="4" w:space="0" w:color="auto"/>
              <w:right w:val="single" w:sz="4" w:space="0" w:color="auto"/>
            </w:tcBorders>
            <w:shd w:val="clear" w:color="auto" w:fill="auto"/>
            <w:vAlign w:val="center"/>
            <w:hideMark/>
          </w:tcPr>
          <w:p w14:paraId="5FEF00B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0B8"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2023</w:t>
            </w:r>
          </w:p>
        </w:tc>
        <w:tc>
          <w:tcPr>
            <w:tcW w:w="303" w:type="dxa"/>
            <w:tcBorders>
              <w:top w:val="nil"/>
              <w:left w:val="nil"/>
              <w:bottom w:val="single" w:sz="4" w:space="0" w:color="auto"/>
              <w:right w:val="single" w:sz="4" w:space="0" w:color="auto"/>
            </w:tcBorders>
            <w:shd w:val="clear" w:color="000000" w:fill="FFFFFF"/>
            <w:noWrap/>
            <w:vAlign w:val="center"/>
            <w:hideMark/>
          </w:tcPr>
          <w:p w14:paraId="5FEF00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0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0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0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0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0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0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0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0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0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0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0E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0C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2.1.3</w:t>
            </w:r>
          </w:p>
        </w:tc>
        <w:tc>
          <w:tcPr>
            <w:tcW w:w="814" w:type="dxa"/>
            <w:tcBorders>
              <w:top w:val="nil"/>
              <w:left w:val="nil"/>
              <w:bottom w:val="single" w:sz="4" w:space="0" w:color="auto"/>
              <w:right w:val="single" w:sz="4" w:space="0" w:color="auto"/>
            </w:tcBorders>
            <w:shd w:val="clear" w:color="auto" w:fill="auto"/>
            <w:vAlign w:val="center"/>
            <w:hideMark/>
          </w:tcPr>
          <w:p w14:paraId="5FEF00CF" w14:textId="5D558617" w:rsidR="00D845EC" w:rsidRPr="00795698" w:rsidRDefault="00D845EC" w:rsidP="00C62D65">
            <w:pPr>
              <w:rPr>
                <w:rFonts w:ascii="Arial" w:hAnsi="Arial" w:cs="Arial"/>
                <w:color w:val="000000"/>
                <w:sz w:val="6"/>
                <w:szCs w:val="6"/>
                <w:lang w:eastAsia="sq-AL"/>
              </w:rPr>
            </w:pPr>
            <w:r w:rsidRPr="00795698">
              <w:rPr>
                <w:rFonts w:ascii="Arial" w:hAnsi="Arial" w:cs="Arial"/>
                <w:color w:val="000000"/>
                <w:sz w:val="6"/>
                <w:szCs w:val="6"/>
                <w:lang w:eastAsia="sq-AL"/>
              </w:rPr>
              <w:t>Zhvillimi i spoteve ndërgjegjësuese për t</w:t>
            </w:r>
            <w:r w:rsidR="00C62D65" w:rsidRPr="00795698">
              <w:rPr>
                <w:rFonts w:ascii="Arial" w:hAnsi="Arial" w:cs="Arial"/>
                <w:color w:val="000000"/>
                <w:sz w:val="6"/>
                <w:szCs w:val="6"/>
                <w:lang w:eastAsia="sq-AL"/>
              </w:rPr>
              <w:t>’</w:t>
            </w:r>
            <w:r w:rsidRPr="00795698">
              <w:rPr>
                <w:rFonts w:ascii="Arial" w:hAnsi="Arial" w:cs="Arial"/>
                <w:color w:val="000000"/>
                <w:sz w:val="6"/>
                <w:szCs w:val="6"/>
                <w:lang w:eastAsia="sq-AL"/>
              </w:rPr>
              <w:t>u shpërndarë te përdoruesit e internetit, nëpërmjet profileve zyrtare të agjencive shtetërore apo faqeve zyrtare të internetit</w:t>
            </w:r>
          </w:p>
        </w:tc>
        <w:tc>
          <w:tcPr>
            <w:tcW w:w="350" w:type="dxa"/>
            <w:tcBorders>
              <w:top w:val="nil"/>
              <w:left w:val="nil"/>
              <w:bottom w:val="single" w:sz="4" w:space="0" w:color="auto"/>
              <w:right w:val="single" w:sz="4" w:space="0" w:color="auto"/>
            </w:tcBorders>
            <w:shd w:val="clear" w:color="auto" w:fill="auto"/>
            <w:vAlign w:val="center"/>
            <w:hideMark/>
          </w:tcPr>
          <w:p w14:paraId="5FEF00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000000" w:fill="FFFFFF"/>
            <w:vAlign w:val="center"/>
            <w:hideMark/>
          </w:tcPr>
          <w:p w14:paraId="5FEF00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auto" w:fill="auto"/>
            <w:vAlign w:val="center"/>
            <w:hideMark/>
          </w:tcPr>
          <w:p w14:paraId="5FEF00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MB/DPPSH/MAS/AKCESK</w:t>
            </w:r>
          </w:p>
        </w:tc>
        <w:tc>
          <w:tcPr>
            <w:tcW w:w="201" w:type="dxa"/>
            <w:tcBorders>
              <w:top w:val="nil"/>
              <w:left w:val="nil"/>
              <w:bottom w:val="single" w:sz="4" w:space="0" w:color="auto"/>
              <w:right w:val="single" w:sz="4" w:space="0" w:color="auto"/>
            </w:tcBorders>
            <w:shd w:val="clear" w:color="auto" w:fill="auto"/>
            <w:vAlign w:val="center"/>
            <w:hideMark/>
          </w:tcPr>
          <w:p w14:paraId="5FEF00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0D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0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0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0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0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0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0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0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0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0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0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0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10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0E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2.1.4</w:t>
            </w:r>
          </w:p>
        </w:tc>
        <w:tc>
          <w:tcPr>
            <w:tcW w:w="814" w:type="dxa"/>
            <w:tcBorders>
              <w:top w:val="nil"/>
              <w:left w:val="nil"/>
              <w:bottom w:val="single" w:sz="4" w:space="0" w:color="auto"/>
              <w:right w:val="single" w:sz="4" w:space="0" w:color="auto"/>
            </w:tcBorders>
            <w:shd w:val="clear" w:color="auto" w:fill="auto"/>
            <w:vAlign w:val="center"/>
            <w:hideMark/>
          </w:tcPr>
          <w:p w14:paraId="5FEF00EB" w14:textId="060314B3"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xml:space="preserve">Kryerja e monitorimeve të faqeve të internetit nga agjencitë </w:t>
            </w:r>
            <w:r w:rsidR="00C62D65" w:rsidRPr="00795698">
              <w:rPr>
                <w:rFonts w:ascii="Arial" w:hAnsi="Arial" w:cs="Arial"/>
                <w:color w:val="000000"/>
                <w:sz w:val="6"/>
                <w:szCs w:val="6"/>
                <w:lang w:eastAsia="sq-AL"/>
              </w:rPr>
              <w:t>ligj</w:t>
            </w:r>
            <w:r w:rsidRPr="00795698">
              <w:rPr>
                <w:rFonts w:ascii="Arial" w:hAnsi="Arial" w:cs="Arial"/>
                <w:color w:val="000000"/>
                <w:sz w:val="6"/>
                <w:szCs w:val="6"/>
                <w:lang w:eastAsia="sq-AL"/>
              </w:rPr>
              <w:t>zbatuese për mesazhe/profile radikale, ekstremiste e terroriste</w:t>
            </w:r>
          </w:p>
        </w:tc>
        <w:tc>
          <w:tcPr>
            <w:tcW w:w="350" w:type="dxa"/>
            <w:tcBorders>
              <w:top w:val="nil"/>
              <w:left w:val="nil"/>
              <w:bottom w:val="single" w:sz="4" w:space="0" w:color="auto"/>
              <w:right w:val="single" w:sz="4" w:space="0" w:color="auto"/>
            </w:tcBorders>
            <w:shd w:val="clear" w:color="000000" w:fill="FFFFFF"/>
            <w:vAlign w:val="center"/>
            <w:hideMark/>
          </w:tcPr>
          <w:p w14:paraId="5FEF00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0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F00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SHISH/MM/AISM</w:t>
            </w:r>
          </w:p>
        </w:tc>
        <w:tc>
          <w:tcPr>
            <w:tcW w:w="201" w:type="dxa"/>
            <w:tcBorders>
              <w:top w:val="nil"/>
              <w:left w:val="nil"/>
              <w:bottom w:val="single" w:sz="4" w:space="0" w:color="auto"/>
              <w:right w:val="single" w:sz="4" w:space="0" w:color="auto"/>
            </w:tcBorders>
            <w:shd w:val="clear" w:color="auto" w:fill="auto"/>
            <w:vAlign w:val="center"/>
            <w:hideMark/>
          </w:tcPr>
          <w:p w14:paraId="5FEF00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0F0"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0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0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0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0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0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345" w:type="dxa"/>
            <w:tcBorders>
              <w:top w:val="nil"/>
              <w:left w:val="nil"/>
              <w:bottom w:val="single" w:sz="4" w:space="0" w:color="auto"/>
              <w:right w:val="single" w:sz="4" w:space="0" w:color="auto"/>
            </w:tcBorders>
            <w:shd w:val="clear" w:color="000000" w:fill="FFFFFF"/>
            <w:vAlign w:val="center"/>
            <w:hideMark/>
          </w:tcPr>
          <w:p w14:paraId="5FEF00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w:t>
            </w:r>
          </w:p>
        </w:tc>
        <w:tc>
          <w:tcPr>
            <w:tcW w:w="228" w:type="dxa"/>
            <w:tcBorders>
              <w:top w:val="nil"/>
              <w:left w:val="nil"/>
              <w:bottom w:val="single" w:sz="4" w:space="0" w:color="auto"/>
              <w:right w:val="single" w:sz="4" w:space="0" w:color="auto"/>
            </w:tcBorders>
            <w:shd w:val="clear" w:color="000000" w:fill="FFFFFF"/>
            <w:vAlign w:val="center"/>
            <w:hideMark/>
          </w:tcPr>
          <w:p w14:paraId="5FEF00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w:t>
            </w:r>
          </w:p>
        </w:tc>
        <w:tc>
          <w:tcPr>
            <w:tcW w:w="345" w:type="dxa"/>
            <w:tcBorders>
              <w:top w:val="nil"/>
              <w:left w:val="nil"/>
              <w:bottom w:val="single" w:sz="4" w:space="0" w:color="auto"/>
              <w:right w:val="single" w:sz="4" w:space="0" w:color="auto"/>
            </w:tcBorders>
            <w:shd w:val="clear" w:color="000000" w:fill="FFFFFF"/>
            <w:vAlign w:val="center"/>
            <w:hideMark/>
          </w:tcPr>
          <w:p w14:paraId="5FEF00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w:t>
            </w:r>
          </w:p>
        </w:tc>
        <w:tc>
          <w:tcPr>
            <w:tcW w:w="228" w:type="dxa"/>
            <w:tcBorders>
              <w:top w:val="nil"/>
              <w:left w:val="nil"/>
              <w:bottom w:val="single" w:sz="4" w:space="0" w:color="auto"/>
              <w:right w:val="single" w:sz="4" w:space="0" w:color="auto"/>
            </w:tcBorders>
            <w:shd w:val="clear" w:color="000000" w:fill="FFFFFF"/>
            <w:vAlign w:val="center"/>
            <w:hideMark/>
          </w:tcPr>
          <w:p w14:paraId="5FEF00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0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1,800,000</w:t>
            </w:r>
          </w:p>
        </w:tc>
        <w:tc>
          <w:tcPr>
            <w:tcW w:w="218" w:type="dxa"/>
            <w:tcBorders>
              <w:top w:val="nil"/>
              <w:left w:val="nil"/>
              <w:bottom w:val="single" w:sz="4" w:space="0" w:color="auto"/>
              <w:right w:val="single" w:sz="4" w:space="0" w:color="auto"/>
            </w:tcBorders>
            <w:shd w:val="clear" w:color="000000" w:fill="FFFFFF"/>
            <w:vAlign w:val="center"/>
            <w:hideMark/>
          </w:tcPr>
          <w:p w14:paraId="5FEF01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1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1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1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1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12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10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10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2.1</w:t>
            </w:r>
          </w:p>
        </w:tc>
        <w:tc>
          <w:tcPr>
            <w:tcW w:w="350" w:type="dxa"/>
            <w:tcBorders>
              <w:top w:val="nil"/>
              <w:left w:val="nil"/>
              <w:bottom w:val="single" w:sz="4" w:space="0" w:color="auto"/>
              <w:right w:val="single" w:sz="4" w:space="0" w:color="auto"/>
            </w:tcBorders>
            <w:shd w:val="clear" w:color="000000" w:fill="D9D9D9"/>
            <w:vAlign w:val="center"/>
            <w:hideMark/>
          </w:tcPr>
          <w:p w14:paraId="5FEF01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10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10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10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10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10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151,434,600</w:t>
            </w:r>
          </w:p>
        </w:tc>
        <w:tc>
          <w:tcPr>
            <w:tcW w:w="228" w:type="dxa"/>
            <w:tcBorders>
              <w:top w:val="nil"/>
              <w:left w:val="nil"/>
              <w:bottom w:val="single" w:sz="4" w:space="0" w:color="auto"/>
              <w:right w:val="single" w:sz="4" w:space="0" w:color="auto"/>
            </w:tcBorders>
            <w:shd w:val="clear" w:color="000000" w:fill="D9D9D9"/>
            <w:vAlign w:val="center"/>
            <w:hideMark/>
          </w:tcPr>
          <w:p w14:paraId="5FEF010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10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151,434,600</w:t>
            </w:r>
          </w:p>
        </w:tc>
        <w:tc>
          <w:tcPr>
            <w:tcW w:w="303" w:type="dxa"/>
            <w:tcBorders>
              <w:top w:val="nil"/>
              <w:left w:val="nil"/>
              <w:bottom w:val="single" w:sz="4" w:space="0" w:color="auto"/>
              <w:right w:val="single" w:sz="4" w:space="0" w:color="auto"/>
            </w:tcBorders>
            <w:shd w:val="clear" w:color="000000" w:fill="D9D9D9"/>
            <w:vAlign w:val="center"/>
            <w:hideMark/>
          </w:tcPr>
          <w:p w14:paraId="5FEF011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151,434,600</w:t>
            </w:r>
          </w:p>
        </w:tc>
        <w:tc>
          <w:tcPr>
            <w:tcW w:w="228" w:type="dxa"/>
            <w:tcBorders>
              <w:top w:val="nil"/>
              <w:left w:val="nil"/>
              <w:bottom w:val="single" w:sz="4" w:space="0" w:color="auto"/>
              <w:right w:val="single" w:sz="4" w:space="0" w:color="auto"/>
            </w:tcBorders>
            <w:shd w:val="clear" w:color="000000" w:fill="D9D9D9"/>
            <w:vAlign w:val="center"/>
            <w:hideMark/>
          </w:tcPr>
          <w:p w14:paraId="5FEF011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11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151,434,600</w:t>
            </w:r>
          </w:p>
        </w:tc>
        <w:tc>
          <w:tcPr>
            <w:tcW w:w="303" w:type="dxa"/>
            <w:tcBorders>
              <w:top w:val="nil"/>
              <w:left w:val="nil"/>
              <w:bottom w:val="single" w:sz="4" w:space="0" w:color="auto"/>
              <w:right w:val="single" w:sz="4" w:space="0" w:color="auto"/>
            </w:tcBorders>
            <w:shd w:val="clear" w:color="000000" w:fill="D9D9D9"/>
            <w:vAlign w:val="center"/>
            <w:hideMark/>
          </w:tcPr>
          <w:p w14:paraId="5FEF011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151,434,600</w:t>
            </w:r>
          </w:p>
        </w:tc>
        <w:tc>
          <w:tcPr>
            <w:tcW w:w="228" w:type="dxa"/>
            <w:tcBorders>
              <w:top w:val="nil"/>
              <w:left w:val="nil"/>
              <w:bottom w:val="single" w:sz="4" w:space="0" w:color="auto"/>
              <w:right w:val="single" w:sz="4" w:space="0" w:color="auto"/>
            </w:tcBorders>
            <w:shd w:val="clear" w:color="000000" w:fill="D9D9D9"/>
            <w:vAlign w:val="center"/>
            <w:hideMark/>
          </w:tcPr>
          <w:p w14:paraId="5FEF011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11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151,434,600</w:t>
            </w:r>
          </w:p>
        </w:tc>
        <w:tc>
          <w:tcPr>
            <w:tcW w:w="345" w:type="dxa"/>
            <w:tcBorders>
              <w:top w:val="nil"/>
              <w:left w:val="nil"/>
              <w:bottom w:val="single" w:sz="4" w:space="0" w:color="auto"/>
              <w:right w:val="single" w:sz="4" w:space="0" w:color="auto"/>
            </w:tcBorders>
            <w:shd w:val="clear" w:color="000000" w:fill="D9D9D9"/>
            <w:vAlign w:val="center"/>
            <w:hideMark/>
          </w:tcPr>
          <w:p w14:paraId="5FEF011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454,303,800</w:t>
            </w:r>
          </w:p>
        </w:tc>
        <w:tc>
          <w:tcPr>
            <w:tcW w:w="228" w:type="dxa"/>
            <w:tcBorders>
              <w:top w:val="nil"/>
              <w:left w:val="nil"/>
              <w:bottom w:val="single" w:sz="4" w:space="0" w:color="auto"/>
              <w:right w:val="single" w:sz="4" w:space="0" w:color="auto"/>
            </w:tcBorders>
            <w:shd w:val="clear" w:color="000000" w:fill="D9D9D9"/>
            <w:vAlign w:val="center"/>
            <w:hideMark/>
          </w:tcPr>
          <w:p w14:paraId="5FEF011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11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454,303,800</w:t>
            </w:r>
          </w:p>
        </w:tc>
        <w:tc>
          <w:tcPr>
            <w:tcW w:w="345" w:type="dxa"/>
            <w:tcBorders>
              <w:top w:val="nil"/>
              <w:left w:val="nil"/>
              <w:bottom w:val="single" w:sz="4" w:space="0" w:color="auto"/>
              <w:right w:val="single" w:sz="4" w:space="0" w:color="auto"/>
            </w:tcBorders>
            <w:shd w:val="clear" w:color="000000" w:fill="D9D9D9"/>
            <w:vAlign w:val="center"/>
            <w:hideMark/>
          </w:tcPr>
          <w:p w14:paraId="5FEF011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454,303,800</w:t>
            </w:r>
          </w:p>
        </w:tc>
        <w:tc>
          <w:tcPr>
            <w:tcW w:w="228" w:type="dxa"/>
            <w:tcBorders>
              <w:top w:val="nil"/>
              <w:left w:val="nil"/>
              <w:bottom w:val="single" w:sz="4" w:space="0" w:color="auto"/>
              <w:right w:val="single" w:sz="4" w:space="0" w:color="auto"/>
            </w:tcBorders>
            <w:shd w:val="clear" w:color="000000" w:fill="D9D9D9"/>
            <w:vAlign w:val="center"/>
            <w:hideMark/>
          </w:tcPr>
          <w:p w14:paraId="5FEF011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11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454,303,800</w:t>
            </w:r>
          </w:p>
        </w:tc>
        <w:tc>
          <w:tcPr>
            <w:tcW w:w="218" w:type="dxa"/>
            <w:tcBorders>
              <w:top w:val="nil"/>
              <w:left w:val="nil"/>
              <w:bottom w:val="single" w:sz="4" w:space="0" w:color="auto"/>
              <w:right w:val="single" w:sz="4" w:space="0" w:color="auto"/>
            </w:tcBorders>
            <w:shd w:val="clear" w:color="000000" w:fill="D9D9D9"/>
            <w:vAlign w:val="center"/>
            <w:hideMark/>
          </w:tcPr>
          <w:p w14:paraId="5FEF011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11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11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11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12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13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center"/>
            <w:hideMark/>
          </w:tcPr>
          <w:p w14:paraId="5FEF012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2.2</w:t>
            </w:r>
          </w:p>
        </w:tc>
        <w:tc>
          <w:tcPr>
            <w:tcW w:w="814" w:type="dxa"/>
            <w:tcBorders>
              <w:top w:val="nil"/>
              <w:left w:val="nil"/>
              <w:bottom w:val="single" w:sz="4" w:space="0" w:color="auto"/>
              <w:right w:val="single" w:sz="4" w:space="0" w:color="auto"/>
            </w:tcBorders>
            <w:shd w:val="clear" w:color="auto" w:fill="auto"/>
            <w:vAlign w:val="center"/>
            <w:hideMark/>
          </w:tcPr>
          <w:p w14:paraId="5FEF0123"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RRITJA E PREZENCËS SË STRUKTURAVE TË ANTITERRORIT NË MJEDISIN VIRTUAL PËRMES KONTROLLIT DHE MONITORIMIT TË HAPËSIRAVE VIRTUALE PËRFSHIRË DARKNET-IN;</w:t>
            </w:r>
          </w:p>
        </w:tc>
        <w:tc>
          <w:tcPr>
            <w:tcW w:w="350" w:type="dxa"/>
            <w:tcBorders>
              <w:top w:val="nil"/>
              <w:left w:val="nil"/>
              <w:bottom w:val="single" w:sz="4" w:space="0" w:color="auto"/>
              <w:right w:val="single" w:sz="4" w:space="0" w:color="auto"/>
            </w:tcBorders>
            <w:shd w:val="clear" w:color="auto" w:fill="auto"/>
            <w:vAlign w:val="center"/>
            <w:hideMark/>
          </w:tcPr>
          <w:p w14:paraId="5FEF01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1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1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1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1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1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1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1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1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15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center"/>
            <w:hideMark/>
          </w:tcPr>
          <w:p w14:paraId="5FEF013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13F"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1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1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1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1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1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1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1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1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1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17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center"/>
            <w:hideMark/>
          </w:tcPr>
          <w:p w14:paraId="5FEF01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2.2.1</w:t>
            </w:r>
          </w:p>
        </w:tc>
        <w:tc>
          <w:tcPr>
            <w:tcW w:w="814" w:type="dxa"/>
            <w:tcBorders>
              <w:top w:val="nil"/>
              <w:left w:val="nil"/>
              <w:bottom w:val="single" w:sz="4" w:space="0" w:color="auto"/>
              <w:right w:val="single" w:sz="4" w:space="0" w:color="auto"/>
            </w:tcBorders>
            <w:shd w:val="clear" w:color="auto" w:fill="auto"/>
            <w:vAlign w:val="bottom"/>
            <w:hideMark/>
          </w:tcPr>
          <w:p w14:paraId="5FEF015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kapaciteteve përmes trajnimeve specifike për identifikimin e profileve në rrjete sociale me përmbajtje terroriste</w:t>
            </w:r>
          </w:p>
        </w:tc>
        <w:tc>
          <w:tcPr>
            <w:tcW w:w="350" w:type="dxa"/>
            <w:tcBorders>
              <w:top w:val="nil"/>
              <w:left w:val="nil"/>
              <w:bottom w:val="single" w:sz="4" w:space="0" w:color="auto"/>
              <w:right w:val="single" w:sz="4" w:space="0" w:color="auto"/>
            </w:tcBorders>
            <w:shd w:val="clear" w:color="000000" w:fill="FFFFFF"/>
            <w:vAlign w:val="center"/>
            <w:hideMark/>
          </w:tcPr>
          <w:p w14:paraId="5FEF01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1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w:t>
            </w:r>
          </w:p>
        </w:tc>
        <w:tc>
          <w:tcPr>
            <w:tcW w:w="1442" w:type="dxa"/>
            <w:tcBorders>
              <w:top w:val="nil"/>
              <w:left w:val="nil"/>
              <w:bottom w:val="single" w:sz="4" w:space="0" w:color="auto"/>
              <w:right w:val="single" w:sz="4" w:space="0" w:color="auto"/>
            </w:tcBorders>
            <w:shd w:val="clear" w:color="auto" w:fill="auto"/>
            <w:vAlign w:val="center"/>
            <w:hideMark/>
          </w:tcPr>
          <w:p w14:paraId="5FEF01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AKCESK/AKEP/QKEDH</w:t>
            </w:r>
          </w:p>
        </w:tc>
        <w:tc>
          <w:tcPr>
            <w:tcW w:w="201" w:type="dxa"/>
            <w:tcBorders>
              <w:top w:val="nil"/>
              <w:left w:val="nil"/>
              <w:bottom w:val="single" w:sz="4" w:space="0" w:color="auto"/>
              <w:right w:val="single" w:sz="4" w:space="0" w:color="auto"/>
            </w:tcBorders>
            <w:shd w:val="clear" w:color="auto" w:fill="auto"/>
            <w:vAlign w:val="center"/>
            <w:hideMark/>
          </w:tcPr>
          <w:p w14:paraId="5FEF015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16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1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1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1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1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1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1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1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1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1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5FEF01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1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1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45" w:type="dxa"/>
            <w:tcBorders>
              <w:top w:val="nil"/>
              <w:left w:val="nil"/>
              <w:bottom w:val="single" w:sz="4" w:space="0" w:color="auto"/>
              <w:right w:val="single" w:sz="4" w:space="0" w:color="auto"/>
            </w:tcBorders>
            <w:shd w:val="clear" w:color="000000" w:fill="FFFFFF"/>
            <w:vAlign w:val="center"/>
            <w:hideMark/>
          </w:tcPr>
          <w:p w14:paraId="5FEF01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1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1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18" w:type="dxa"/>
            <w:tcBorders>
              <w:top w:val="nil"/>
              <w:left w:val="nil"/>
              <w:bottom w:val="single" w:sz="4" w:space="0" w:color="auto"/>
              <w:right w:val="single" w:sz="4" w:space="0" w:color="auto"/>
            </w:tcBorders>
            <w:shd w:val="clear" w:color="000000" w:fill="FFFFFF"/>
            <w:vAlign w:val="center"/>
            <w:hideMark/>
          </w:tcPr>
          <w:p w14:paraId="5FEF01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1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1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1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1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19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1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17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2.2</w:t>
            </w:r>
          </w:p>
        </w:tc>
        <w:tc>
          <w:tcPr>
            <w:tcW w:w="350" w:type="dxa"/>
            <w:tcBorders>
              <w:top w:val="nil"/>
              <w:left w:val="nil"/>
              <w:bottom w:val="single" w:sz="4" w:space="0" w:color="auto"/>
              <w:right w:val="single" w:sz="4" w:space="0" w:color="auto"/>
            </w:tcBorders>
            <w:shd w:val="clear" w:color="000000" w:fill="D9D9D9"/>
            <w:vAlign w:val="center"/>
            <w:hideMark/>
          </w:tcPr>
          <w:p w14:paraId="5FEF01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17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1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1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17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17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228" w:type="dxa"/>
            <w:tcBorders>
              <w:top w:val="nil"/>
              <w:left w:val="nil"/>
              <w:bottom w:val="single" w:sz="4" w:space="0" w:color="auto"/>
              <w:right w:val="single" w:sz="4" w:space="0" w:color="auto"/>
            </w:tcBorders>
            <w:shd w:val="clear" w:color="000000" w:fill="D9D9D9"/>
            <w:vAlign w:val="center"/>
            <w:hideMark/>
          </w:tcPr>
          <w:p w14:paraId="5FEF017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17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3" w:type="dxa"/>
            <w:tcBorders>
              <w:top w:val="nil"/>
              <w:left w:val="nil"/>
              <w:bottom w:val="single" w:sz="4" w:space="0" w:color="auto"/>
              <w:right w:val="single" w:sz="4" w:space="0" w:color="auto"/>
            </w:tcBorders>
            <w:shd w:val="clear" w:color="000000" w:fill="D9D9D9"/>
            <w:vAlign w:val="center"/>
            <w:hideMark/>
          </w:tcPr>
          <w:p w14:paraId="5FEF018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228" w:type="dxa"/>
            <w:tcBorders>
              <w:top w:val="nil"/>
              <w:left w:val="nil"/>
              <w:bottom w:val="single" w:sz="4" w:space="0" w:color="auto"/>
              <w:right w:val="single" w:sz="4" w:space="0" w:color="auto"/>
            </w:tcBorders>
            <w:shd w:val="clear" w:color="000000" w:fill="D9D9D9"/>
            <w:vAlign w:val="center"/>
            <w:hideMark/>
          </w:tcPr>
          <w:p w14:paraId="5FEF018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18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3" w:type="dxa"/>
            <w:tcBorders>
              <w:top w:val="nil"/>
              <w:left w:val="nil"/>
              <w:bottom w:val="single" w:sz="4" w:space="0" w:color="auto"/>
              <w:right w:val="single" w:sz="4" w:space="0" w:color="auto"/>
            </w:tcBorders>
            <w:shd w:val="clear" w:color="000000" w:fill="D9D9D9"/>
            <w:vAlign w:val="center"/>
            <w:hideMark/>
          </w:tcPr>
          <w:p w14:paraId="5FEF018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228" w:type="dxa"/>
            <w:tcBorders>
              <w:top w:val="nil"/>
              <w:left w:val="nil"/>
              <w:bottom w:val="single" w:sz="4" w:space="0" w:color="auto"/>
              <w:right w:val="single" w:sz="4" w:space="0" w:color="auto"/>
            </w:tcBorders>
            <w:shd w:val="clear" w:color="000000" w:fill="D9D9D9"/>
            <w:vAlign w:val="center"/>
            <w:hideMark/>
          </w:tcPr>
          <w:p w14:paraId="5FEF018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18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45" w:type="dxa"/>
            <w:tcBorders>
              <w:top w:val="nil"/>
              <w:left w:val="nil"/>
              <w:bottom w:val="single" w:sz="4" w:space="0" w:color="auto"/>
              <w:right w:val="single" w:sz="4" w:space="0" w:color="auto"/>
            </w:tcBorders>
            <w:shd w:val="clear" w:color="000000" w:fill="D9D9D9"/>
            <w:vAlign w:val="center"/>
            <w:hideMark/>
          </w:tcPr>
          <w:p w14:paraId="5FEF018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1,500,000</w:t>
            </w:r>
          </w:p>
        </w:tc>
        <w:tc>
          <w:tcPr>
            <w:tcW w:w="228" w:type="dxa"/>
            <w:tcBorders>
              <w:top w:val="nil"/>
              <w:left w:val="nil"/>
              <w:bottom w:val="single" w:sz="4" w:space="0" w:color="auto"/>
              <w:right w:val="single" w:sz="4" w:space="0" w:color="auto"/>
            </w:tcBorders>
            <w:shd w:val="clear" w:color="000000" w:fill="D9D9D9"/>
            <w:vAlign w:val="center"/>
            <w:hideMark/>
          </w:tcPr>
          <w:p w14:paraId="5FEF018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18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1,500,000</w:t>
            </w:r>
          </w:p>
        </w:tc>
        <w:tc>
          <w:tcPr>
            <w:tcW w:w="345" w:type="dxa"/>
            <w:tcBorders>
              <w:top w:val="nil"/>
              <w:left w:val="nil"/>
              <w:bottom w:val="single" w:sz="4" w:space="0" w:color="auto"/>
              <w:right w:val="single" w:sz="4" w:space="0" w:color="auto"/>
            </w:tcBorders>
            <w:shd w:val="clear" w:color="000000" w:fill="D9D9D9"/>
            <w:vAlign w:val="center"/>
            <w:hideMark/>
          </w:tcPr>
          <w:p w14:paraId="5FEF018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1,500,000</w:t>
            </w:r>
          </w:p>
        </w:tc>
        <w:tc>
          <w:tcPr>
            <w:tcW w:w="228" w:type="dxa"/>
            <w:tcBorders>
              <w:top w:val="nil"/>
              <w:left w:val="nil"/>
              <w:bottom w:val="single" w:sz="4" w:space="0" w:color="auto"/>
              <w:right w:val="single" w:sz="4" w:space="0" w:color="auto"/>
            </w:tcBorders>
            <w:shd w:val="clear" w:color="000000" w:fill="D9D9D9"/>
            <w:vAlign w:val="center"/>
            <w:hideMark/>
          </w:tcPr>
          <w:p w14:paraId="5FEF018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18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1,500,000</w:t>
            </w:r>
          </w:p>
        </w:tc>
        <w:tc>
          <w:tcPr>
            <w:tcW w:w="218" w:type="dxa"/>
            <w:tcBorders>
              <w:top w:val="nil"/>
              <w:left w:val="nil"/>
              <w:bottom w:val="single" w:sz="4" w:space="0" w:color="auto"/>
              <w:right w:val="single" w:sz="4" w:space="0" w:color="auto"/>
            </w:tcBorders>
            <w:shd w:val="clear" w:color="000000" w:fill="D9D9D9"/>
            <w:vAlign w:val="center"/>
            <w:hideMark/>
          </w:tcPr>
          <w:p w14:paraId="5FEF018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18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18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18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19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1A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center"/>
            <w:hideMark/>
          </w:tcPr>
          <w:p w14:paraId="5FEF019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2.3</w:t>
            </w:r>
          </w:p>
        </w:tc>
        <w:tc>
          <w:tcPr>
            <w:tcW w:w="814" w:type="dxa"/>
            <w:tcBorders>
              <w:top w:val="nil"/>
              <w:left w:val="nil"/>
              <w:bottom w:val="single" w:sz="4" w:space="0" w:color="auto"/>
              <w:right w:val="single" w:sz="4" w:space="0" w:color="auto"/>
            </w:tcBorders>
            <w:shd w:val="clear" w:color="auto" w:fill="auto"/>
            <w:vAlign w:val="center"/>
            <w:hideMark/>
          </w:tcPr>
          <w:p w14:paraId="5FEF0193"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PARANDALIMI I RADIKALIZIMIT DHE REKRUTIMEVE TERRORISTE DUKE RRITUR BASHKËPUNIMIN BILATERAL, RAJONAL DHE NDËRKOMBËTAR DHE ME PRODHUESIT E APLIKACIONEVE ONLINE</w:t>
            </w:r>
          </w:p>
        </w:tc>
        <w:tc>
          <w:tcPr>
            <w:tcW w:w="350" w:type="dxa"/>
            <w:tcBorders>
              <w:top w:val="nil"/>
              <w:left w:val="nil"/>
              <w:bottom w:val="single" w:sz="4" w:space="0" w:color="auto"/>
              <w:right w:val="single" w:sz="4" w:space="0" w:color="auto"/>
            </w:tcBorders>
            <w:shd w:val="clear" w:color="auto" w:fill="auto"/>
            <w:vAlign w:val="center"/>
            <w:hideMark/>
          </w:tcPr>
          <w:p w14:paraId="5FEF01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1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1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1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1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1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1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1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1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1C9" w14:textId="77777777" w:rsidTr="007265E9">
        <w:trPr>
          <w:trHeight w:val="26"/>
        </w:trPr>
        <w:tc>
          <w:tcPr>
            <w:tcW w:w="164" w:type="dxa"/>
            <w:tcBorders>
              <w:top w:val="nil"/>
              <w:left w:val="single" w:sz="8" w:space="0" w:color="auto"/>
              <w:bottom w:val="single" w:sz="4" w:space="0" w:color="auto"/>
              <w:right w:val="single" w:sz="4" w:space="0" w:color="auto"/>
            </w:tcBorders>
            <w:shd w:val="clear" w:color="auto" w:fill="auto"/>
            <w:noWrap/>
            <w:vAlign w:val="center"/>
            <w:hideMark/>
          </w:tcPr>
          <w:p w14:paraId="5FEF01A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1AF"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1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1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1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1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1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1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1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1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1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1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1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1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1E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1C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2.3.1</w:t>
            </w:r>
          </w:p>
        </w:tc>
        <w:tc>
          <w:tcPr>
            <w:tcW w:w="814" w:type="dxa"/>
            <w:tcBorders>
              <w:top w:val="nil"/>
              <w:left w:val="nil"/>
              <w:bottom w:val="single" w:sz="4" w:space="0" w:color="auto"/>
              <w:right w:val="single" w:sz="4" w:space="0" w:color="auto"/>
            </w:tcBorders>
            <w:shd w:val="clear" w:color="auto" w:fill="auto"/>
            <w:vAlign w:val="bottom"/>
            <w:hideMark/>
          </w:tcPr>
          <w:p w14:paraId="5FEF01C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Zhvillimi i takimeve bilaterale, rajonale dhe ndërkombëtare</w:t>
            </w:r>
          </w:p>
        </w:tc>
        <w:tc>
          <w:tcPr>
            <w:tcW w:w="350" w:type="dxa"/>
            <w:tcBorders>
              <w:top w:val="nil"/>
              <w:left w:val="nil"/>
              <w:bottom w:val="single" w:sz="4" w:space="0" w:color="auto"/>
              <w:right w:val="single" w:sz="4" w:space="0" w:color="auto"/>
            </w:tcBorders>
            <w:shd w:val="clear" w:color="000000" w:fill="FFFFFF"/>
            <w:vAlign w:val="center"/>
            <w:hideMark/>
          </w:tcPr>
          <w:p w14:paraId="5FEF01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1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w:t>
            </w:r>
          </w:p>
        </w:tc>
        <w:tc>
          <w:tcPr>
            <w:tcW w:w="1442" w:type="dxa"/>
            <w:tcBorders>
              <w:top w:val="nil"/>
              <w:left w:val="nil"/>
              <w:bottom w:val="single" w:sz="4" w:space="0" w:color="auto"/>
              <w:right w:val="single" w:sz="4" w:space="0" w:color="auto"/>
            </w:tcBorders>
            <w:shd w:val="clear" w:color="auto" w:fill="auto"/>
            <w:vAlign w:val="center"/>
            <w:hideMark/>
          </w:tcPr>
          <w:p w14:paraId="5FEF01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MEPJ/QKEDH/MAS/AKCESK/MFE/DPPPP</w:t>
            </w:r>
          </w:p>
        </w:tc>
        <w:tc>
          <w:tcPr>
            <w:tcW w:w="201" w:type="dxa"/>
            <w:tcBorders>
              <w:top w:val="nil"/>
              <w:left w:val="nil"/>
              <w:bottom w:val="single" w:sz="4" w:space="0" w:color="auto"/>
              <w:right w:val="single" w:sz="4" w:space="0" w:color="auto"/>
            </w:tcBorders>
            <w:shd w:val="clear" w:color="auto" w:fill="auto"/>
            <w:vAlign w:val="center"/>
            <w:hideMark/>
          </w:tcPr>
          <w:p w14:paraId="5FEF01C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1D0"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1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1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1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1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1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1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1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1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1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5FEF01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vAlign w:val="center"/>
            <w:hideMark/>
          </w:tcPr>
          <w:p w14:paraId="5FEF01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1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345" w:type="dxa"/>
            <w:tcBorders>
              <w:top w:val="nil"/>
              <w:left w:val="nil"/>
              <w:bottom w:val="single" w:sz="4" w:space="0" w:color="auto"/>
              <w:right w:val="single" w:sz="4" w:space="0" w:color="auto"/>
            </w:tcBorders>
            <w:shd w:val="clear" w:color="000000" w:fill="FFFFFF"/>
            <w:vAlign w:val="center"/>
            <w:hideMark/>
          </w:tcPr>
          <w:p w14:paraId="5FEF01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vAlign w:val="center"/>
            <w:hideMark/>
          </w:tcPr>
          <w:p w14:paraId="5FEF01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1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18" w:type="dxa"/>
            <w:tcBorders>
              <w:top w:val="nil"/>
              <w:left w:val="nil"/>
              <w:bottom w:val="single" w:sz="4" w:space="0" w:color="auto"/>
              <w:right w:val="single" w:sz="4" w:space="0" w:color="auto"/>
            </w:tcBorders>
            <w:shd w:val="clear" w:color="000000" w:fill="FFFFFF"/>
            <w:vAlign w:val="center"/>
            <w:hideMark/>
          </w:tcPr>
          <w:p w14:paraId="5FEF01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1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1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1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1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20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1E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2.3.2</w:t>
            </w:r>
          </w:p>
        </w:tc>
        <w:tc>
          <w:tcPr>
            <w:tcW w:w="814" w:type="dxa"/>
            <w:tcBorders>
              <w:top w:val="nil"/>
              <w:left w:val="nil"/>
              <w:bottom w:val="single" w:sz="4" w:space="0" w:color="auto"/>
              <w:right w:val="single" w:sz="4" w:space="0" w:color="auto"/>
            </w:tcBorders>
            <w:shd w:val="clear" w:color="auto" w:fill="auto"/>
            <w:vAlign w:val="bottom"/>
            <w:hideMark/>
          </w:tcPr>
          <w:p w14:paraId="5FEF01E7"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Lidhja e marrëveshjeve për bashkëpunim brenda fushës</w:t>
            </w:r>
          </w:p>
        </w:tc>
        <w:tc>
          <w:tcPr>
            <w:tcW w:w="350" w:type="dxa"/>
            <w:tcBorders>
              <w:top w:val="nil"/>
              <w:left w:val="nil"/>
              <w:bottom w:val="single" w:sz="4" w:space="0" w:color="auto"/>
              <w:right w:val="single" w:sz="4" w:space="0" w:color="auto"/>
            </w:tcBorders>
            <w:shd w:val="clear" w:color="000000" w:fill="FFFFFF"/>
            <w:vAlign w:val="center"/>
            <w:hideMark/>
          </w:tcPr>
          <w:p w14:paraId="5FEF01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1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w:t>
            </w:r>
          </w:p>
        </w:tc>
        <w:tc>
          <w:tcPr>
            <w:tcW w:w="1442" w:type="dxa"/>
            <w:tcBorders>
              <w:top w:val="nil"/>
              <w:left w:val="nil"/>
              <w:bottom w:val="single" w:sz="4" w:space="0" w:color="auto"/>
              <w:right w:val="single" w:sz="4" w:space="0" w:color="auto"/>
            </w:tcBorders>
            <w:shd w:val="clear" w:color="auto" w:fill="auto"/>
            <w:vAlign w:val="center"/>
            <w:hideMark/>
          </w:tcPr>
          <w:p w14:paraId="5FEF01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MEPJ/ QKEDH/MAS/AKCESK/MFE/DPPPP</w:t>
            </w:r>
          </w:p>
        </w:tc>
        <w:tc>
          <w:tcPr>
            <w:tcW w:w="201" w:type="dxa"/>
            <w:tcBorders>
              <w:top w:val="nil"/>
              <w:left w:val="nil"/>
              <w:bottom w:val="single" w:sz="4" w:space="0" w:color="auto"/>
              <w:right w:val="single" w:sz="4" w:space="0" w:color="auto"/>
            </w:tcBorders>
            <w:shd w:val="clear" w:color="auto" w:fill="auto"/>
            <w:vAlign w:val="center"/>
            <w:hideMark/>
          </w:tcPr>
          <w:p w14:paraId="5FEF01E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1EC"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1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1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1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1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1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1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1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1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1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5FEF01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vAlign w:val="center"/>
            <w:hideMark/>
          </w:tcPr>
          <w:p w14:paraId="5FEF01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1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345" w:type="dxa"/>
            <w:tcBorders>
              <w:top w:val="nil"/>
              <w:left w:val="nil"/>
              <w:bottom w:val="single" w:sz="4" w:space="0" w:color="auto"/>
              <w:right w:val="single" w:sz="4" w:space="0" w:color="auto"/>
            </w:tcBorders>
            <w:shd w:val="clear" w:color="000000" w:fill="FFFFFF"/>
            <w:vAlign w:val="center"/>
            <w:hideMark/>
          </w:tcPr>
          <w:p w14:paraId="5FEF01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vAlign w:val="center"/>
            <w:hideMark/>
          </w:tcPr>
          <w:p w14:paraId="5FEF01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1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18" w:type="dxa"/>
            <w:tcBorders>
              <w:top w:val="nil"/>
              <w:left w:val="nil"/>
              <w:bottom w:val="single" w:sz="4" w:space="0" w:color="auto"/>
              <w:right w:val="single" w:sz="4" w:space="0" w:color="auto"/>
            </w:tcBorders>
            <w:shd w:val="clear" w:color="000000" w:fill="FFFFFF"/>
            <w:vAlign w:val="center"/>
            <w:hideMark/>
          </w:tcPr>
          <w:p w14:paraId="5FEF01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1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1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1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2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21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20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2.3.3</w:t>
            </w:r>
          </w:p>
        </w:tc>
        <w:tc>
          <w:tcPr>
            <w:tcW w:w="814" w:type="dxa"/>
            <w:tcBorders>
              <w:top w:val="nil"/>
              <w:left w:val="nil"/>
              <w:bottom w:val="single" w:sz="4" w:space="0" w:color="auto"/>
              <w:right w:val="single" w:sz="4" w:space="0" w:color="auto"/>
            </w:tcBorders>
            <w:shd w:val="clear" w:color="auto" w:fill="auto"/>
            <w:vAlign w:val="bottom"/>
            <w:hideMark/>
          </w:tcPr>
          <w:p w14:paraId="5FEF020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Pjesëmarrja në konferenca, workshop-e etj.</w:t>
            </w:r>
          </w:p>
        </w:tc>
        <w:tc>
          <w:tcPr>
            <w:tcW w:w="350" w:type="dxa"/>
            <w:tcBorders>
              <w:top w:val="nil"/>
              <w:left w:val="nil"/>
              <w:bottom w:val="single" w:sz="4" w:space="0" w:color="auto"/>
              <w:right w:val="single" w:sz="4" w:space="0" w:color="auto"/>
            </w:tcBorders>
            <w:shd w:val="clear" w:color="000000" w:fill="FFFFFF"/>
            <w:vAlign w:val="center"/>
            <w:hideMark/>
          </w:tcPr>
          <w:p w14:paraId="5FEF02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2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w:t>
            </w:r>
          </w:p>
        </w:tc>
        <w:tc>
          <w:tcPr>
            <w:tcW w:w="1442" w:type="dxa"/>
            <w:tcBorders>
              <w:top w:val="nil"/>
              <w:left w:val="nil"/>
              <w:bottom w:val="single" w:sz="4" w:space="0" w:color="auto"/>
              <w:right w:val="single" w:sz="4" w:space="0" w:color="auto"/>
            </w:tcBorders>
            <w:shd w:val="clear" w:color="auto" w:fill="auto"/>
            <w:vAlign w:val="center"/>
            <w:hideMark/>
          </w:tcPr>
          <w:p w14:paraId="5FEF02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MEPJ/QKEDH/MAS/AKCESK/MFE/DPPPP</w:t>
            </w:r>
          </w:p>
        </w:tc>
        <w:tc>
          <w:tcPr>
            <w:tcW w:w="201" w:type="dxa"/>
            <w:tcBorders>
              <w:top w:val="nil"/>
              <w:left w:val="nil"/>
              <w:bottom w:val="single" w:sz="4" w:space="0" w:color="auto"/>
              <w:right w:val="single" w:sz="4" w:space="0" w:color="auto"/>
            </w:tcBorders>
            <w:shd w:val="clear" w:color="auto" w:fill="auto"/>
            <w:vAlign w:val="center"/>
            <w:hideMark/>
          </w:tcPr>
          <w:p w14:paraId="5FEF020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208"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2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2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2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2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2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2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2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28" w:type="dxa"/>
            <w:tcBorders>
              <w:top w:val="nil"/>
              <w:left w:val="nil"/>
              <w:bottom w:val="single" w:sz="4" w:space="0" w:color="auto"/>
              <w:right w:val="single" w:sz="4" w:space="0" w:color="auto"/>
            </w:tcBorders>
            <w:shd w:val="clear" w:color="000000" w:fill="FFFFFF"/>
            <w:vAlign w:val="center"/>
            <w:hideMark/>
          </w:tcPr>
          <w:p w14:paraId="5FEF02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2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5FEF02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vAlign w:val="center"/>
            <w:hideMark/>
          </w:tcPr>
          <w:p w14:paraId="5FEF02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2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345" w:type="dxa"/>
            <w:tcBorders>
              <w:top w:val="nil"/>
              <w:left w:val="nil"/>
              <w:bottom w:val="single" w:sz="4" w:space="0" w:color="auto"/>
              <w:right w:val="single" w:sz="4" w:space="0" w:color="auto"/>
            </w:tcBorders>
            <w:shd w:val="clear" w:color="000000" w:fill="FFFFFF"/>
            <w:vAlign w:val="center"/>
            <w:hideMark/>
          </w:tcPr>
          <w:p w14:paraId="5FEF02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vAlign w:val="center"/>
            <w:hideMark/>
          </w:tcPr>
          <w:p w14:paraId="5FEF02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2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18" w:type="dxa"/>
            <w:tcBorders>
              <w:top w:val="nil"/>
              <w:left w:val="nil"/>
              <w:bottom w:val="single" w:sz="4" w:space="0" w:color="auto"/>
              <w:right w:val="single" w:sz="4" w:space="0" w:color="auto"/>
            </w:tcBorders>
            <w:shd w:val="clear" w:color="000000" w:fill="FFFFFF"/>
            <w:vAlign w:val="center"/>
            <w:hideMark/>
          </w:tcPr>
          <w:p w14:paraId="5FEF02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2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2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2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2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23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21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 </w:t>
            </w:r>
          </w:p>
        </w:tc>
        <w:tc>
          <w:tcPr>
            <w:tcW w:w="814" w:type="dxa"/>
            <w:tcBorders>
              <w:top w:val="nil"/>
              <w:left w:val="nil"/>
              <w:bottom w:val="single" w:sz="4" w:space="0" w:color="auto"/>
              <w:right w:val="single" w:sz="4" w:space="0" w:color="auto"/>
            </w:tcBorders>
            <w:shd w:val="clear" w:color="000000" w:fill="D9D9D9"/>
            <w:vAlign w:val="center"/>
            <w:hideMark/>
          </w:tcPr>
          <w:p w14:paraId="5FEF021F"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2.3</w:t>
            </w:r>
          </w:p>
        </w:tc>
        <w:tc>
          <w:tcPr>
            <w:tcW w:w="350" w:type="dxa"/>
            <w:tcBorders>
              <w:top w:val="nil"/>
              <w:left w:val="nil"/>
              <w:bottom w:val="single" w:sz="4" w:space="0" w:color="auto"/>
              <w:right w:val="single" w:sz="4" w:space="0" w:color="auto"/>
            </w:tcBorders>
            <w:shd w:val="clear" w:color="000000" w:fill="D9D9D9"/>
            <w:vAlign w:val="center"/>
            <w:hideMark/>
          </w:tcPr>
          <w:p w14:paraId="5FEF02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22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22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22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22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22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22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22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03" w:type="dxa"/>
            <w:tcBorders>
              <w:top w:val="nil"/>
              <w:left w:val="nil"/>
              <w:bottom w:val="single" w:sz="4" w:space="0" w:color="auto"/>
              <w:right w:val="single" w:sz="4" w:space="0" w:color="auto"/>
            </w:tcBorders>
            <w:shd w:val="clear" w:color="000000" w:fill="D9D9D9"/>
            <w:vAlign w:val="center"/>
            <w:hideMark/>
          </w:tcPr>
          <w:p w14:paraId="5FEF022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22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22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03" w:type="dxa"/>
            <w:tcBorders>
              <w:top w:val="nil"/>
              <w:left w:val="nil"/>
              <w:bottom w:val="single" w:sz="4" w:space="0" w:color="auto"/>
              <w:right w:val="single" w:sz="4" w:space="0" w:color="auto"/>
            </w:tcBorders>
            <w:shd w:val="clear" w:color="000000" w:fill="D9D9D9"/>
            <w:vAlign w:val="center"/>
            <w:hideMark/>
          </w:tcPr>
          <w:p w14:paraId="5FEF022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22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22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45" w:type="dxa"/>
            <w:tcBorders>
              <w:top w:val="nil"/>
              <w:left w:val="nil"/>
              <w:bottom w:val="single" w:sz="4" w:space="0" w:color="auto"/>
              <w:right w:val="single" w:sz="4" w:space="0" w:color="auto"/>
            </w:tcBorders>
            <w:shd w:val="clear" w:color="000000" w:fill="D9D9D9"/>
            <w:vAlign w:val="center"/>
            <w:hideMark/>
          </w:tcPr>
          <w:p w14:paraId="5FEF022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28" w:type="dxa"/>
            <w:tcBorders>
              <w:top w:val="nil"/>
              <w:left w:val="nil"/>
              <w:bottom w:val="single" w:sz="4" w:space="0" w:color="auto"/>
              <w:right w:val="single" w:sz="4" w:space="0" w:color="auto"/>
            </w:tcBorders>
            <w:shd w:val="clear" w:color="000000" w:fill="D9D9D9"/>
            <w:vAlign w:val="center"/>
            <w:hideMark/>
          </w:tcPr>
          <w:p w14:paraId="5FEF022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23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345" w:type="dxa"/>
            <w:tcBorders>
              <w:top w:val="nil"/>
              <w:left w:val="nil"/>
              <w:bottom w:val="single" w:sz="4" w:space="0" w:color="auto"/>
              <w:right w:val="single" w:sz="4" w:space="0" w:color="auto"/>
            </w:tcBorders>
            <w:shd w:val="clear" w:color="000000" w:fill="D9D9D9"/>
            <w:vAlign w:val="center"/>
            <w:hideMark/>
          </w:tcPr>
          <w:p w14:paraId="5FEF023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28" w:type="dxa"/>
            <w:tcBorders>
              <w:top w:val="nil"/>
              <w:left w:val="nil"/>
              <w:bottom w:val="single" w:sz="4" w:space="0" w:color="auto"/>
              <w:right w:val="single" w:sz="4" w:space="0" w:color="auto"/>
            </w:tcBorders>
            <w:shd w:val="clear" w:color="000000" w:fill="D9D9D9"/>
            <w:vAlign w:val="center"/>
            <w:hideMark/>
          </w:tcPr>
          <w:p w14:paraId="5FEF023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23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18" w:type="dxa"/>
            <w:tcBorders>
              <w:top w:val="nil"/>
              <w:left w:val="nil"/>
              <w:bottom w:val="single" w:sz="4" w:space="0" w:color="auto"/>
              <w:right w:val="single" w:sz="4" w:space="0" w:color="auto"/>
            </w:tcBorders>
            <w:shd w:val="clear" w:color="000000" w:fill="D9D9D9"/>
            <w:vAlign w:val="center"/>
            <w:hideMark/>
          </w:tcPr>
          <w:p w14:paraId="5FEF023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23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23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23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23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25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23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23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2</w:t>
            </w:r>
          </w:p>
        </w:tc>
        <w:tc>
          <w:tcPr>
            <w:tcW w:w="350" w:type="dxa"/>
            <w:tcBorders>
              <w:top w:val="nil"/>
              <w:left w:val="nil"/>
              <w:bottom w:val="single" w:sz="4" w:space="0" w:color="auto"/>
              <w:right w:val="single" w:sz="4" w:space="0" w:color="auto"/>
            </w:tcBorders>
            <w:shd w:val="clear" w:color="000000" w:fill="D9D9D9"/>
            <w:vAlign w:val="center"/>
            <w:hideMark/>
          </w:tcPr>
          <w:p w14:paraId="5FEF02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23D"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23E"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23F"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240"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24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152,834,600</w:t>
            </w:r>
          </w:p>
        </w:tc>
        <w:tc>
          <w:tcPr>
            <w:tcW w:w="228" w:type="dxa"/>
            <w:tcBorders>
              <w:top w:val="nil"/>
              <w:left w:val="nil"/>
              <w:bottom w:val="single" w:sz="4" w:space="0" w:color="auto"/>
              <w:right w:val="single" w:sz="4" w:space="0" w:color="auto"/>
            </w:tcBorders>
            <w:shd w:val="clear" w:color="000000" w:fill="D9D9D9"/>
            <w:vAlign w:val="center"/>
            <w:hideMark/>
          </w:tcPr>
          <w:p w14:paraId="5FEF024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24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152,834,600</w:t>
            </w:r>
          </w:p>
        </w:tc>
        <w:tc>
          <w:tcPr>
            <w:tcW w:w="303" w:type="dxa"/>
            <w:tcBorders>
              <w:top w:val="nil"/>
              <w:left w:val="nil"/>
              <w:bottom w:val="single" w:sz="4" w:space="0" w:color="auto"/>
              <w:right w:val="single" w:sz="4" w:space="0" w:color="auto"/>
            </w:tcBorders>
            <w:shd w:val="clear" w:color="000000" w:fill="D9D9D9"/>
            <w:vAlign w:val="center"/>
            <w:hideMark/>
          </w:tcPr>
          <w:p w14:paraId="5FEF024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152,834,600</w:t>
            </w:r>
          </w:p>
        </w:tc>
        <w:tc>
          <w:tcPr>
            <w:tcW w:w="228" w:type="dxa"/>
            <w:tcBorders>
              <w:top w:val="nil"/>
              <w:left w:val="nil"/>
              <w:bottom w:val="single" w:sz="4" w:space="0" w:color="auto"/>
              <w:right w:val="single" w:sz="4" w:space="0" w:color="auto"/>
            </w:tcBorders>
            <w:shd w:val="clear" w:color="000000" w:fill="D9D9D9"/>
            <w:vAlign w:val="center"/>
            <w:hideMark/>
          </w:tcPr>
          <w:p w14:paraId="5FEF024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24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152,834,600</w:t>
            </w:r>
          </w:p>
        </w:tc>
        <w:tc>
          <w:tcPr>
            <w:tcW w:w="303" w:type="dxa"/>
            <w:tcBorders>
              <w:top w:val="nil"/>
              <w:left w:val="nil"/>
              <w:bottom w:val="single" w:sz="4" w:space="0" w:color="auto"/>
              <w:right w:val="single" w:sz="4" w:space="0" w:color="auto"/>
            </w:tcBorders>
            <w:shd w:val="clear" w:color="000000" w:fill="D9D9D9"/>
            <w:vAlign w:val="center"/>
            <w:hideMark/>
          </w:tcPr>
          <w:p w14:paraId="5FEF024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152,834,600</w:t>
            </w:r>
          </w:p>
        </w:tc>
        <w:tc>
          <w:tcPr>
            <w:tcW w:w="228" w:type="dxa"/>
            <w:tcBorders>
              <w:top w:val="nil"/>
              <w:left w:val="nil"/>
              <w:bottom w:val="single" w:sz="4" w:space="0" w:color="auto"/>
              <w:right w:val="single" w:sz="4" w:space="0" w:color="auto"/>
            </w:tcBorders>
            <w:shd w:val="clear" w:color="000000" w:fill="D9D9D9"/>
            <w:vAlign w:val="center"/>
            <w:hideMark/>
          </w:tcPr>
          <w:p w14:paraId="5FEF024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24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152,834,600</w:t>
            </w:r>
          </w:p>
        </w:tc>
        <w:tc>
          <w:tcPr>
            <w:tcW w:w="345" w:type="dxa"/>
            <w:tcBorders>
              <w:top w:val="nil"/>
              <w:left w:val="nil"/>
              <w:bottom w:val="single" w:sz="4" w:space="0" w:color="auto"/>
              <w:right w:val="single" w:sz="4" w:space="0" w:color="auto"/>
            </w:tcBorders>
            <w:shd w:val="clear" w:color="000000" w:fill="D9D9D9"/>
            <w:vAlign w:val="center"/>
            <w:hideMark/>
          </w:tcPr>
          <w:p w14:paraId="5FEF024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458,503,800</w:t>
            </w:r>
          </w:p>
        </w:tc>
        <w:tc>
          <w:tcPr>
            <w:tcW w:w="228" w:type="dxa"/>
            <w:tcBorders>
              <w:top w:val="nil"/>
              <w:left w:val="nil"/>
              <w:bottom w:val="single" w:sz="4" w:space="0" w:color="auto"/>
              <w:right w:val="single" w:sz="4" w:space="0" w:color="auto"/>
            </w:tcBorders>
            <w:shd w:val="clear" w:color="000000" w:fill="D9D9D9"/>
            <w:vAlign w:val="center"/>
            <w:hideMark/>
          </w:tcPr>
          <w:p w14:paraId="5FEF024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24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458,503,800</w:t>
            </w:r>
          </w:p>
        </w:tc>
        <w:tc>
          <w:tcPr>
            <w:tcW w:w="345" w:type="dxa"/>
            <w:tcBorders>
              <w:top w:val="nil"/>
              <w:left w:val="nil"/>
              <w:bottom w:val="single" w:sz="4" w:space="0" w:color="auto"/>
              <w:right w:val="single" w:sz="4" w:space="0" w:color="auto"/>
            </w:tcBorders>
            <w:shd w:val="clear" w:color="000000" w:fill="D9D9D9"/>
            <w:vAlign w:val="center"/>
            <w:hideMark/>
          </w:tcPr>
          <w:p w14:paraId="5FEF024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458,503,800</w:t>
            </w:r>
          </w:p>
        </w:tc>
        <w:tc>
          <w:tcPr>
            <w:tcW w:w="228" w:type="dxa"/>
            <w:tcBorders>
              <w:top w:val="nil"/>
              <w:left w:val="nil"/>
              <w:bottom w:val="single" w:sz="4" w:space="0" w:color="auto"/>
              <w:right w:val="single" w:sz="4" w:space="0" w:color="auto"/>
            </w:tcBorders>
            <w:shd w:val="clear" w:color="000000" w:fill="D9D9D9"/>
            <w:vAlign w:val="center"/>
            <w:hideMark/>
          </w:tcPr>
          <w:p w14:paraId="5FEF024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24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458,503,800</w:t>
            </w:r>
          </w:p>
        </w:tc>
        <w:tc>
          <w:tcPr>
            <w:tcW w:w="218" w:type="dxa"/>
            <w:tcBorders>
              <w:top w:val="nil"/>
              <w:left w:val="nil"/>
              <w:bottom w:val="single" w:sz="4" w:space="0" w:color="auto"/>
              <w:right w:val="single" w:sz="4" w:space="0" w:color="auto"/>
            </w:tcBorders>
            <w:shd w:val="clear" w:color="000000" w:fill="D9D9D9"/>
            <w:vAlign w:val="center"/>
            <w:hideMark/>
          </w:tcPr>
          <w:p w14:paraId="5FEF025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25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25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25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25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257"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256"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259"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258"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I.1 QASJA PARANDALUESE: PARANDALIMI I TERRORIZMIT DHE RADIKALIZIMIT QË ÇON NË TERRORIZËM PËRMES SINJALIZIMIT TË HERSHËM</w:t>
            </w:r>
          </w:p>
        </w:tc>
      </w:tr>
      <w:tr w:rsidR="00D845EC" w:rsidRPr="00795698" w14:paraId="5FEF025B"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25A"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3: NJOHJA E KËRCËNIMEVE TË TERRORIZMIT NË VENDIN TONË PËRMES IDENTIFIKIMIT TË HERSHËM TË GRUPEVE TË SYNUARA DHE METODAVE RADIKALE.</w:t>
            </w:r>
          </w:p>
        </w:tc>
      </w:tr>
      <w:tr w:rsidR="00D845EC" w:rsidRPr="00795698" w14:paraId="5FEF025D"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25C"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 "Planifikimi, Menaxhimi dhe Administrimi", Kodi i Programit 01110; Programi Buxhetor Arsimi Bazë, Kodi i Programit: 09120;</w:t>
            </w:r>
          </w:p>
        </w:tc>
      </w:tr>
      <w:tr w:rsidR="00D845EC" w:rsidRPr="00795698" w14:paraId="5FEF0269" w14:textId="77777777" w:rsidTr="00D845EC">
        <w:trPr>
          <w:trHeight w:val="180"/>
        </w:trPr>
        <w:tc>
          <w:tcPr>
            <w:tcW w:w="164" w:type="dxa"/>
            <w:vMerge w:val="restart"/>
            <w:tcBorders>
              <w:top w:val="nil"/>
              <w:left w:val="single" w:sz="8" w:space="0" w:color="auto"/>
              <w:bottom w:val="single" w:sz="4" w:space="0" w:color="auto"/>
              <w:right w:val="single" w:sz="4" w:space="0" w:color="auto"/>
            </w:tcBorders>
            <w:shd w:val="clear" w:color="auto" w:fill="auto"/>
            <w:vAlign w:val="center"/>
            <w:hideMark/>
          </w:tcPr>
          <w:p w14:paraId="5FEF025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25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350" w:type="dxa"/>
            <w:tcBorders>
              <w:top w:val="nil"/>
              <w:left w:val="nil"/>
              <w:bottom w:val="single" w:sz="4" w:space="0" w:color="auto"/>
              <w:right w:val="single" w:sz="4" w:space="0" w:color="auto"/>
            </w:tcBorders>
            <w:shd w:val="clear" w:color="auto" w:fill="auto"/>
            <w:vAlign w:val="center"/>
            <w:hideMark/>
          </w:tcPr>
          <w:p w14:paraId="5FEF02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900" w:type="dxa"/>
            <w:gridSpan w:val="2"/>
            <w:tcBorders>
              <w:top w:val="single" w:sz="4" w:space="0" w:color="auto"/>
              <w:left w:val="nil"/>
              <w:bottom w:val="single" w:sz="4" w:space="0" w:color="auto"/>
              <w:right w:val="single" w:sz="4" w:space="0" w:color="auto"/>
            </w:tcBorders>
            <w:shd w:val="clear" w:color="auto" w:fill="auto"/>
            <w:vAlign w:val="center"/>
            <w:hideMark/>
          </w:tcPr>
          <w:p w14:paraId="5FEF026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55" w:type="dxa"/>
            <w:gridSpan w:val="2"/>
            <w:tcBorders>
              <w:top w:val="single" w:sz="4" w:space="0" w:color="auto"/>
              <w:left w:val="nil"/>
              <w:bottom w:val="single" w:sz="4" w:space="0" w:color="auto"/>
              <w:right w:val="single" w:sz="4" w:space="0" w:color="auto"/>
            </w:tcBorders>
            <w:shd w:val="clear" w:color="auto" w:fill="auto"/>
            <w:vAlign w:val="center"/>
            <w:hideMark/>
          </w:tcPr>
          <w:p w14:paraId="5FEF026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26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2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26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91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026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04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FEF026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vMerge w:val="restart"/>
            <w:tcBorders>
              <w:top w:val="nil"/>
              <w:left w:val="single" w:sz="4" w:space="0" w:color="auto"/>
              <w:bottom w:val="single" w:sz="4" w:space="0" w:color="auto"/>
              <w:right w:val="single" w:sz="8" w:space="0" w:color="auto"/>
            </w:tcBorders>
            <w:shd w:val="clear" w:color="auto" w:fill="auto"/>
            <w:vAlign w:val="center"/>
            <w:hideMark/>
          </w:tcPr>
          <w:p w14:paraId="5FEF026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D845EC" w:rsidRPr="00795698" w14:paraId="5FEF0278"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26A"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26B" w14:textId="77777777" w:rsidR="00D845EC" w:rsidRPr="00795698" w:rsidRDefault="00D845EC" w:rsidP="00D845EC">
            <w:pPr>
              <w:rPr>
                <w:rFonts w:ascii="Arial" w:hAnsi="Arial" w:cs="Arial"/>
                <w:b/>
                <w:bCs/>
                <w:color w:val="000000"/>
                <w:sz w:val="6"/>
                <w:szCs w:val="6"/>
                <w:lang w:eastAsia="sq-AL"/>
              </w:rPr>
            </w:pPr>
          </w:p>
        </w:tc>
        <w:tc>
          <w:tcPr>
            <w:tcW w:w="350" w:type="dxa"/>
            <w:vMerge w:val="restart"/>
            <w:tcBorders>
              <w:top w:val="nil"/>
              <w:left w:val="single" w:sz="4" w:space="0" w:color="auto"/>
              <w:bottom w:val="single" w:sz="4" w:space="0" w:color="auto"/>
              <w:right w:val="single" w:sz="4" w:space="0" w:color="auto"/>
            </w:tcBorders>
            <w:shd w:val="clear" w:color="auto" w:fill="auto"/>
            <w:vAlign w:val="center"/>
            <w:hideMark/>
          </w:tcPr>
          <w:p w14:paraId="5FEF026C" w14:textId="2AAD3B0B"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14:paraId="5FEF026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1442" w:type="dxa"/>
            <w:vMerge w:val="restart"/>
            <w:tcBorders>
              <w:top w:val="nil"/>
              <w:left w:val="single" w:sz="4" w:space="0" w:color="auto"/>
              <w:bottom w:val="single" w:sz="4" w:space="0" w:color="auto"/>
              <w:right w:val="single" w:sz="4" w:space="0" w:color="auto"/>
            </w:tcBorders>
            <w:shd w:val="clear" w:color="auto" w:fill="auto"/>
            <w:vAlign w:val="center"/>
            <w:hideMark/>
          </w:tcPr>
          <w:p w14:paraId="5FEF026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1" w:type="dxa"/>
            <w:vMerge w:val="restart"/>
            <w:tcBorders>
              <w:top w:val="nil"/>
              <w:left w:val="single" w:sz="4" w:space="0" w:color="auto"/>
              <w:bottom w:val="single" w:sz="4" w:space="0" w:color="auto"/>
              <w:right w:val="single" w:sz="4" w:space="0" w:color="auto"/>
            </w:tcBorders>
            <w:shd w:val="clear" w:color="auto" w:fill="auto"/>
            <w:vAlign w:val="center"/>
            <w:hideMark/>
          </w:tcPr>
          <w:p w14:paraId="5FEF026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5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27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34" w:type="dxa"/>
            <w:gridSpan w:val="3"/>
            <w:vMerge/>
            <w:tcBorders>
              <w:top w:val="nil"/>
              <w:left w:val="single" w:sz="4" w:space="0" w:color="auto"/>
              <w:bottom w:val="single" w:sz="4" w:space="0" w:color="auto"/>
              <w:right w:val="single" w:sz="4" w:space="0" w:color="auto"/>
            </w:tcBorders>
            <w:vAlign w:val="center"/>
            <w:hideMark/>
          </w:tcPr>
          <w:p w14:paraId="5FEF0271"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272"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273" w14:textId="77777777" w:rsidR="00D845EC" w:rsidRPr="00795698" w:rsidRDefault="00D845EC" w:rsidP="00D845EC">
            <w:pPr>
              <w:rPr>
                <w:rFonts w:ascii="Arial" w:hAnsi="Arial" w:cs="Arial"/>
                <w:b/>
                <w:bCs/>
                <w:color w:val="000000"/>
                <w:sz w:val="6"/>
                <w:szCs w:val="6"/>
                <w:lang w:eastAsia="sq-AL"/>
              </w:rPr>
            </w:pPr>
          </w:p>
        </w:tc>
        <w:tc>
          <w:tcPr>
            <w:tcW w:w="918" w:type="dxa"/>
            <w:gridSpan w:val="3"/>
            <w:vMerge/>
            <w:tcBorders>
              <w:top w:val="nil"/>
              <w:left w:val="single" w:sz="4" w:space="0" w:color="auto"/>
              <w:bottom w:val="single" w:sz="4" w:space="0" w:color="auto"/>
              <w:right w:val="single" w:sz="4" w:space="0" w:color="auto"/>
            </w:tcBorders>
            <w:vAlign w:val="center"/>
            <w:hideMark/>
          </w:tcPr>
          <w:p w14:paraId="5FEF0274" w14:textId="77777777" w:rsidR="00D845EC" w:rsidRPr="00795698" w:rsidRDefault="00D845EC" w:rsidP="00D845EC">
            <w:pPr>
              <w:rPr>
                <w:rFonts w:ascii="Arial" w:hAnsi="Arial" w:cs="Arial"/>
                <w:b/>
                <w:bCs/>
                <w:color w:val="000000"/>
                <w:sz w:val="6"/>
                <w:szCs w:val="6"/>
                <w:lang w:eastAsia="sq-AL"/>
              </w:rPr>
            </w:pPr>
          </w:p>
        </w:tc>
        <w:tc>
          <w:tcPr>
            <w:tcW w:w="918" w:type="dxa"/>
            <w:gridSpan w:val="3"/>
            <w:tcBorders>
              <w:top w:val="single" w:sz="8" w:space="0" w:color="auto"/>
              <w:left w:val="nil"/>
              <w:bottom w:val="single" w:sz="8" w:space="0" w:color="auto"/>
              <w:right w:val="single" w:sz="8" w:space="0" w:color="000000"/>
            </w:tcBorders>
            <w:shd w:val="clear" w:color="auto" w:fill="auto"/>
            <w:vAlign w:val="center"/>
            <w:hideMark/>
          </w:tcPr>
          <w:p w14:paraId="5FEF0275" w14:textId="01C09AB6"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12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EF02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40" w:type="dxa"/>
            <w:vMerge/>
            <w:tcBorders>
              <w:top w:val="nil"/>
              <w:left w:val="single" w:sz="4" w:space="0" w:color="auto"/>
              <w:bottom w:val="single" w:sz="4" w:space="0" w:color="auto"/>
              <w:right w:val="single" w:sz="8" w:space="0" w:color="auto"/>
            </w:tcBorders>
            <w:vAlign w:val="center"/>
            <w:hideMark/>
          </w:tcPr>
          <w:p w14:paraId="5FEF0277" w14:textId="77777777" w:rsidR="00D845EC" w:rsidRPr="00795698" w:rsidRDefault="00D845EC" w:rsidP="00D845EC">
            <w:pPr>
              <w:rPr>
                <w:rFonts w:ascii="Arial" w:hAnsi="Arial" w:cs="Arial"/>
                <w:b/>
                <w:bCs/>
                <w:color w:val="000000"/>
                <w:sz w:val="6"/>
                <w:szCs w:val="6"/>
                <w:lang w:eastAsia="sq-AL"/>
              </w:rPr>
            </w:pPr>
          </w:p>
        </w:tc>
      </w:tr>
      <w:tr w:rsidR="00D845EC" w:rsidRPr="00795698" w14:paraId="5FEF0294" w14:textId="77777777" w:rsidTr="007265E9">
        <w:trPr>
          <w:trHeight w:val="37"/>
        </w:trPr>
        <w:tc>
          <w:tcPr>
            <w:tcW w:w="164" w:type="dxa"/>
            <w:vMerge/>
            <w:tcBorders>
              <w:top w:val="nil"/>
              <w:left w:val="single" w:sz="8" w:space="0" w:color="auto"/>
              <w:bottom w:val="single" w:sz="4" w:space="0" w:color="auto"/>
              <w:right w:val="single" w:sz="4" w:space="0" w:color="auto"/>
            </w:tcBorders>
            <w:vAlign w:val="center"/>
            <w:hideMark/>
          </w:tcPr>
          <w:p w14:paraId="5FEF0279"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27A" w14:textId="77777777" w:rsidR="00D845EC" w:rsidRPr="00795698" w:rsidRDefault="00D845EC" w:rsidP="00D845EC">
            <w:pPr>
              <w:rPr>
                <w:rFonts w:ascii="Arial" w:hAnsi="Arial" w:cs="Arial"/>
                <w:b/>
                <w:bCs/>
                <w:color w:val="000000"/>
                <w:sz w:val="6"/>
                <w:szCs w:val="6"/>
                <w:lang w:eastAsia="sq-AL"/>
              </w:rPr>
            </w:pPr>
          </w:p>
        </w:tc>
        <w:tc>
          <w:tcPr>
            <w:tcW w:w="350" w:type="dxa"/>
            <w:vMerge/>
            <w:tcBorders>
              <w:top w:val="nil"/>
              <w:left w:val="single" w:sz="4" w:space="0" w:color="auto"/>
              <w:bottom w:val="single" w:sz="4" w:space="0" w:color="auto"/>
              <w:right w:val="single" w:sz="4" w:space="0" w:color="auto"/>
            </w:tcBorders>
            <w:vAlign w:val="center"/>
            <w:hideMark/>
          </w:tcPr>
          <w:p w14:paraId="5FEF027B" w14:textId="77777777" w:rsidR="00D845EC" w:rsidRPr="00795698" w:rsidRDefault="00D845EC" w:rsidP="00D845EC">
            <w:pPr>
              <w:rPr>
                <w:rFonts w:ascii="Arial" w:hAnsi="Arial" w:cs="Arial"/>
                <w:color w:val="000000"/>
                <w:sz w:val="6"/>
                <w:szCs w:val="6"/>
                <w:lang w:eastAsia="sq-AL"/>
              </w:rPr>
            </w:pPr>
          </w:p>
        </w:tc>
        <w:tc>
          <w:tcPr>
            <w:tcW w:w="458" w:type="dxa"/>
            <w:vMerge/>
            <w:tcBorders>
              <w:top w:val="nil"/>
              <w:left w:val="single" w:sz="4" w:space="0" w:color="auto"/>
              <w:bottom w:val="single" w:sz="4" w:space="0" w:color="auto"/>
              <w:right w:val="single" w:sz="4" w:space="0" w:color="auto"/>
            </w:tcBorders>
            <w:vAlign w:val="center"/>
            <w:hideMark/>
          </w:tcPr>
          <w:p w14:paraId="5FEF027C" w14:textId="77777777" w:rsidR="00D845EC" w:rsidRPr="00795698" w:rsidRDefault="00D845EC" w:rsidP="00D845EC">
            <w:pPr>
              <w:rPr>
                <w:rFonts w:ascii="Arial" w:hAnsi="Arial" w:cs="Arial"/>
                <w:b/>
                <w:bCs/>
                <w:color w:val="000000"/>
                <w:sz w:val="6"/>
                <w:szCs w:val="6"/>
                <w:lang w:eastAsia="sq-AL"/>
              </w:rPr>
            </w:pPr>
          </w:p>
        </w:tc>
        <w:tc>
          <w:tcPr>
            <w:tcW w:w="1442" w:type="dxa"/>
            <w:vMerge/>
            <w:tcBorders>
              <w:top w:val="nil"/>
              <w:left w:val="single" w:sz="4" w:space="0" w:color="auto"/>
              <w:bottom w:val="single" w:sz="4" w:space="0" w:color="auto"/>
              <w:right w:val="single" w:sz="4" w:space="0" w:color="auto"/>
            </w:tcBorders>
            <w:vAlign w:val="center"/>
            <w:hideMark/>
          </w:tcPr>
          <w:p w14:paraId="5FEF027D" w14:textId="77777777" w:rsidR="00D845EC" w:rsidRPr="00795698" w:rsidRDefault="00D845EC" w:rsidP="00D845EC">
            <w:pPr>
              <w:rPr>
                <w:rFonts w:ascii="Arial" w:hAnsi="Arial" w:cs="Arial"/>
                <w:b/>
                <w:bCs/>
                <w:color w:val="000000"/>
                <w:sz w:val="6"/>
                <w:szCs w:val="6"/>
                <w:lang w:eastAsia="sq-AL"/>
              </w:rPr>
            </w:pPr>
          </w:p>
        </w:tc>
        <w:tc>
          <w:tcPr>
            <w:tcW w:w="201" w:type="dxa"/>
            <w:vMerge/>
            <w:tcBorders>
              <w:top w:val="nil"/>
              <w:left w:val="single" w:sz="4" w:space="0" w:color="auto"/>
              <w:bottom w:val="single" w:sz="4" w:space="0" w:color="auto"/>
              <w:right w:val="single" w:sz="4" w:space="0" w:color="auto"/>
            </w:tcBorders>
            <w:vAlign w:val="center"/>
            <w:hideMark/>
          </w:tcPr>
          <w:p w14:paraId="5FEF027E" w14:textId="77777777" w:rsidR="00D845EC" w:rsidRPr="00795698" w:rsidRDefault="00D845EC" w:rsidP="00D845EC">
            <w:pPr>
              <w:rPr>
                <w:rFonts w:ascii="Arial" w:hAnsi="Arial" w:cs="Arial"/>
                <w:b/>
                <w:bCs/>
                <w:color w:val="000000"/>
                <w:sz w:val="6"/>
                <w:szCs w:val="6"/>
                <w:lang w:eastAsia="sq-AL"/>
              </w:rPr>
            </w:pPr>
          </w:p>
        </w:tc>
        <w:tc>
          <w:tcPr>
            <w:tcW w:w="254" w:type="dxa"/>
            <w:vMerge/>
            <w:tcBorders>
              <w:top w:val="nil"/>
              <w:left w:val="single" w:sz="4" w:space="0" w:color="auto"/>
              <w:bottom w:val="single" w:sz="4" w:space="0" w:color="auto"/>
              <w:right w:val="single" w:sz="4" w:space="0" w:color="auto"/>
            </w:tcBorders>
            <w:vAlign w:val="center"/>
            <w:hideMark/>
          </w:tcPr>
          <w:p w14:paraId="5FEF027F" w14:textId="77777777" w:rsidR="00D845EC" w:rsidRPr="00795698" w:rsidRDefault="00D845EC" w:rsidP="00D845EC">
            <w:pPr>
              <w:rPr>
                <w:rFonts w:ascii="Arial" w:hAnsi="Arial" w:cs="Arial"/>
                <w:b/>
                <w:bCs/>
                <w:color w:val="000000"/>
                <w:sz w:val="6"/>
                <w:szCs w:val="6"/>
                <w:lang w:eastAsia="sq-AL"/>
              </w:rPr>
            </w:pPr>
          </w:p>
        </w:tc>
        <w:tc>
          <w:tcPr>
            <w:tcW w:w="303" w:type="dxa"/>
            <w:tcBorders>
              <w:top w:val="nil"/>
              <w:left w:val="nil"/>
              <w:bottom w:val="single" w:sz="4" w:space="0" w:color="auto"/>
              <w:right w:val="single" w:sz="4" w:space="0" w:color="auto"/>
            </w:tcBorders>
            <w:shd w:val="clear" w:color="auto" w:fill="auto"/>
            <w:vAlign w:val="center"/>
            <w:hideMark/>
          </w:tcPr>
          <w:p w14:paraId="5FEF028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28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28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28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28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28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28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28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28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single" w:sz="8" w:space="0" w:color="auto"/>
              <w:bottom w:val="single" w:sz="8" w:space="0" w:color="auto"/>
              <w:right w:val="nil"/>
            </w:tcBorders>
            <w:shd w:val="clear" w:color="auto" w:fill="auto"/>
            <w:vAlign w:val="center"/>
            <w:hideMark/>
          </w:tcPr>
          <w:p w14:paraId="5FEF028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28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28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nil"/>
              <w:bottom w:val="single" w:sz="8" w:space="0" w:color="auto"/>
              <w:right w:val="nil"/>
            </w:tcBorders>
            <w:shd w:val="clear" w:color="auto" w:fill="auto"/>
            <w:vAlign w:val="center"/>
            <w:hideMark/>
          </w:tcPr>
          <w:p w14:paraId="5FEF028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28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28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218" w:type="dxa"/>
            <w:tcBorders>
              <w:top w:val="nil"/>
              <w:left w:val="single" w:sz="4" w:space="0" w:color="auto"/>
              <w:bottom w:val="single" w:sz="4" w:space="0" w:color="auto"/>
              <w:right w:val="single" w:sz="4" w:space="0" w:color="auto"/>
            </w:tcBorders>
            <w:shd w:val="clear" w:color="auto" w:fill="auto"/>
            <w:vAlign w:val="center"/>
            <w:hideMark/>
          </w:tcPr>
          <w:p w14:paraId="5FEF028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29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34" w:type="dxa"/>
            <w:tcBorders>
              <w:top w:val="nil"/>
              <w:left w:val="nil"/>
              <w:bottom w:val="single" w:sz="4" w:space="0" w:color="auto"/>
              <w:right w:val="single" w:sz="4" w:space="0" w:color="auto"/>
            </w:tcBorders>
            <w:shd w:val="clear" w:color="auto" w:fill="auto"/>
            <w:vAlign w:val="center"/>
            <w:hideMark/>
          </w:tcPr>
          <w:p w14:paraId="5FEF029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49" w:type="dxa"/>
            <w:tcBorders>
              <w:top w:val="nil"/>
              <w:left w:val="nil"/>
              <w:bottom w:val="single" w:sz="4" w:space="0" w:color="auto"/>
              <w:right w:val="single" w:sz="4" w:space="0" w:color="auto"/>
            </w:tcBorders>
            <w:shd w:val="clear" w:color="auto" w:fill="auto"/>
            <w:vAlign w:val="center"/>
            <w:hideMark/>
          </w:tcPr>
          <w:p w14:paraId="5FEF029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40" w:type="dxa"/>
            <w:tcBorders>
              <w:top w:val="nil"/>
              <w:left w:val="nil"/>
              <w:bottom w:val="single" w:sz="4" w:space="0" w:color="auto"/>
              <w:right w:val="single" w:sz="8" w:space="0" w:color="auto"/>
            </w:tcBorders>
            <w:shd w:val="clear" w:color="auto" w:fill="auto"/>
            <w:vAlign w:val="center"/>
            <w:hideMark/>
          </w:tcPr>
          <w:p w14:paraId="5FEF029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D845EC" w:rsidRPr="00795698" w14:paraId="5FEF02B0"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29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w:t>
            </w:r>
          </w:p>
        </w:tc>
        <w:tc>
          <w:tcPr>
            <w:tcW w:w="814" w:type="dxa"/>
            <w:tcBorders>
              <w:top w:val="nil"/>
              <w:left w:val="nil"/>
              <w:bottom w:val="single" w:sz="4" w:space="0" w:color="auto"/>
              <w:right w:val="single" w:sz="4" w:space="0" w:color="auto"/>
            </w:tcBorders>
            <w:shd w:val="clear" w:color="auto" w:fill="auto"/>
            <w:vAlign w:val="center"/>
            <w:hideMark/>
          </w:tcPr>
          <w:p w14:paraId="5FEF0296"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SPEFICIK: VLERËSIMI DHE ANALIZIMI I FAKTORËVE QË ÇOJNË NË RADIKALIZIM DHE EKSTREMIZËM TË DHUNSHËM.</w:t>
            </w:r>
          </w:p>
        </w:tc>
        <w:tc>
          <w:tcPr>
            <w:tcW w:w="350" w:type="dxa"/>
            <w:tcBorders>
              <w:top w:val="nil"/>
              <w:left w:val="nil"/>
              <w:bottom w:val="single" w:sz="4" w:space="0" w:color="auto"/>
              <w:right w:val="single" w:sz="4" w:space="0" w:color="auto"/>
            </w:tcBorders>
            <w:shd w:val="clear" w:color="auto" w:fill="auto"/>
            <w:vAlign w:val="center"/>
            <w:hideMark/>
          </w:tcPr>
          <w:p w14:paraId="5FEF02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29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29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29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29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9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9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9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9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A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A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A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A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A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2A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2A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2A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2A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2A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2A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2A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A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2A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2A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2A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D845EC" w:rsidRPr="00795698" w14:paraId="5FEF02CC"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2B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2B2"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2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2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2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2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2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2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2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2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2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2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2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2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2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2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2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2E8"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2C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3.1.1</w:t>
            </w:r>
          </w:p>
        </w:tc>
        <w:tc>
          <w:tcPr>
            <w:tcW w:w="814" w:type="dxa"/>
            <w:tcBorders>
              <w:top w:val="nil"/>
              <w:left w:val="nil"/>
              <w:bottom w:val="single" w:sz="4" w:space="0" w:color="auto"/>
              <w:right w:val="single" w:sz="4" w:space="0" w:color="auto"/>
            </w:tcBorders>
            <w:shd w:val="clear" w:color="000000" w:fill="FFFFFF"/>
            <w:vAlign w:val="bottom"/>
            <w:hideMark/>
          </w:tcPr>
          <w:p w14:paraId="5FEF02CE"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Hartimi i protokolleve dhe sistemeve të ndarjes së informacionit për të mbledhur, sistemuar dhe ndarë të dhëna nga një gamë e gjerë burimesh, me qëllim që të mundësohen reagime dhe përpjekje parandaluese efektive dhe në kohë ndaj ekstremizmit të dhunshëm</w:t>
            </w:r>
          </w:p>
        </w:tc>
        <w:tc>
          <w:tcPr>
            <w:tcW w:w="350" w:type="dxa"/>
            <w:tcBorders>
              <w:top w:val="nil"/>
              <w:left w:val="nil"/>
              <w:bottom w:val="single" w:sz="4" w:space="0" w:color="auto"/>
              <w:right w:val="single" w:sz="4" w:space="0" w:color="auto"/>
            </w:tcBorders>
            <w:shd w:val="clear" w:color="000000" w:fill="FFFFFF"/>
            <w:vAlign w:val="center"/>
            <w:hideMark/>
          </w:tcPr>
          <w:p w14:paraId="5FEF02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000000" w:fill="FFFFFF"/>
            <w:noWrap/>
            <w:vAlign w:val="center"/>
            <w:hideMark/>
          </w:tcPr>
          <w:p w14:paraId="5FEF02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000000" w:fill="FFFFFF"/>
            <w:vAlign w:val="center"/>
            <w:hideMark/>
          </w:tcPr>
          <w:p w14:paraId="5FEF02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w:t>
            </w:r>
            <w:r w:rsidRPr="00795698">
              <w:rPr>
                <w:rFonts w:ascii="Arial" w:hAnsi="Arial" w:cs="Arial"/>
                <w:color w:val="000000"/>
                <w:sz w:val="6"/>
                <w:szCs w:val="6"/>
                <w:lang w:eastAsia="sq-AL"/>
              </w:rPr>
              <w:br/>
              <w:t xml:space="preserve">MM/MFE/MEPJ/ </w:t>
            </w:r>
            <w:r w:rsidRPr="00795698">
              <w:rPr>
                <w:rFonts w:ascii="Arial" w:hAnsi="Arial" w:cs="Arial"/>
                <w:color w:val="000000"/>
                <w:sz w:val="6"/>
                <w:szCs w:val="6"/>
                <w:lang w:eastAsia="sq-AL"/>
              </w:rPr>
              <w:br/>
              <w:t>MD/SHISH/QKEDH</w:t>
            </w:r>
          </w:p>
        </w:tc>
        <w:tc>
          <w:tcPr>
            <w:tcW w:w="201" w:type="dxa"/>
            <w:tcBorders>
              <w:top w:val="nil"/>
              <w:left w:val="nil"/>
              <w:bottom w:val="single" w:sz="4" w:space="0" w:color="auto"/>
              <w:right w:val="single" w:sz="4" w:space="0" w:color="auto"/>
            </w:tcBorders>
            <w:shd w:val="clear" w:color="auto" w:fill="auto"/>
            <w:vAlign w:val="center"/>
            <w:hideMark/>
          </w:tcPr>
          <w:p w14:paraId="5FEF02D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2D3"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2023</w:t>
            </w:r>
          </w:p>
        </w:tc>
        <w:tc>
          <w:tcPr>
            <w:tcW w:w="303" w:type="dxa"/>
            <w:tcBorders>
              <w:top w:val="nil"/>
              <w:left w:val="nil"/>
              <w:bottom w:val="single" w:sz="4" w:space="0" w:color="auto"/>
              <w:right w:val="single" w:sz="4" w:space="0" w:color="auto"/>
            </w:tcBorders>
            <w:shd w:val="clear" w:color="000000" w:fill="FFFFFF"/>
            <w:noWrap/>
            <w:vAlign w:val="center"/>
            <w:hideMark/>
          </w:tcPr>
          <w:p w14:paraId="5FEF02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2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2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2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2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2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2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2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2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2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2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2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2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2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2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2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2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2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2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2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304"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2E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3.1.2</w:t>
            </w:r>
          </w:p>
        </w:tc>
        <w:tc>
          <w:tcPr>
            <w:tcW w:w="814" w:type="dxa"/>
            <w:tcBorders>
              <w:top w:val="nil"/>
              <w:left w:val="nil"/>
              <w:bottom w:val="single" w:sz="4" w:space="0" w:color="auto"/>
              <w:right w:val="single" w:sz="4" w:space="0" w:color="auto"/>
            </w:tcBorders>
            <w:shd w:val="clear" w:color="000000" w:fill="FFFFFF"/>
            <w:vAlign w:val="bottom"/>
            <w:hideMark/>
          </w:tcPr>
          <w:p w14:paraId="5FEF02EA"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Zhvillimi i protokolleve specifike për personat e radikalizuar në Shqipëri, duke iu përshtatur karakteristikave dhe veçorive që mbart ky fenomen në vendin tonë dhe shpërndarja e tyre profesionistëve të vijës së parë, për evidentimin dhe sinjalizimin e hershëm të tyre.</w:t>
            </w:r>
          </w:p>
        </w:tc>
        <w:tc>
          <w:tcPr>
            <w:tcW w:w="350" w:type="dxa"/>
            <w:tcBorders>
              <w:top w:val="nil"/>
              <w:left w:val="nil"/>
              <w:bottom w:val="single" w:sz="4" w:space="0" w:color="auto"/>
              <w:right w:val="single" w:sz="4" w:space="0" w:color="auto"/>
            </w:tcBorders>
            <w:shd w:val="clear" w:color="000000" w:fill="FFFFFF"/>
            <w:vAlign w:val="center"/>
            <w:hideMark/>
          </w:tcPr>
          <w:p w14:paraId="5FEF02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000000" w:fill="FFFFFF"/>
            <w:noWrap/>
            <w:vAlign w:val="center"/>
            <w:hideMark/>
          </w:tcPr>
          <w:p w14:paraId="5FEF02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000000" w:fill="FFFFFF"/>
            <w:noWrap/>
            <w:vAlign w:val="center"/>
            <w:hideMark/>
          </w:tcPr>
          <w:p w14:paraId="5FEF02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MB/DPPSH/DAT</w:t>
            </w:r>
          </w:p>
        </w:tc>
        <w:tc>
          <w:tcPr>
            <w:tcW w:w="201" w:type="dxa"/>
            <w:tcBorders>
              <w:top w:val="nil"/>
              <w:left w:val="nil"/>
              <w:bottom w:val="single" w:sz="4" w:space="0" w:color="auto"/>
              <w:right w:val="single" w:sz="4" w:space="0" w:color="auto"/>
            </w:tcBorders>
            <w:shd w:val="clear" w:color="auto" w:fill="auto"/>
            <w:vAlign w:val="center"/>
            <w:hideMark/>
          </w:tcPr>
          <w:p w14:paraId="5FEF02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2EF"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2023</w:t>
            </w:r>
          </w:p>
        </w:tc>
        <w:tc>
          <w:tcPr>
            <w:tcW w:w="303" w:type="dxa"/>
            <w:tcBorders>
              <w:top w:val="nil"/>
              <w:left w:val="nil"/>
              <w:bottom w:val="single" w:sz="4" w:space="0" w:color="auto"/>
              <w:right w:val="single" w:sz="4" w:space="0" w:color="auto"/>
            </w:tcBorders>
            <w:shd w:val="clear" w:color="000000" w:fill="FFFFFF"/>
            <w:noWrap/>
            <w:vAlign w:val="center"/>
            <w:hideMark/>
          </w:tcPr>
          <w:p w14:paraId="5FEF02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2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2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2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2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2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2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2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2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2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2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2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2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2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2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2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3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3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3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3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320"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30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3.1.3</w:t>
            </w:r>
          </w:p>
        </w:tc>
        <w:tc>
          <w:tcPr>
            <w:tcW w:w="814" w:type="dxa"/>
            <w:tcBorders>
              <w:top w:val="nil"/>
              <w:left w:val="nil"/>
              <w:bottom w:val="single" w:sz="4" w:space="0" w:color="auto"/>
              <w:right w:val="single" w:sz="4" w:space="0" w:color="auto"/>
            </w:tcBorders>
            <w:shd w:val="clear" w:color="auto" w:fill="auto"/>
            <w:vAlign w:val="bottom"/>
            <w:hideMark/>
          </w:tcPr>
          <w:p w14:paraId="5FEF0306" w14:textId="5FE5F3C1"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Krijimi i një databaze për rastet e identifikuara dhe mbledhja e të dhënave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për nxënësit e shkollave që shfaqin sjellje me risk të lartë</w:t>
            </w:r>
          </w:p>
        </w:tc>
        <w:tc>
          <w:tcPr>
            <w:tcW w:w="350" w:type="dxa"/>
            <w:tcBorders>
              <w:top w:val="nil"/>
              <w:left w:val="nil"/>
              <w:bottom w:val="single" w:sz="4" w:space="0" w:color="auto"/>
              <w:right w:val="single" w:sz="4" w:space="0" w:color="auto"/>
            </w:tcBorders>
            <w:shd w:val="clear" w:color="auto" w:fill="auto"/>
            <w:vAlign w:val="center"/>
            <w:hideMark/>
          </w:tcPr>
          <w:p w14:paraId="5FEF0307" w14:textId="09A7B56C"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Programi Buxhetor Arsimi Bazë 09120</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91103AE</w:t>
            </w:r>
            <w:r w:rsidR="007C064A" w:rsidRPr="00795698">
              <w:rPr>
                <w:rFonts w:ascii="Arial" w:hAnsi="Arial" w:cs="Arial"/>
                <w:color w:val="000000"/>
                <w:sz w:val="6"/>
                <w:szCs w:val="6"/>
                <w:lang w:eastAsia="sq-AL"/>
              </w:rPr>
              <w:t xml:space="preserve">  </w:t>
            </w:r>
          </w:p>
        </w:tc>
        <w:tc>
          <w:tcPr>
            <w:tcW w:w="458" w:type="dxa"/>
            <w:tcBorders>
              <w:top w:val="nil"/>
              <w:left w:val="nil"/>
              <w:bottom w:val="single" w:sz="4" w:space="0" w:color="auto"/>
              <w:right w:val="single" w:sz="4" w:space="0" w:color="auto"/>
            </w:tcBorders>
            <w:shd w:val="clear" w:color="auto" w:fill="auto"/>
            <w:noWrap/>
            <w:vAlign w:val="center"/>
            <w:hideMark/>
          </w:tcPr>
          <w:p w14:paraId="5FEF03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1442" w:type="dxa"/>
            <w:tcBorders>
              <w:top w:val="nil"/>
              <w:left w:val="nil"/>
              <w:bottom w:val="single" w:sz="4" w:space="0" w:color="auto"/>
              <w:right w:val="single" w:sz="4" w:space="0" w:color="auto"/>
            </w:tcBorders>
            <w:shd w:val="clear" w:color="auto" w:fill="auto"/>
            <w:vAlign w:val="center"/>
            <w:hideMark/>
          </w:tcPr>
          <w:p w14:paraId="5FEF03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DRAP/ZVAP/ Institucionet Arsimore Parauniversitare/ SHPS</w:t>
            </w:r>
          </w:p>
        </w:tc>
        <w:tc>
          <w:tcPr>
            <w:tcW w:w="201" w:type="dxa"/>
            <w:tcBorders>
              <w:top w:val="nil"/>
              <w:left w:val="nil"/>
              <w:bottom w:val="single" w:sz="4" w:space="0" w:color="auto"/>
              <w:right w:val="single" w:sz="4" w:space="0" w:color="auto"/>
            </w:tcBorders>
            <w:shd w:val="clear" w:color="auto" w:fill="auto"/>
            <w:vAlign w:val="center"/>
            <w:hideMark/>
          </w:tcPr>
          <w:p w14:paraId="5FEF030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30B"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2023</w:t>
            </w:r>
          </w:p>
        </w:tc>
        <w:tc>
          <w:tcPr>
            <w:tcW w:w="303" w:type="dxa"/>
            <w:tcBorders>
              <w:top w:val="nil"/>
              <w:left w:val="nil"/>
              <w:bottom w:val="single" w:sz="4" w:space="0" w:color="auto"/>
              <w:right w:val="single" w:sz="4" w:space="0" w:color="auto"/>
            </w:tcBorders>
            <w:shd w:val="clear" w:color="000000" w:fill="FFFFFF"/>
            <w:noWrap/>
            <w:vAlign w:val="center"/>
            <w:hideMark/>
          </w:tcPr>
          <w:p w14:paraId="5FEF03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28" w:type="dxa"/>
            <w:tcBorders>
              <w:top w:val="nil"/>
              <w:left w:val="nil"/>
              <w:bottom w:val="single" w:sz="4" w:space="0" w:color="auto"/>
              <w:right w:val="single" w:sz="4" w:space="0" w:color="auto"/>
            </w:tcBorders>
            <w:shd w:val="clear" w:color="000000" w:fill="FFFFFF"/>
            <w:vAlign w:val="center"/>
            <w:hideMark/>
          </w:tcPr>
          <w:p w14:paraId="5FEF03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3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3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28" w:type="dxa"/>
            <w:tcBorders>
              <w:top w:val="nil"/>
              <w:left w:val="nil"/>
              <w:bottom w:val="single" w:sz="4" w:space="0" w:color="auto"/>
              <w:right w:val="single" w:sz="4" w:space="0" w:color="auto"/>
            </w:tcBorders>
            <w:shd w:val="clear" w:color="000000" w:fill="FFFFFF"/>
            <w:vAlign w:val="center"/>
            <w:hideMark/>
          </w:tcPr>
          <w:p w14:paraId="5FEF03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3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3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28" w:type="dxa"/>
            <w:tcBorders>
              <w:top w:val="nil"/>
              <w:left w:val="nil"/>
              <w:bottom w:val="single" w:sz="4" w:space="0" w:color="auto"/>
              <w:right w:val="single" w:sz="4" w:space="0" w:color="auto"/>
            </w:tcBorders>
            <w:shd w:val="clear" w:color="000000" w:fill="FFFFFF"/>
            <w:vAlign w:val="center"/>
            <w:hideMark/>
          </w:tcPr>
          <w:p w14:paraId="5FEF03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3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345" w:type="dxa"/>
            <w:tcBorders>
              <w:top w:val="nil"/>
              <w:left w:val="nil"/>
              <w:bottom w:val="single" w:sz="4" w:space="0" w:color="auto"/>
              <w:right w:val="single" w:sz="4" w:space="0" w:color="auto"/>
            </w:tcBorders>
            <w:shd w:val="clear" w:color="000000" w:fill="FFFFFF"/>
            <w:vAlign w:val="center"/>
            <w:hideMark/>
          </w:tcPr>
          <w:p w14:paraId="5FEF03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1,350,000</w:t>
            </w:r>
          </w:p>
        </w:tc>
        <w:tc>
          <w:tcPr>
            <w:tcW w:w="228" w:type="dxa"/>
            <w:tcBorders>
              <w:top w:val="nil"/>
              <w:left w:val="nil"/>
              <w:bottom w:val="single" w:sz="4" w:space="0" w:color="auto"/>
              <w:right w:val="single" w:sz="4" w:space="0" w:color="auto"/>
            </w:tcBorders>
            <w:shd w:val="clear" w:color="000000" w:fill="FFFFFF"/>
            <w:vAlign w:val="center"/>
            <w:hideMark/>
          </w:tcPr>
          <w:p w14:paraId="5FEF03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3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1,350,000</w:t>
            </w:r>
          </w:p>
        </w:tc>
        <w:tc>
          <w:tcPr>
            <w:tcW w:w="345" w:type="dxa"/>
            <w:tcBorders>
              <w:top w:val="nil"/>
              <w:left w:val="nil"/>
              <w:bottom w:val="single" w:sz="4" w:space="0" w:color="auto"/>
              <w:right w:val="single" w:sz="4" w:space="0" w:color="auto"/>
            </w:tcBorders>
            <w:shd w:val="clear" w:color="000000" w:fill="FFFFFF"/>
            <w:vAlign w:val="center"/>
            <w:hideMark/>
          </w:tcPr>
          <w:p w14:paraId="5FEF03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1,350,000</w:t>
            </w:r>
          </w:p>
        </w:tc>
        <w:tc>
          <w:tcPr>
            <w:tcW w:w="228" w:type="dxa"/>
            <w:tcBorders>
              <w:top w:val="nil"/>
              <w:left w:val="nil"/>
              <w:bottom w:val="single" w:sz="4" w:space="0" w:color="auto"/>
              <w:right w:val="single" w:sz="4" w:space="0" w:color="auto"/>
            </w:tcBorders>
            <w:shd w:val="clear" w:color="000000" w:fill="FFFFFF"/>
            <w:vAlign w:val="center"/>
            <w:hideMark/>
          </w:tcPr>
          <w:p w14:paraId="5FEF03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3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1,350,000</w:t>
            </w:r>
          </w:p>
        </w:tc>
        <w:tc>
          <w:tcPr>
            <w:tcW w:w="218" w:type="dxa"/>
            <w:tcBorders>
              <w:top w:val="nil"/>
              <w:left w:val="nil"/>
              <w:bottom w:val="single" w:sz="4" w:space="0" w:color="auto"/>
              <w:right w:val="single" w:sz="4" w:space="0" w:color="auto"/>
            </w:tcBorders>
            <w:shd w:val="clear" w:color="000000" w:fill="FFFFFF"/>
            <w:vAlign w:val="center"/>
            <w:hideMark/>
          </w:tcPr>
          <w:p w14:paraId="5FEF03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3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3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3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3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33C"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32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322"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3.1</w:t>
            </w:r>
          </w:p>
        </w:tc>
        <w:tc>
          <w:tcPr>
            <w:tcW w:w="350" w:type="dxa"/>
            <w:tcBorders>
              <w:top w:val="nil"/>
              <w:left w:val="nil"/>
              <w:bottom w:val="single" w:sz="4" w:space="0" w:color="auto"/>
              <w:right w:val="single" w:sz="4" w:space="0" w:color="auto"/>
            </w:tcBorders>
            <w:shd w:val="clear" w:color="000000" w:fill="D9D9D9"/>
            <w:vAlign w:val="center"/>
            <w:hideMark/>
          </w:tcPr>
          <w:p w14:paraId="5FEF03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32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32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32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32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32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228" w:type="dxa"/>
            <w:tcBorders>
              <w:top w:val="nil"/>
              <w:left w:val="nil"/>
              <w:bottom w:val="single" w:sz="4" w:space="0" w:color="auto"/>
              <w:right w:val="single" w:sz="4" w:space="0" w:color="auto"/>
            </w:tcBorders>
            <w:shd w:val="clear" w:color="000000" w:fill="D9D9D9"/>
            <w:vAlign w:val="center"/>
            <w:hideMark/>
          </w:tcPr>
          <w:p w14:paraId="5FEF032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32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303" w:type="dxa"/>
            <w:tcBorders>
              <w:top w:val="nil"/>
              <w:left w:val="nil"/>
              <w:bottom w:val="single" w:sz="4" w:space="0" w:color="auto"/>
              <w:right w:val="single" w:sz="4" w:space="0" w:color="auto"/>
            </w:tcBorders>
            <w:shd w:val="clear" w:color="000000" w:fill="D9D9D9"/>
            <w:vAlign w:val="center"/>
            <w:hideMark/>
          </w:tcPr>
          <w:p w14:paraId="5FEF032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228" w:type="dxa"/>
            <w:tcBorders>
              <w:top w:val="nil"/>
              <w:left w:val="nil"/>
              <w:bottom w:val="single" w:sz="4" w:space="0" w:color="auto"/>
              <w:right w:val="single" w:sz="4" w:space="0" w:color="auto"/>
            </w:tcBorders>
            <w:shd w:val="clear" w:color="000000" w:fill="D9D9D9"/>
            <w:vAlign w:val="center"/>
            <w:hideMark/>
          </w:tcPr>
          <w:p w14:paraId="5FEF032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32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303" w:type="dxa"/>
            <w:tcBorders>
              <w:top w:val="nil"/>
              <w:left w:val="nil"/>
              <w:bottom w:val="single" w:sz="4" w:space="0" w:color="auto"/>
              <w:right w:val="single" w:sz="4" w:space="0" w:color="auto"/>
            </w:tcBorders>
            <w:shd w:val="clear" w:color="000000" w:fill="D9D9D9"/>
            <w:vAlign w:val="center"/>
            <w:hideMark/>
          </w:tcPr>
          <w:p w14:paraId="5FEF032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228" w:type="dxa"/>
            <w:tcBorders>
              <w:top w:val="nil"/>
              <w:left w:val="nil"/>
              <w:bottom w:val="single" w:sz="4" w:space="0" w:color="auto"/>
              <w:right w:val="single" w:sz="4" w:space="0" w:color="auto"/>
            </w:tcBorders>
            <w:shd w:val="clear" w:color="000000" w:fill="D9D9D9"/>
            <w:vAlign w:val="center"/>
            <w:hideMark/>
          </w:tcPr>
          <w:p w14:paraId="5FEF032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33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345" w:type="dxa"/>
            <w:tcBorders>
              <w:top w:val="nil"/>
              <w:left w:val="nil"/>
              <w:bottom w:val="single" w:sz="4" w:space="0" w:color="auto"/>
              <w:right w:val="single" w:sz="4" w:space="0" w:color="auto"/>
            </w:tcBorders>
            <w:shd w:val="clear" w:color="000000" w:fill="D9D9D9"/>
            <w:vAlign w:val="center"/>
            <w:hideMark/>
          </w:tcPr>
          <w:p w14:paraId="5FEF033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228" w:type="dxa"/>
            <w:tcBorders>
              <w:top w:val="nil"/>
              <w:left w:val="nil"/>
              <w:bottom w:val="single" w:sz="4" w:space="0" w:color="auto"/>
              <w:right w:val="single" w:sz="4" w:space="0" w:color="auto"/>
            </w:tcBorders>
            <w:shd w:val="clear" w:color="000000" w:fill="D9D9D9"/>
            <w:vAlign w:val="center"/>
            <w:hideMark/>
          </w:tcPr>
          <w:p w14:paraId="5FEF033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33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345" w:type="dxa"/>
            <w:tcBorders>
              <w:top w:val="nil"/>
              <w:left w:val="nil"/>
              <w:bottom w:val="single" w:sz="4" w:space="0" w:color="auto"/>
              <w:right w:val="single" w:sz="4" w:space="0" w:color="auto"/>
            </w:tcBorders>
            <w:shd w:val="clear" w:color="000000" w:fill="D9D9D9"/>
            <w:vAlign w:val="center"/>
            <w:hideMark/>
          </w:tcPr>
          <w:p w14:paraId="5FEF033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228" w:type="dxa"/>
            <w:tcBorders>
              <w:top w:val="nil"/>
              <w:left w:val="nil"/>
              <w:bottom w:val="single" w:sz="4" w:space="0" w:color="auto"/>
              <w:right w:val="single" w:sz="4" w:space="0" w:color="auto"/>
            </w:tcBorders>
            <w:shd w:val="clear" w:color="000000" w:fill="D9D9D9"/>
            <w:vAlign w:val="center"/>
            <w:hideMark/>
          </w:tcPr>
          <w:p w14:paraId="5FEF033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33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218" w:type="dxa"/>
            <w:tcBorders>
              <w:top w:val="nil"/>
              <w:left w:val="nil"/>
              <w:bottom w:val="single" w:sz="4" w:space="0" w:color="auto"/>
              <w:right w:val="single" w:sz="4" w:space="0" w:color="auto"/>
            </w:tcBorders>
            <w:shd w:val="clear" w:color="000000" w:fill="D9D9D9"/>
            <w:vAlign w:val="center"/>
            <w:hideMark/>
          </w:tcPr>
          <w:p w14:paraId="5FEF033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33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33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33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33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358"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33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33E"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3</w:t>
            </w:r>
          </w:p>
        </w:tc>
        <w:tc>
          <w:tcPr>
            <w:tcW w:w="350" w:type="dxa"/>
            <w:tcBorders>
              <w:top w:val="nil"/>
              <w:left w:val="nil"/>
              <w:bottom w:val="single" w:sz="4" w:space="0" w:color="auto"/>
              <w:right w:val="single" w:sz="4" w:space="0" w:color="auto"/>
            </w:tcBorders>
            <w:shd w:val="clear" w:color="000000" w:fill="D9D9D9"/>
            <w:vAlign w:val="center"/>
            <w:hideMark/>
          </w:tcPr>
          <w:p w14:paraId="5FEF03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340"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341"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342"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343"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34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228" w:type="dxa"/>
            <w:tcBorders>
              <w:top w:val="nil"/>
              <w:left w:val="nil"/>
              <w:bottom w:val="single" w:sz="4" w:space="0" w:color="auto"/>
              <w:right w:val="single" w:sz="4" w:space="0" w:color="auto"/>
            </w:tcBorders>
            <w:shd w:val="clear" w:color="000000" w:fill="D9D9D9"/>
            <w:vAlign w:val="center"/>
            <w:hideMark/>
          </w:tcPr>
          <w:p w14:paraId="5FEF034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34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303" w:type="dxa"/>
            <w:tcBorders>
              <w:top w:val="nil"/>
              <w:left w:val="nil"/>
              <w:bottom w:val="single" w:sz="4" w:space="0" w:color="auto"/>
              <w:right w:val="single" w:sz="4" w:space="0" w:color="auto"/>
            </w:tcBorders>
            <w:shd w:val="clear" w:color="000000" w:fill="D9D9D9"/>
            <w:vAlign w:val="center"/>
            <w:hideMark/>
          </w:tcPr>
          <w:p w14:paraId="5FEF034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228" w:type="dxa"/>
            <w:tcBorders>
              <w:top w:val="nil"/>
              <w:left w:val="nil"/>
              <w:bottom w:val="single" w:sz="4" w:space="0" w:color="auto"/>
              <w:right w:val="single" w:sz="4" w:space="0" w:color="auto"/>
            </w:tcBorders>
            <w:shd w:val="clear" w:color="000000" w:fill="D9D9D9"/>
            <w:vAlign w:val="center"/>
            <w:hideMark/>
          </w:tcPr>
          <w:p w14:paraId="5FEF034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34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303" w:type="dxa"/>
            <w:tcBorders>
              <w:top w:val="nil"/>
              <w:left w:val="nil"/>
              <w:bottom w:val="single" w:sz="4" w:space="0" w:color="auto"/>
              <w:right w:val="single" w:sz="4" w:space="0" w:color="auto"/>
            </w:tcBorders>
            <w:shd w:val="clear" w:color="000000" w:fill="D9D9D9"/>
            <w:vAlign w:val="center"/>
            <w:hideMark/>
          </w:tcPr>
          <w:p w14:paraId="5FEF034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228" w:type="dxa"/>
            <w:tcBorders>
              <w:top w:val="nil"/>
              <w:left w:val="nil"/>
              <w:bottom w:val="single" w:sz="4" w:space="0" w:color="auto"/>
              <w:right w:val="single" w:sz="4" w:space="0" w:color="auto"/>
            </w:tcBorders>
            <w:shd w:val="clear" w:color="000000" w:fill="D9D9D9"/>
            <w:vAlign w:val="center"/>
            <w:hideMark/>
          </w:tcPr>
          <w:p w14:paraId="5FEF034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34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101,006,400</w:t>
            </w:r>
          </w:p>
        </w:tc>
        <w:tc>
          <w:tcPr>
            <w:tcW w:w="345" w:type="dxa"/>
            <w:tcBorders>
              <w:top w:val="nil"/>
              <w:left w:val="nil"/>
              <w:bottom w:val="single" w:sz="4" w:space="0" w:color="auto"/>
              <w:right w:val="single" w:sz="4" w:space="0" w:color="auto"/>
            </w:tcBorders>
            <w:shd w:val="clear" w:color="000000" w:fill="D9D9D9"/>
            <w:vAlign w:val="center"/>
            <w:hideMark/>
          </w:tcPr>
          <w:p w14:paraId="5FEF034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228" w:type="dxa"/>
            <w:tcBorders>
              <w:top w:val="nil"/>
              <w:left w:val="nil"/>
              <w:bottom w:val="single" w:sz="4" w:space="0" w:color="auto"/>
              <w:right w:val="single" w:sz="4" w:space="0" w:color="auto"/>
            </w:tcBorders>
            <w:shd w:val="clear" w:color="000000" w:fill="D9D9D9"/>
            <w:vAlign w:val="center"/>
            <w:hideMark/>
          </w:tcPr>
          <w:p w14:paraId="5FEF034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34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345" w:type="dxa"/>
            <w:tcBorders>
              <w:top w:val="nil"/>
              <w:left w:val="nil"/>
              <w:bottom w:val="single" w:sz="4" w:space="0" w:color="auto"/>
              <w:right w:val="single" w:sz="4" w:space="0" w:color="auto"/>
            </w:tcBorders>
            <w:shd w:val="clear" w:color="000000" w:fill="D9D9D9"/>
            <w:vAlign w:val="center"/>
            <w:hideMark/>
          </w:tcPr>
          <w:p w14:paraId="5FEF035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228" w:type="dxa"/>
            <w:tcBorders>
              <w:top w:val="nil"/>
              <w:left w:val="nil"/>
              <w:bottom w:val="single" w:sz="4" w:space="0" w:color="auto"/>
              <w:right w:val="single" w:sz="4" w:space="0" w:color="auto"/>
            </w:tcBorders>
            <w:shd w:val="clear" w:color="000000" w:fill="D9D9D9"/>
            <w:vAlign w:val="center"/>
            <w:hideMark/>
          </w:tcPr>
          <w:p w14:paraId="5FEF035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35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303,019,200</w:t>
            </w:r>
          </w:p>
        </w:tc>
        <w:tc>
          <w:tcPr>
            <w:tcW w:w="218" w:type="dxa"/>
            <w:tcBorders>
              <w:top w:val="nil"/>
              <w:left w:val="nil"/>
              <w:bottom w:val="single" w:sz="4" w:space="0" w:color="auto"/>
              <w:right w:val="single" w:sz="4" w:space="0" w:color="auto"/>
            </w:tcBorders>
            <w:shd w:val="clear" w:color="000000" w:fill="D9D9D9"/>
            <w:vAlign w:val="center"/>
            <w:hideMark/>
          </w:tcPr>
          <w:p w14:paraId="5FEF035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35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35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35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35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35A"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359"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35C"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35B"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I.1 QASJA PARANDALUESE: PARANDALIMI I TERRORIZMIT DHE RADIKALIZIMIT QË ÇON NË TERRORIZËM PËRMES SINJALIZIMIT TË HERSHËM</w:t>
            </w:r>
          </w:p>
        </w:tc>
      </w:tr>
      <w:tr w:rsidR="00D845EC" w:rsidRPr="00795698" w14:paraId="5FEF035E"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35D" w14:textId="3E7647C3"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4: ZGJERIMI I</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KAPACITETEVE OPERACIONALE TË POLICISË DHE KAPACITETEVE TË INSTITUCIONEVE TË INTELIGJENCËS.</w:t>
            </w:r>
          </w:p>
        </w:tc>
      </w:tr>
      <w:tr w:rsidR="00D845EC" w:rsidRPr="00795698" w14:paraId="5FEF0360"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35F"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 xml:space="preserve">III. PROGRAMI/ET BUXHETORE Programi Buxhetor Policia e Shtetit, Kodi i Programit 03140; </w:t>
            </w:r>
          </w:p>
        </w:tc>
      </w:tr>
      <w:tr w:rsidR="00D845EC" w:rsidRPr="00795698" w14:paraId="5FEF036C" w14:textId="77777777" w:rsidTr="00D845EC">
        <w:trPr>
          <w:trHeight w:val="180"/>
        </w:trPr>
        <w:tc>
          <w:tcPr>
            <w:tcW w:w="164" w:type="dxa"/>
            <w:vMerge w:val="restart"/>
            <w:tcBorders>
              <w:top w:val="nil"/>
              <w:left w:val="single" w:sz="8" w:space="0" w:color="auto"/>
              <w:bottom w:val="single" w:sz="4" w:space="0" w:color="auto"/>
              <w:right w:val="single" w:sz="4" w:space="0" w:color="auto"/>
            </w:tcBorders>
            <w:shd w:val="clear" w:color="auto" w:fill="auto"/>
            <w:vAlign w:val="center"/>
            <w:hideMark/>
          </w:tcPr>
          <w:p w14:paraId="5FEF036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36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350" w:type="dxa"/>
            <w:tcBorders>
              <w:top w:val="nil"/>
              <w:left w:val="nil"/>
              <w:bottom w:val="single" w:sz="4" w:space="0" w:color="auto"/>
              <w:right w:val="single" w:sz="4" w:space="0" w:color="auto"/>
            </w:tcBorders>
            <w:shd w:val="clear" w:color="auto" w:fill="auto"/>
            <w:vAlign w:val="center"/>
            <w:hideMark/>
          </w:tcPr>
          <w:p w14:paraId="5FEF03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900" w:type="dxa"/>
            <w:gridSpan w:val="2"/>
            <w:tcBorders>
              <w:top w:val="single" w:sz="4" w:space="0" w:color="auto"/>
              <w:left w:val="nil"/>
              <w:bottom w:val="single" w:sz="4" w:space="0" w:color="auto"/>
              <w:right w:val="single" w:sz="4" w:space="0" w:color="auto"/>
            </w:tcBorders>
            <w:shd w:val="clear" w:color="auto" w:fill="auto"/>
            <w:vAlign w:val="center"/>
            <w:hideMark/>
          </w:tcPr>
          <w:p w14:paraId="5FEF03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55" w:type="dxa"/>
            <w:gridSpan w:val="2"/>
            <w:tcBorders>
              <w:top w:val="single" w:sz="4" w:space="0" w:color="auto"/>
              <w:left w:val="nil"/>
              <w:bottom w:val="single" w:sz="4" w:space="0" w:color="auto"/>
              <w:right w:val="single" w:sz="4" w:space="0" w:color="auto"/>
            </w:tcBorders>
            <w:shd w:val="clear" w:color="auto" w:fill="auto"/>
            <w:vAlign w:val="center"/>
            <w:hideMark/>
          </w:tcPr>
          <w:p w14:paraId="5FEF036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36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36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36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91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036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04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FEF036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vMerge w:val="restart"/>
            <w:tcBorders>
              <w:top w:val="nil"/>
              <w:left w:val="single" w:sz="4" w:space="0" w:color="auto"/>
              <w:bottom w:val="single" w:sz="4" w:space="0" w:color="auto"/>
              <w:right w:val="single" w:sz="8" w:space="0" w:color="auto"/>
            </w:tcBorders>
            <w:shd w:val="clear" w:color="auto" w:fill="auto"/>
            <w:vAlign w:val="center"/>
            <w:hideMark/>
          </w:tcPr>
          <w:p w14:paraId="5FEF036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D845EC" w:rsidRPr="00795698" w14:paraId="5FEF037B"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36D"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36E" w14:textId="77777777" w:rsidR="00D845EC" w:rsidRPr="00795698" w:rsidRDefault="00D845EC" w:rsidP="00D845EC">
            <w:pPr>
              <w:rPr>
                <w:rFonts w:ascii="Arial" w:hAnsi="Arial" w:cs="Arial"/>
                <w:b/>
                <w:bCs/>
                <w:color w:val="000000"/>
                <w:sz w:val="6"/>
                <w:szCs w:val="6"/>
                <w:lang w:eastAsia="sq-AL"/>
              </w:rPr>
            </w:pPr>
          </w:p>
        </w:tc>
        <w:tc>
          <w:tcPr>
            <w:tcW w:w="350" w:type="dxa"/>
            <w:vMerge w:val="restart"/>
            <w:tcBorders>
              <w:top w:val="nil"/>
              <w:left w:val="single" w:sz="4" w:space="0" w:color="auto"/>
              <w:bottom w:val="single" w:sz="4" w:space="0" w:color="auto"/>
              <w:right w:val="single" w:sz="4" w:space="0" w:color="auto"/>
            </w:tcBorders>
            <w:shd w:val="clear" w:color="auto" w:fill="auto"/>
            <w:vAlign w:val="center"/>
            <w:hideMark/>
          </w:tcPr>
          <w:p w14:paraId="5FEF036F" w14:textId="105B3741"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14:paraId="5FEF037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1442" w:type="dxa"/>
            <w:vMerge w:val="restart"/>
            <w:tcBorders>
              <w:top w:val="nil"/>
              <w:left w:val="single" w:sz="4" w:space="0" w:color="auto"/>
              <w:bottom w:val="single" w:sz="4" w:space="0" w:color="auto"/>
              <w:right w:val="single" w:sz="4" w:space="0" w:color="auto"/>
            </w:tcBorders>
            <w:shd w:val="clear" w:color="auto" w:fill="auto"/>
            <w:vAlign w:val="center"/>
            <w:hideMark/>
          </w:tcPr>
          <w:p w14:paraId="5FEF037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1" w:type="dxa"/>
            <w:vMerge w:val="restart"/>
            <w:tcBorders>
              <w:top w:val="nil"/>
              <w:left w:val="single" w:sz="4" w:space="0" w:color="auto"/>
              <w:bottom w:val="single" w:sz="4" w:space="0" w:color="auto"/>
              <w:right w:val="single" w:sz="4" w:space="0" w:color="auto"/>
            </w:tcBorders>
            <w:shd w:val="clear" w:color="auto" w:fill="auto"/>
            <w:vAlign w:val="center"/>
            <w:hideMark/>
          </w:tcPr>
          <w:p w14:paraId="5FEF037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5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37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34" w:type="dxa"/>
            <w:gridSpan w:val="3"/>
            <w:vMerge/>
            <w:tcBorders>
              <w:top w:val="nil"/>
              <w:left w:val="single" w:sz="4" w:space="0" w:color="auto"/>
              <w:bottom w:val="single" w:sz="4" w:space="0" w:color="auto"/>
              <w:right w:val="single" w:sz="4" w:space="0" w:color="auto"/>
            </w:tcBorders>
            <w:vAlign w:val="center"/>
            <w:hideMark/>
          </w:tcPr>
          <w:p w14:paraId="5FEF0374"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375"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376" w14:textId="77777777" w:rsidR="00D845EC" w:rsidRPr="00795698" w:rsidRDefault="00D845EC" w:rsidP="00D845EC">
            <w:pPr>
              <w:rPr>
                <w:rFonts w:ascii="Arial" w:hAnsi="Arial" w:cs="Arial"/>
                <w:b/>
                <w:bCs/>
                <w:color w:val="000000"/>
                <w:sz w:val="6"/>
                <w:szCs w:val="6"/>
                <w:lang w:eastAsia="sq-AL"/>
              </w:rPr>
            </w:pPr>
          </w:p>
        </w:tc>
        <w:tc>
          <w:tcPr>
            <w:tcW w:w="918" w:type="dxa"/>
            <w:gridSpan w:val="3"/>
            <w:vMerge/>
            <w:tcBorders>
              <w:top w:val="nil"/>
              <w:left w:val="single" w:sz="4" w:space="0" w:color="auto"/>
              <w:bottom w:val="single" w:sz="4" w:space="0" w:color="auto"/>
              <w:right w:val="single" w:sz="4" w:space="0" w:color="auto"/>
            </w:tcBorders>
            <w:vAlign w:val="center"/>
            <w:hideMark/>
          </w:tcPr>
          <w:p w14:paraId="5FEF0377" w14:textId="77777777" w:rsidR="00D845EC" w:rsidRPr="00795698" w:rsidRDefault="00D845EC" w:rsidP="00D845EC">
            <w:pPr>
              <w:rPr>
                <w:rFonts w:ascii="Arial" w:hAnsi="Arial" w:cs="Arial"/>
                <w:b/>
                <w:bCs/>
                <w:color w:val="000000"/>
                <w:sz w:val="6"/>
                <w:szCs w:val="6"/>
                <w:lang w:eastAsia="sq-AL"/>
              </w:rPr>
            </w:pPr>
          </w:p>
        </w:tc>
        <w:tc>
          <w:tcPr>
            <w:tcW w:w="918" w:type="dxa"/>
            <w:gridSpan w:val="3"/>
            <w:tcBorders>
              <w:top w:val="single" w:sz="8" w:space="0" w:color="auto"/>
              <w:left w:val="nil"/>
              <w:bottom w:val="single" w:sz="8" w:space="0" w:color="auto"/>
              <w:right w:val="single" w:sz="8" w:space="0" w:color="000000"/>
            </w:tcBorders>
            <w:shd w:val="clear" w:color="auto" w:fill="auto"/>
            <w:vAlign w:val="center"/>
            <w:hideMark/>
          </w:tcPr>
          <w:p w14:paraId="5FEF0378" w14:textId="004D537D"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129" w:type="dxa"/>
            <w:gridSpan w:val="4"/>
            <w:tcBorders>
              <w:top w:val="single" w:sz="8" w:space="0" w:color="auto"/>
              <w:left w:val="nil"/>
              <w:bottom w:val="single" w:sz="8" w:space="0" w:color="auto"/>
              <w:right w:val="single" w:sz="8" w:space="0" w:color="000000"/>
            </w:tcBorders>
            <w:shd w:val="clear" w:color="auto" w:fill="auto"/>
            <w:vAlign w:val="center"/>
            <w:hideMark/>
          </w:tcPr>
          <w:p w14:paraId="5FEF037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40" w:type="dxa"/>
            <w:vMerge/>
            <w:tcBorders>
              <w:top w:val="nil"/>
              <w:left w:val="single" w:sz="4" w:space="0" w:color="auto"/>
              <w:bottom w:val="single" w:sz="4" w:space="0" w:color="auto"/>
              <w:right w:val="single" w:sz="8" w:space="0" w:color="auto"/>
            </w:tcBorders>
            <w:vAlign w:val="center"/>
            <w:hideMark/>
          </w:tcPr>
          <w:p w14:paraId="5FEF037A" w14:textId="77777777" w:rsidR="00D845EC" w:rsidRPr="00795698" w:rsidRDefault="00D845EC" w:rsidP="00D845EC">
            <w:pPr>
              <w:rPr>
                <w:rFonts w:ascii="Arial" w:hAnsi="Arial" w:cs="Arial"/>
                <w:b/>
                <w:bCs/>
                <w:color w:val="000000"/>
                <w:sz w:val="6"/>
                <w:szCs w:val="6"/>
                <w:lang w:eastAsia="sq-AL"/>
              </w:rPr>
            </w:pPr>
          </w:p>
        </w:tc>
      </w:tr>
      <w:tr w:rsidR="00D845EC" w:rsidRPr="00795698" w14:paraId="5FEF0397"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37C"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37D" w14:textId="77777777" w:rsidR="00D845EC" w:rsidRPr="00795698" w:rsidRDefault="00D845EC" w:rsidP="00D845EC">
            <w:pPr>
              <w:rPr>
                <w:rFonts w:ascii="Arial" w:hAnsi="Arial" w:cs="Arial"/>
                <w:b/>
                <w:bCs/>
                <w:color w:val="000000"/>
                <w:sz w:val="6"/>
                <w:szCs w:val="6"/>
                <w:lang w:eastAsia="sq-AL"/>
              </w:rPr>
            </w:pPr>
          </w:p>
        </w:tc>
        <w:tc>
          <w:tcPr>
            <w:tcW w:w="350" w:type="dxa"/>
            <w:vMerge/>
            <w:tcBorders>
              <w:top w:val="nil"/>
              <w:left w:val="single" w:sz="4" w:space="0" w:color="auto"/>
              <w:bottom w:val="single" w:sz="4" w:space="0" w:color="auto"/>
              <w:right w:val="single" w:sz="4" w:space="0" w:color="auto"/>
            </w:tcBorders>
            <w:vAlign w:val="center"/>
            <w:hideMark/>
          </w:tcPr>
          <w:p w14:paraId="5FEF037E" w14:textId="77777777" w:rsidR="00D845EC" w:rsidRPr="00795698" w:rsidRDefault="00D845EC" w:rsidP="00D845EC">
            <w:pPr>
              <w:rPr>
                <w:rFonts w:ascii="Arial" w:hAnsi="Arial" w:cs="Arial"/>
                <w:color w:val="000000"/>
                <w:sz w:val="6"/>
                <w:szCs w:val="6"/>
                <w:lang w:eastAsia="sq-AL"/>
              </w:rPr>
            </w:pPr>
          </w:p>
        </w:tc>
        <w:tc>
          <w:tcPr>
            <w:tcW w:w="458" w:type="dxa"/>
            <w:vMerge/>
            <w:tcBorders>
              <w:top w:val="nil"/>
              <w:left w:val="single" w:sz="4" w:space="0" w:color="auto"/>
              <w:bottom w:val="single" w:sz="4" w:space="0" w:color="auto"/>
              <w:right w:val="single" w:sz="4" w:space="0" w:color="auto"/>
            </w:tcBorders>
            <w:vAlign w:val="center"/>
            <w:hideMark/>
          </w:tcPr>
          <w:p w14:paraId="5FEF037F" w14:textId="77777777" w:rsidR="00D845EC" w:rsidRPr="00795698" w:rsidRDefault="00D845EC" w:rsidP="00D845EC">
            <w:pPr>
              <w:rPr>
                <w:rFonts w:ascii="Arial" w:hAnsi="Arial" w:cs="Arial"/>
                <w:b/>
                <w:bCs/>
                <w:color w:val="000000"/>
                <w:sz w:val="6"/>
                <w:szCs w:val="6"/>
                <w:lang w:eastAsia="sq-AL"/>
              </w:rPr>
            </w:pPr>
          </w:p>
        </w:tc>
        <w:tc>
          <w:tcPr>
            <w:tcW w:w="1442" w:type="dxa"/>
            <w:vMerge/>
            <w:tcBorders>
              <w:top w:val="nil"/>
              <w:left w:val="single" w:sz="4" w:space="0" w:color="auto"/>
              <w:bottom w:val="single" w:sz="4" w:space="0" w:color="auto"/>
              <w:right w:val="single" w:sz="4" w:space="0" w:color="auto"/>
            </w:tcBorders>
            <w:vAlign w:val="center"/>
            <w:hideMark/>
          </w:tcPr>
          <w:p w14:paraId="5FEF0380" w14:textId="77777777" w:rsidR="00D845EC" w:rsidRPr="00795698" w:rsidRDefault="00D845EC" w:rsidP="00D845EC">
            <w:pPr>
              <w:rPr>
                <w:rFonts w:ascii="Arial" w:hAnsi="Arial" w:cs="Arial"/>
                <w:b/>
                <w:bCs/>
                <w:color w:val="000000"/>
                <w:sz w:val="6"/>
                <w:szCs w:val="6"/>
                <w:lang w:eastAsia="sq-AL"/>
              </w:rPr>
            </w:pPr>
          </w:p>
        </w:tc>
        <w:tc>
          <w:tcPr>
            <w:tcW w:w="201" w:type="dxa"/>
            <w:vMerge/>
            <w:tcBorders>
              <w:top w:val="nil"/>
              <w:left w:val="single" w:sz="4" w:space="0" w:color="auto"/>
              <w:bottom w:val="single" w:sz="4" w:space="0" w:color="auto"/>
              <w:right w:val="single" w:sz="4" w:space="0" w:color="auto"/>
            </w:tcBorders>
            <w:vAlign w:val="center"/>
            <w:hideMark/>
          </w:tcPr>
          <w:p w14:paraId="5FEF0381" w14:textId="77777777" w:rsidR="00D845EC" w:rsidRPr="00795698" w:rsidRDefault="00D845EC" w:rsidP="00D845EC">
            <w:pPr>
              <w:rPr>
                <w:rFonts w:ascii="Arial" w:hAnsi="Arial" w:cs="Arial"/>
                <w:b/>
                <w:bCs/>
                <w:color w:val="000000"/>
                <w:sz w:val="6"/>
                <w:szCs w:val="6"/>
                <w:lang w:eastAsia="sq-AL"/>
              </w:rPr>
            </w:pPr>
          </w:p>
        </w:tc>
        <w:tc>
          <w:tcPr>
            <w:tcW w:w="254" w:type="dxa"/>
            <w:vMerge/>
            <w:tcBorders>
              <w:top w:val="nil"/>
              <w:left w:val="single" w:sz="4" w:space="0" w:color="auto"/>
              <w:bottom w:val="single" w:sz="4" w:space="0" w:color="auto"/>
              <w:right w:val="single" w:sz="4" w:space="0" w:color="auto"/>
            </w:tcBorders>
            <w:vAlign w:val="center"/>
            <w:hideMark/>
          </w:tcPr>
          <w:p w14:paraId="5FEF0382" w14:textId="77777777" w:rsidR="00D845EC" w:rsidRPr="00795698" w:rsidRDefault="00D845EC" w:rsidP="00D845EC">
            <w:pPr>
              <w:rPr>
                <w:rFonts w:ascii="Arial" w:hAnsi="Arial" w:cs="Arial"/>
                <w:b/>
                <w:bCs/>
                <w:color w:val="000000"/>
                <w:sz w:val="6"/>
                <w:szCs w:val="6"/>
                <w:lang w:eastAsia="sq-AL"/>
              </w:rPr>
            </w:pPr>
          </w:p>
        </w:tc>
        <w:tc>
          <w:tcPr>
            <w:tcW w:w="303" w:type="dxa"/>
            <w:tcBorders>
              <w:top w:val="nil"/>
              <w:left w:val="nil"/>
              <w:bottom w:val="single" w:sz="4" w:space="0" w:color="auto"/>
              <w:right w:val="single" w:sz="4" w:space="0" w:color="auto"/>
            </w:tcBorders>
            <w:shd w:val="clear" w:color="auto" w:fill="auto"/>
            <w:vAlign w:val="center"/>
            <w:hideMark/>
          </w:tcPr>
          <w:p w14:paraId="5FEF038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38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38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38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38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38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38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38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38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single" w:sz="8" w:space="0" w:color="auto"/>
              <w:bottom w:val="single" w:sz="8" w:space="0" w:color="auto"/>
              <w:right w:val="nil"/>
            </w:tcBorders>
            <w:shd w:val="clear" w:color="auto" w:fill="auto"/>
            <w:vAlign w:val="center"/>
            <w:hideMark/>
          </w:tcPr>
          <w:p w14:paraId="5FEF038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38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38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nil"/>
              <w:bottom w:val="single" w:sz="8" w:space="0" w:color="auto"/>
              <w:right w:val="nil"/>
            </w:tcBorders>
            <w:shd w:val="clear" w:color="auto" w:fill="auto"/>
            <w:vAlign w:val="center"/>
            <w:hideMark/>
          </w:tcPr>
          <w:p w14:paraId="5FEF038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39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39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2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F039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single" w:sz="4" w:space="0" w:color="auto"/>
              <w:left w:val="nil"/>
              <w:bottom w:val="single" w:sz="4" w:space="0" w:color="auto"/>
              <w:right w:val="single" w:sz="4" w:space="0" w:color="auto"/>
            </w:tcBorders>
            <w:shd w:val="clear" w:color="auto" w:fill="auto"/>
            <w:vAlign w:val="center"/>
            <w:hideMark/>
          </w:tcPr>
          <w:p w14:paraId="5FEF039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34" w:type="dxa"/>
            <w:tcBorders>
              <w:top w:val="single" w:sz="4" w:space="0" w:color="auto"/>
              <w:left w:val="nil"/>
              <w:bottom w:val="single" w:sz="4" w:space="0" w:color="auto"/>
              <w:right w:val="single" w:sz="4" w:space="0" w:color="auto"/>
            </w:tcBorders>
            <w:shd w:val="clear" w:color="auto" w:fill="auto"/>
            <w:vAlign w:val="center"/>
            <w:hideMark/>
          </w:tcPr>
          <w:p w14:paraId="5FEF039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49" w:type="dxa"/>
            <w:tcBorders>
              <w:top w:val="single" w:sz="4" w:space="0" w:color="auto"/>
              <w:left w:val="nil"/>
              <w:bottom w:val="single" w:sz="4" w:space="0" w:color="auto"/>
              <w:right w:val="single" w:sz="4" w:space="0" w:color="auto"/>
            </w:tcBorders>
            <w:shd w:val="clear" w:color="auto" w:fill="auto"/>
            <w:vAlign w:val="center"/>
            <w:hideMark/>
          </w:tcPr>
          <w:p w14:paraId="5FEF039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40" w:type="dxa"/>
            <w:tcBorders>
              <w:top w:val="nil"/>
              <w:left w:val="nil"/>
              <w:bottom w:val="single" w:sz="4" w:space="0" w:color="auto"/>
              <w:right w:val="single" w:sz="8" w:space="0" w:color="auto"/>
            </w:tcBorders>
            <w:shd w:val="clear" w:color="auto" w:fill="auto"/>
            <w:vAlign w:val="center"/>
            <w:hideMark/>
          </w:tcPr>
          <w:p w14:paraId="5FEF039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D845EC" w:rsidRPr="00795698" w14:paraId="5FEF03B3"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39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4.1</w:t>
            </w:r>
          </w:p>
        </w:tc>
        <w:tc>
          <w:tcPr>
            <w:tcW w:w="814" w:type="dxa"/>
            <w:tcBorders>
              <w:top w:val="nil"/>
              <w:left w:val="nil"/>
              <w:bottom w:val="single" w:sz="4" w:space="0" w:color="auto"/>
              <w:right w:val="single" w:sz="4" w:space="0" w:color="auto"/>
            </w:tcBorders>
            <w:shd w:val="clear" w:color="auto" w:fill="auto"/>
            <w:vAlign w:val="center"/>
            <w:hideMark/>
          </w:tcPr>
          <w:p w14:paraId="5FEF0399"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PËRMIRËSIMI I PARANDALIMIT NËPËRMJET ZHVILLIMIT TË VLERËSIMEVE TË RISKUT, ANALIZAVE DHE KËRKIMEVE PËR RADIKALIZIMIN DHE TERRORIZMIN.</w:t>
            </w:r>
          </w:p>
        </w:tc>
        <w:tc>
          <w:tcPr>
            <w:tcW w:w="350" w:type="dxa"/>
            <w:tcBorders>
              <w:top w:val="nil"/>
              <w:left w:val="nil"/>
              <w:bottom w:val="single" w:sz="4" w:space="0" w:color="auto"/>
              <w:right w:val="single" w:sz="4" w:space="0" w:color="auto"/>
            </w:tcBorders>
            <w:shd w:val="clear" w:color="auto" w:fill="auto"/>
            <w:vAlign w:val="center"/>
            <w:hideMark/>
          </w:tcPr>
          <w:p w14:paraId="5FEF03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3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3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3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3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3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3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3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3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3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3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3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3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3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3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3CF"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3B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3B5"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3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3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3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3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3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3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3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3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3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3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3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3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3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3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3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3EB"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3D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4.1.1</w:t>
            </w:r>
          </w:p>
        </w:tc>
        <w:tc>
          <w:tcPr>
            <w:tcW w:w="814" w:type="dxa"/>
            <w:tcBorders>
              <w:top w:val="nil"/>
              <w:left w:val="nil"/>
              <w:bottom w:val="single" w:sz="4" w:space="0" w:color="auto"/>
              <w:right w:val="single" w:sz="4" w:space="0" w:color="auto"/>
            </w:tcBorders>
            <w:shd w:val="clear" w:color="auto" w:fill="auto"/>
            <w:vAlign w:val="center"/>
            <w:hideMark/>
          </w:tcPr>
          <w:p w14:paraId="5FEF03D1"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analizave dhe vlerësimeve të riskut.</w:t>
            </w:r>
          </w:p>
        </w:tc>
        <w:tc>
          <w:tcPr>
            <w:tcW w:w="350" w:type="dxa"/>
            <w:tcBorders>
              <w:top w:val="nil"/>
              <w:left w:val="nil"/>
              <w:bottom w:val="single" w:sz="4" w:space="0" w:color="auto"/>
              <w:right w:val="single" w:sz="4" w:space="0" w:color="auto"/>
            </w:tcBorders>
            <w:shd w:val="clear" w:color="auto" w:fill="auto"/>
            <w:vAlign w:val="center"/>
            <w:hideMark/>
          </w:tcPr>
          <w:p w14:paraId="5FEF03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noWrap/>
            <w:vAlign w:val="center"/>
            <w:hideMark/>
          </w:tcPr>
          <w:p w14:paraId="5FEF03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F03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MM/AISM/MFE/DPPPP/SPAK/MD/DPB</w:t>
            </w:r>
          </w:p>
        </w:tc>
        <w:tc>
          <w:tcPr>
            <w:tcW w:w="201" w:type="dxa"/>
            <w:tcBorders>
              <w:top w:val="nil"/>
              <w:left w:val="nil"/>
              <w:bottom w:val="single" w:sz="4" w:space="0" w:color="auto"/>
              <w:right w:val="single" w:sz="4" w:space="0" w:color="auto"/>
            </w:tcBorders>
            <w:shd w:val="clear" w:color="auto" w:fill="auto"/>
            <w:vAlign w:val="center"/>
            <w:hideMark/>
          </w:tcPr>
          <w:p w14:paraId="5FEF03D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3D6"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3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3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3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3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3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3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3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3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3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7,500,000</w:t>
            </w:r>
          </w:p>
        </w:tc>
        <w:tc>
          <w:tcPr>
            <w:tcW w:w="345" w:type="dxa"/>
            <w:tcBorders>
              <w:top w:val="nil"/>
              <w:left w:val="nil"/>
              <w:bottom w:val="single" w:sz="4" w:space="0" w:color="auto"/>
              <w:right w:val="single" w:sz="4" w:space="0" w:color="auto"/>
            </w:tcBorders>
            <w:shd w:val="clear" w:color="000000" w:fill="FFFFFF"/>
            <w:vAlign w:val="center"/>
            <w:hideMark/>
          </w:tcPr>
          <w:p w14:paraId="5FEF03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228" w:type="dxa"/>
            <w:tcBorders>
              <w:top w:val="nil"/>
              <w:left w:val="nil"/>
              <w:bottom w:val="single" w:sz="4" w:space="0" w:color="auto"/>
              <w:right w:val="single" w:sz="4" w:space="0" w:color="auto"/>
            </w:tcBorders>
            <w:shd w:val="clear" w:color="000000" w:fill="FFFFFF"/>
            <w:vAlign w:val="center"/>
            <w:hideMark/>
          </w:tcPr>
          <w:p w14:paraId="5FEF03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3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345" w:type="dxa"/>
            <w:tcBorders>
              <w:top w:val="nil"/>
              <w:left w:val="nil"/>
              <w:bottom w:val="single" w:sz="4" w:space="0" w:color="auto"/>
              <w:right w:val="single" w:sz="4" w:space="0" w:color="auto"/>
            </w:tcBorders>
            <w:shd w:val="clear" w:color="000000" w:fill="FFFFFF"/>
            <w:vAlign w:val="center"/>
            <w:hideMark/>
          </w:tcPr>
          <w:p w14:paraId="5FEF03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228" w:type="dxa"/>
            <w:tcBorders>
              <w:top w:val="nil"/>
              <w:left w:val="nil"/>
              <w:bottom w:val="single" w:sz="4" w:space="0" w:color="auto"/>
              <w:right w:val="single" w:sz="4" w:space="0" w:color="auto"/>
            </w:tcBorders>
            <w:shd w:val="clear" w:color="000000" w:fill="FFFFFF"/>
            <w:vAlign w:val="center"/>
            <w:hideMark/>
          </w:tcPr>
          <w:p w14:paraId="5FEF03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3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22,500,000</w:t>
            </w:r>
          </w:p>
        </w:tc>
        <w:tc>
          <w:tcPr>
            <w:tcW w:w="218" w:type="dxa"/>
            <w:tcBorders>
              <w:top w:val="nil"/>
              <w:left w:val="nil"/>
              <w:bottom w:val="single" w:sz="4" w:space="0" w:color="auto"/>
              <w:right w:val="single" w:sz="4" w:space="0" w:color="auto"/>
            </w:tcBorders>
            <w:shd w:val="clear" w:color="000000" w:fill="FFFFFF"/>
            <w:vAlign w:val="center"/>
            <w:hideMark/>
          </w:tcPr>
          <w:p w14:paraId="5FEF03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3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3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3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3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407"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3E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4.1.2</w:t>
            </w:r>
          </w:p>
        </w:tc>
        <w:tc>
          <w:tcPr>
            <w:tcW w:w="814" w:type="dxa"/>
            <w:tcBorders>
              <w:top w:val="nil"/>
              <w:left w:val="nil"/>
              <w:bottom w:val="single" w:sz="4" w:space="0" w:color="auto"/>
              <w:right w:val="single" w:sz="4" w:space="0" w:color="auto"/>
            </w:tcBorders>
            <w:shd w:val="clear" w:color="auto" w:fill="auto"/>
            <w:vAlign w:val="center"/>
            <w:hideMark/>
          </w:tcPr>
          <w:p w14:paraId="5FEF03ED"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Krijimi i profileve të subjekteve të dyshuar për veprimtari radikale/ekstremiste dhe terroriste.</w:t>
            </w:r>
          </w:p>
        </w:tc>
        <w:tc>
          <w:tcPr>
            <w:tcW w:w="350" w:type="dxa"/>
            <w:tcBorders>
              <w:top w:val="nil"/>
              <w:left w:val="nil"/>
              <w:bottom w:val="single" w:sz="4" w:space="0" w:color="auto"/>
              <w:right w:val="single" w:sz="4" w:space="0" w:color="auto"/>
            </w:tcBorders>
            <w:shd w:val="clear" w:color="auto" w:fill="auto"/>
            <w:vAlign w:val="center"/>
            <w:hideMark/>
          </w:tcPr>
          <w:p w14:paraId="5FEF03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noWrap/>
            <w:vAlign w:val="center"/>
            <w:hideMark/>
          </w:tcPr>
          <w:p w14:paraId="5FEF03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F03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 MM/AISM/MFE/DPPPP/SPAK/MD/DPB</w:t>
            </w:r>
          </w:p>
        </w:tc>
        <w:tc>
          <w:tcPr>
            <w:tcW w:w="201" w:type="dxa"/>
            <w:tcBorders>
              <w:top w:val="nil"/>
              <w:left w:val="nil"/>
              <w:bottom w:val="single" w:sz="4" w:space="0" w:color="auto"/>
              <w:right w:val="single" w:sz="4" w:space="0" w:color="auto"/>
            </w:tcBorders>
            <w:shd w:val="clear" w:color="auto" w:fill="auto"/>
            <w:vAlign w:val="center"/>
            <w:hideMark/>
          </w:tcPr>
          <w:p w14:paraId="5FEF03F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3F2"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3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3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3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3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3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3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3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3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3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45" w:type="dxa"/>
            <w:tcBorders>
              <w:top w:val="nil"/>
              <w:left w:val="nil"/>
              <w:bottom w:val="single" w:sz="4" w:space="0" w:color="auto"/>
              <w:right w:val="single" w:sz="4" w:space="0" w:color="auto"/>
            </w:tcBorders>
            <w:shd w:val="clear" w:color="000000" w:fill="FFFFFF"/>
            <w:vAlign w:val="center"/>
            <w:hideMark/>
          </w:tcPr>
          <w:p w14:paraId="5FEF03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F03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3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345" w:type="dxa"/>
            <w:tcBorders>
              <w:top w:val="nil"/>
              <w:left w:val="nil"/>
              <w:bottom w:val="single" w:sz="4" w:space="0" w:color="auto"/>
              <w:right w:val="single" w:sz="4" w:space="0" w:color="auto"/>
            </w:tcBorders>
            <w:shd w:val="clear" w:color="000000" w:fill="FFFFFF"/>
            <w:vAlign w:val="center"/>
            <w:hideMark/>
          </w:tcPr>
          <w:p w14:paraId="5FEF03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F04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4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18" w:type="dxa"/>
            <w:tcBorders>
              <w:top w:val="nil"/>
              <w:left w:val="nil"/>
              <w:bottom w:val="single" w:sz="4" w:space="0" w:color="auto"/>
              <w:right w:val="single" w:sz="4" w:space="0" w:color="auto"/>
            </w:tcBorders>
            <w:shd w:val="clear" w:color="000000" w:fill="FFFFFF"/>
            <w:vAlign w:val="center"/>
            <w:hideMark/>
          </w:tcPr>
          <w:p w14:paraId="5FEF04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4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4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4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4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423"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40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409"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4.1</w:t>
            </w:r>
          </w:p>
        </w:tc>
        <w:tc>
          <w:tcPr>
            <w:tcW w:w="350" w:type="dxa"/>
            <w:tcBorders>
              <w:top w:val="nil"/>
              <w:left w:val="nil"/>
              <w:bottom w:val="single" w:sz="4" w:space="0" w:color="auto"/>
              <w:right w:val="single" w:sz="4" w:space="0" w:color="auto"/>
            </w:tcBorders>
            <w:shd w:val="clear" w:color="000000" w:fill="D9D9D9"/>
            <w:vAlign w:val="center"/>
            <w:hideMark/>
          </w:tcPr>
          <w:p w14:paraId="5FEF04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40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40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40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40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40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228" w:type="dxa"/>
            <w:tcBorders>
              <w:top w:val="nil"/>
              <w:left w:val="nil"/>
              <w:bottom w:val="single" w:sz="4" w:space="0" w:color="auto"/>
              <w:right w:val="single" w:sz="4" w:space="0" w:color="auto"/>
            </w:tcBorders>
            <w:shd w:val="clear" w:color="000000" w:fill="D9D9D9"/>
            <w:vAlign w:val="center"/>
            <w:hideMark/>
          </w:tcPr>
          <w:p w14:paraId="5FEF041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1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303" w:type="dxa"/>
            <w:tcBorders>
              <w:top w:val="nil"/>
              <w:left w:val="nil"/>
              <w:bottom w:val="single" w:sz="4" w:space="0" w:color="auto"/>
              <w:right w:val="single" w:sz="4" w:space="0" w:color="auto"/>
            </w:tcBorders>
            <w:shd w:val="clear" w:color="000000" w:fill="D9D9D9"/>
            <w:vAlign w:val="center"/>
            <w:hideMark/>
          </w:tcPr>
          <w:p w14:paraId="5FEF041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228" w:type="dxa"/>
            <w:tcBorders>
              <w:top w:val="nil"/>
              <w:left w:val="nil"/>
              <w:bottom w:val="single" w:sz="4" w:space="0" w:color="auto"/>
              <w:right w:val="single" w:sz="4" w:space="0" w:color="auto"/>
            </w:tcBorders>
            <w:shd w:val="clear" w:color="000000" w:fill="D9D9D9"/>
            <w:vAlign w:val="center"/>
            <w:hideMark/>
          </w:tcPr>
          <w:p w14:paraId="5FEF041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1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303" w:type="dxa"/>
            <w:tcBorders>
              <w:top w:val="nil"/>
              <w:left w:val="nil"/>
              <w:bottom w:val="single" w:sz="4" w:space="0" w:color="auto"/>
              <w:right w:val="single" w:sz="4" w:space="0" w:color="auto"/>
            </w:tcBorders>
            <w:shd w:val="clear" w:color="000000" w:fill="D9D9D9"/>
            <w:vAlign w:val="center"/>
            <w:hideMark/>
          </w:tcPr>
          <w:p w14:paraId="5FEF041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228" w:type="dxa"/>
            <w:tcBorders>
              <w:top w:val="nil"/>
              <w:left w:val="nil"/>
              <w:bottom w:val="single" w:sz="4" w:space="0" w:color="auto"/>
              <w:right w:val="single" w:sz="4" w:space="0" w:color="auto"/>
            </w:tcBorders>
            <w:shd w:val="clear" w:color="000000" w:fill="D9D9D9"/>
            <w:vAlign w:val="center"/>
            <w:hideMark/>
          </w:tcPr>
          <w:p w14:paraId="5FEF041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1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345" w:type="dxa"/>
            <w:tcBorders>
              <w:top w:val="nil"/>
              <w:left w:val="nil"/>
              <w:bottom w:val="single" w:sz="4" w:space="0" w:color="auto"/>
              <w:right w:val="single" w:sz="4" w:space="0" w:color="auto"/>
            </w:tcBorders>
            <w:shd w:val="clear" w:color="000000" w:fill="D9D9D9"/>
            <w:vAlign w:val="center"/>
            <w:hideMark/>
          </w:tcPr>
          <w:p w14:paraId="5FEF041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228" w:type="dxa"/>
            <w:tcBorders>
              <w:top w:val="nil"/>
              <w:left w:val="nil"/>
              <w:bottom w:val="single" w:sz="4" w:space="0" w:color="auto"/>
              <w:right w:val="single" w:sz="4" w:space="0" w:color="auto"/>
            </w:tcBorders>
            <w:shd w:val="clear" w:color="000000" w:fill="D9D9D9"/>
            <w:vAlign w:val="center"/>
            <w:hideMark/>
          </w:tcPr>
          <w:p w14:paraId="5FEF041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41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345" w:type="dxa"/>
            <w:tcBorders>
              <w:top w:val="nil"/>
              <w:left w:val="nil"/>
              <w:bottom w:val="single" w:sz="4" w:space="0" w:color="auto"/>
              <w:right w:val="single" w:sz="4" w:space="0" w:color="auto"/>
            </w:tcBorders>
            <w:shd w:val="clear" w:color="000000" w:fill="D9D9D9"/>
            <w:vAlign w:val="center"/>
            <w:hideMark/>
          </w:tcPr>
          <w:p w14:paraId="5FEF041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228" w:type="dxa"/>
            <w:tcBorders>
              <w:top w:val="nil"/>
              <w:left w:val="nil"/>
              <w:bottom w:val="single" w:sz="4" w:space="0" w:color="auto"/>
              <w:right w:val="single" w:sz="4" w:space="0" w:color="auto"/>
            </w:tcBorders>
            <w:shd w:val="clear" w:color="000000" w:fill="D9D9D9"/>
            <w:vAlign w:val="center"/>
            <w:hideMark/>
          </w:tcPr>
          <w:p w14:paraId="5FEF041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41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218" w:type="dxa"/>
            <w:tcBorders>
              <w:top w:val="nil"/>
              <w:left w:val="nil"/>
              <w:bottom w:val="single" w:sz="4" w:space="0" w:color="auto"/>
              <w:right w:val="single" w:sz="4" w:space="0" w:color="auto"/>
            </w:tcBorders>
            <w:shd w:val="clear" w:color="000000" w:fill="D9D9D9"/>
            <w:vAlign w:val="center"/>
            <w:hideMark/>
          </w:tcPr>
          <w:p w14:paraId="5FEF041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41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42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42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42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43F"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42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425"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4</w:t>
            </w:r>
          </w:p>
        </w:tc>
        <w:tc>
          <w:tcPr>
            <w:tcW w:w="350" w:type="dxa"/>
            <w:tcBorders>
              <w:top w:val="nil"/>
              <w:left w:val="nil"/>
              <w:bottom w:val="single" w:sz="4" w:space="0" w:color="auto"/>
              <w:right w:val="single" w:sz="4" w:space="0" w:color="auto"/>
            </w:tcBorders>
            <w:shd w:val="clear" w:color="000000" w:fill="D9D9D9"/>
            <w:vAlign w:val="center"/>
            <w:hideMark/>
          </w:tcPr>
          <w:p w14:paraId="5FEF04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42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428"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429"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42A"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42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228" w:type="dxa"/>
            <w:tcBorders>
              <w:top w:val="nil"/>
              <w:left w:val="nil"/>
              <w:bottom w:val="single" w:sz="4" w:space="0" w:color="auto"/>
              <w:right w:val="single" w:sz="4" w:space="0" w:color="auto"/>
            </w:tcBorders>
            <w:shd w:val="clear" w:color="000000" w:fill="D9D9D9"/>
            <w:vAlign w:val="center"/>
            <w:hideMark/>
          </w:tcPr>
          <w:p w14:paraId="5FEF042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2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303" w:type="dxa"/>
            <w:tcBorders>
              <w:top w:val="nil"/>
              <w:left w:val="nil"/>
              <w:bottom w:val="single" w:sz="4" w:space="0" w:color="auto"/>
              <w:right w:val="single" w:sz="4" w:space="0" w:color="auto"/>
            </w:tcBorders>
            <w:shd w:val="clear" w:color="000000" w:fill="D9D9D9"/>
            <w:vAlign w:val="center"/>
            <w:hideMark/>
          </w:tcPr>
          <w:p w14:paraId="5FEF042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228" w:type="dxa"/>
            <w:tcBorders>
              <w:top w:val="nil"/>
              <w:left w:val="nil"/>
              <w:bottom w:val="single" w:sz="4" w:space="0" w:color="auto"/>
              <w:right w:val="single" w:sz="4" w:space="0" w:color="auto"/>
            </w:tcBorders>
            <w:shd w:val="clear" w:color="000000" w:fill="D9D9D9"/>
            <w:vAlign w:val="center"/>
            <w:hideMark/>
          </w:tcPr>
          <w:p w14:paraId="5FEF042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3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303" w:type="dxa"/>
            <w:tcBorders>
              <w:top w:val="nil"/>
              <w:left w:val="nil"/>
              <w:bottom w:val="single" w:sz="4" w:space="0" w:color="auto"/>
              <w:right w:val="single" w:sz="4" w:space="0" w:color="auto"/>
            </w:tcBorders>
            <w:shd w:val="clear" w:color="000000" w:fill="D9D9D9"/>
            <w:vAlign w:val="center"/>
            <w:hideMark/>
          </w:tcPr>
          <w:p w14:paraId="5FEF043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228" w:type="dxa"/>
            <w:tcBorders>
              <w:top w:val="nil"/>
              <w:left w:val="nil"/>
              <w:bottom w:val="single" w:sz="4" w:space="0" w:color="auto"/>
              <w:right w:val="single" w:sz="4" w:space="0" w:color="auto"/>
            </w:tcBorders>
            <w:shd w:val="clear" w:color="000000" w:fill="D9D9D9"/>
            <w:vAlign w:val="center"/>
            <w:hideMark/>
          </w:tcPr>
          <w:p w14:paraId="5FEF043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3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12,500,000</w:t>
            </w:r>
          </w:p>
        </w:tc>
        <w:tc>
          <w:tcPr>
            <w:tcW w:w="345" w:type="dxa"/>
            <w:tcBorders>
              <w:top w:val="nil"/>
              <w:left w:val="nil"/>
              <w:bottom w:val="single" w:sz="4" w:space="0" w:color="auto"/>
              <w:right w:val="single" w:sz="4" w:space="0" w:color="auto"/>
            </w:tcBorders>
            <w:shd w:val="clear" w:color="000000" w:fill="D9D9D9"/>
            <w:vAlign w:val="center"/>
            <w:hideMark/>
          </w:tcPr>
          <w:p w14:paraId="5FEF043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228" w:type="dxa"/>
            <w:tcBorders>
              <w:top w:val="nil"/>
              <w:left w:val="nil"/>
              <w:bottom w:val="single" w:sz="4" w:space="0" w:color="auto"/>
              <w:right w:val="single" w:sz="4" w:space="0" w:color="auto"/>
            </w:tcBorders>
            <w:shd w:val="clear" w:color="000000" w:fill="D9D9D9"/>
            <w:vAlign w:val="center"/>
            <w:hideMark/>
          </w:tcPr>
          <w:p w14:paraId="5FEF043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43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345" w:type="dxa"/>
            <w:tcBorders>
              <w:top w:val="nil"/>
              <w:left w:val="nil"/>
              <w:bottom w:val="single" w:sz="4" w:space="0" w:color="auto"/>
              <w:right w:val="single" w:sz="4" w:space="0" w:color="auto"/>
            </w:tcBorders>
            <w:shd w:val="clear" w:color="000000" w:fill="D9D9D9"/>
            <w:vAlign w:val="center"/>
            <w:hideMark/>
          </w:tcPr>
          <w:p w14:paraId="5FEF043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228" w:type="dxa"/>
            <w:tcBorders>
              <w:top w:val="nil"/>
              <w:left w:val="nil"/>
              <w:bottom w:val="single" w:sz="4" w:space="0" w:color="auto"/>
              <w:right w:val="single" w:sz="4" w:space="0" w:color="auto"/>
            </w:tcBorders>
            <w:shd w:val="clear" w:color="000000" w:fill="D9D9D9"/>
            <w:vAlign w:val="center"/>
            <w:hideMark/>
          </w:tcPr>
          <w:p w14:paraId="5FEF043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43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37,500,000</w:t>
            </w:r>
          </w:p>
        </w:tc>
        <w:tc>
          <w:tcPr>
            <w:tcW w:w="218" w:type="dxa"/>
            <w:tcBorders>
              <w:top w:val="nil"/>
              <w:left w:val="nil"/>
              <w:bottom w:val="single" w:sz="4" w:space="0" w:color="auto"/>
              <w:right w:val="single" w:sz="4" w:space="0" w:color="auto"/>
            </w:tcBorders>
            <w:shd w:val="clear" w:color="000000" w:fill="D9D9D9"/>
            <w:vAlign w:val="center"/>
            <w:hideMark/>
          </w:tcPr>
          <w:p w14:paraId="5FEF043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43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43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43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43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441"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440"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44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442"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lastRenderedPageBreak/>
              <w:t>I.1 QASJA PARANDALUESE: PARANDALIMI I TERRORIZMIT DHE RADIKALIZIMIT QË ÇON NË TERRORIZËM PËRMES SINJALIZIMIT TË HERSHËM</w:t>
            </w:r>
          </w:p>
        </w:tc>
      </w:tr>
      <w:tr w:rsidR="00D845EC" w:rsidRPr="00795698" w14:paraId="5FEF044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44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5: ZHVILLIMI I KOMUNIKIMIT STRATEGJIK</w:t>
            </w:r>
          </w:p>
        </w:tc>
      </w:tr>
      <w:tr w:rsidR="00D845EC" w:rsidRPr="00795698" w14:paraId="5FEF0447"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446" w14:textId="5D6FB3B8"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 "Planifikimi, Menaxhimi dhe Administrimi", Kodi i Programit Buxhetor 01110 ;</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Programi Buxhetor Arsimi Bazë, Kodi i Programit: 09120;</w:t>
            </w:r>
          </w:p>
        </w:tc>
      </w:tr>
      <w:tr w:rsidR="00D845EC" w:rsidRPr="00795698" w14:paraId="5FEF0453" w14:textId="77777777" w:rsidTr="00D845EC">
        <w:trPr>
          <w:trHeight w:val="180"/>
        </w:trPr>
        <w:tc>
          <w:tcPr>
            <w:tcW w:w="164" w:type="dxa"/>
            <w:vMerge w:val="restart"/>
            <w:tcBorders>
              <w:top w:val="nil"/>
              <w:left w:val="single" w:sz="8" w:space="0" w:color="auto"/>
              <w:bottom w:val="single" w:sz="4" w:space="0" w:color="auto"/>
              <w:right w:val="single" w:sz="4" w:space="0" w:color="auto"/>
            </w:tcBorders>
            <w:shd w:val="clear" w:color="auto" w:fill="auto"/>
            <w:vAlign w:val="center"/>
            <w:hideMark/>
          </w:tcPr>
          <w:p w14:paraId="5FEF044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44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350" w:type="dxa"/>
            <w:tcBorders>
              <w:top w:val="nil"/>
              <w:left w:val="nil"/>
              <w:bottom w:val="single" w:sz="4" w:space="0" w:color="auto"/>
              <w:right w:val="single" w:sz="4" w:space="0" w:color="auto"/>
            </w:tcBorders>
            <w:shd w:val="clear" w:color="auto" w:fill="auto"/>
            <w:vAlign w:val="center"/>
            <w:hideMark/>
          </w:tcPr>
          <w:p w14:paraId="5FEF04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900" w:type="dxa"/>
            <w:gridSpan w:val="2"/>
            <w:tcBorders>
              <w:top w:val="single" w:sz="4" w:space="0" w:color="auto"/>
              <w:left w:val="nil"/>
              <w:bottom w:val="single" w:sz="4" w:space="0" w:color="auto"/>
              <w:right w:val="single" w:sz="4" w:space="0" w:color="auto"/>
            </w:tcBorders>
            <w:shd w:val="clear" w:color="auto" w:fill="auto"/>
            <w:vAlign w:val="center"/>
            <w:hideMark/>
          </w:tcPr>
          <w:p w14:paraId="5FEF044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55" w:type="dxa"/>
            <w:gridSpan w:val="2"/>
            <w:tcBorders>
              <w:top w:val="single" w:sz="4" w:space="0" w:color="auto"/>
              <w:left w:val="nil"/>
              <w:bottom w:val="single" w:sz="4" w:space="0" w:color="auto"/>
              <w:right w:val="single" w:sz="4" w:space="0" w:color="auto"/>
            </w:tcBorders>
            <w:shd w:val="clear" w:color="auto" w:fill="auto"/>
            <w:vAlign w:val="center"/>
            <w:hideMark/>
          </w:tcPr>
          <w:p w14:paraId="5FEF044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44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44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44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91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045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047" w:type="dxa"/>
            <w:gridSpan w:val="7"/>
            <w:tcBorders>
              <w:top w:val="single" w:sz="8" w:space="0" w:color="auto"/>
              <w:left w:val="nil"/>
              <w:bottom w:val="single" w:sz="8" w:space="0" w:color="auto"/>
              <w:right w:val="single" w:sz="8" w:space="0" w:color="000000"/>
            </w:tcBorders>
            <w:shd w:val="clear" w:color="auto" w:fill="auto"/>
            <w:vAlign w:val="center"/>
            <w:hideMark/>
          </w:tcPr>
          <w:p w14:paraId="5FEF045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vMerge w:val="restart"/>
            <w:tcBorders>
              <w:top w:val="nil"/>
              <w:left w:val="single" w:sz="4" w:space="0" w:color="auto"/>
              <w:bottom w:val="single" w:sz="4" w:space="0" w:color="auto"/>
              <w:right w:val="single" w:sz="8" w:space="0" w:color="auto"/>
            </w:tcBorders>
            <w:shd w:val="clear" w:color="auto" w:fill="auto"/>
            <w:vAlign w:val="center"/>
            <w:hideMark/>
          </w:tcPr>
          <w:p w14:paraId="5FEF045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D845EC" w:rsidRPr="00795698" w14:paraId="5FEF0462"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454"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455" w14:textId="77777777" w:rsidR="00D845EC" w:rsidRPr="00795698" w:rsidRDefault="00D845EC" w:rsidP="00D845EC">
            <w:pPr>
              <w:rPr>
                <w:rFonts w:ascii="Arial" w:hAnsi="Arial" w:cs="Arial"/>
                <w:b/>
                <w:bCs/>
                <w:color w:val="000000"/>
                <w:sz w:val="6"/>
                <w:szCs w:val="6"/>
                <w:lang w:eastAsia="sq-AL"/>
              </w:rPr>
            </w:pPr>
          </w:p>
        </w:tc>
        <w:tc>
          <w:tcPr>
            <w:tcW w:w="350" w:type="dxa"/>
            <w:vMerge w:val="restart"/>
            <w:tcBorders>
              <w:top w:val="nil"/>
              <w:left w:val="single" w:sz="4" w:space="0" w:color="auto"/>
              <w:bottom w:val="single" w:sz="4" w:space="0" w:color="auto"/>
              <w:right w:val="single" w:sz="4" w:space="0" w:color="auto"/>
            </w:tcBorders>
            <w:shd w:val="clear" w:color="auto" w:fill="auto"/>
            <w:vAlign w:val="center"/>
            <w:hideMark/>
          </w:tcPr>
          <w:p w14:paraId="5FEF0456" w14:textId="5A512B64"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14:paraId="5FEF045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1442" w:type="dxa"/>
            <w:vMerge w:val="restart"/>
            <w:tcBorders>
              <w:top w:val="nil"/>
              <w:left w:val="single" w:sz="4" w:space="0" w:color="auto"/>
              <w:bottom w:val="single" w:sz="4" w:space="0" w:color="auto"/>
              <w:right w:val="single" w:sz="4" w:space="0" w:color="auto"/>
            </w:tcBorders>
            <w:shd w:val="clear" w:color="auto" w:fill="auto"/>
            <w:vAlign w:val="center"/>
            <w:hideMark/>
          </w:tcPr>
          <w:p w14:paraId="5FEF045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1" w:type="dxa"/>
            <w:vMerge w:val="restart"/>
            <w:tcBorders>
              <w:top w:val="nil"/>
              <w:left w:val="single" w:sz="4" w:space="0" w:color="auto"/>
              <w:bottom w:val="single" w:sz="4" w:space="0" w:color="auto"/>
              <w:right w:val="single" w:sz="4" w:space="0" w:color="auto"/>
            </w:tcBorders>
            <w:shd w:val="clear" w:color="auto" w:fill="auto"/>
            <w:vAlign w:val="center"/>
            <w:hideMark/>
          </w:tcPr>
          <w:p w14:paraId="5FEF045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5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4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34" w:type="dxa"/>
            <w:gridSpan w:val="3"/>
            <w:vMerge/>
            <w:tcBorders>
              <w:top w:val="nil"/>
              <w:left w:val="single" w:sz="4" w:space="0" w:color="auto"/>
              <w:bottom w:val="single" w:sz="4" w:space="0" w:color="auto"/>
              <w:right w:val="single" w:sz="4" w:space="0" w:color="auto"/>
            </w:tcBorders>
            <w:vAlign w:val="center"/>
            <w:hideMark/>
          </w:tcPr>
          <w:p w14:paraId="5FEF045B"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45C"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45D" w14:textId="77777777" w:rsidR="00D845EC" w:rsidRPr="00795698" w:rsidRDefault="00D845EC" w:rsidP="00D845EC">
            <w:pPr>
              <w:rPr>
                <w:rFonts w:ascii="Arial" w:hAnsi="Arial" w:cs="Arial"/>
                <w:b/>
                <w:bCs/>
                <w:color w:val="000000"/>
                <w:sz w:val="6"/>
                <w:szCs w:val="6"/>
                <w:lang w:eastAsia="sq-AL"/>
              </w:rPr>
            </w:pPr>
          </w:p>
        </w:tc>
        <w:tc>
          <w:tcPr>
            <w:tcW w:w="918" w:type="dxa"/>
            <w:gridSpan w:val="3"/>
            <w:vMerge/>
            <w:tcBorders>
              <w:top w:val="nil"/>
              <w:left w:val="single" w:sz="4" w:space="0" w:color="auto"/>
              <w:bottom w:val="single" w:sz="4" w:space="0" w:color="auto"/>
              <w:right w:val="single" w:sz="4" w:space="0" w:color="auto"/>
            </w:tcBorders>
            <w:vAlign w:val="center"/>
            <w:hideMark/>
          </w:tcPr>
          <w:p w14:paraId="5FEF045E" w14:textId="77777777" w:rsidR="00D845EC" w:rsidRPr="00795698" w:rsidRDefault="00D845EC" w:rsidP="00D845EC">
            <w:pPr>
              <w:rPr>
                <w:rFonts w:ascii="Arial" w:hAnsi="Arial" w:cs="Arial"/>
                <w:b/>
                <w:bCs/>
                <w:color w:val="000000"/>
                <w:sz w:val="6"/>
                <w:szCs w:val="6"/>
                <w:lang w:eastAsia="sq-AL"/>
              </w:rPr>
            </w:pPr>
          </w:p>
        </w:tc>
        <w:tc>
          <w:tcPr>
            <w:tcW w:w="918" w:type="dxa"/>
            <w:gridSpan w:val="3"/>
            <w:tcBorders>
              <w:top w:val="single" w:sz="8" w:space="0" w:color="auto"/>
              <w:left w:val="nil"/>
              <w:bottom w:val="single" w:sz="8" w:space="0" w:color="auto"/>
              <w:right w:val="single" w:sz="8" w:space="0" w:color="000000"/>
            </w:tcBorders>
            <w:shd w:val="clear" w:color="auto" w:fill="auto"/>
            <w:vAlign w:val="center"/>
            <w:hideMark/>
          </w:tcPr>
          <w:p w14:paraId="5FEF045F" w14:textId="031FD0C5"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129" w:type="dxa"/>
            <w:gridSpan w:val="4"/>
            <w:tcBorders>
              <w:top w:val="single" w:sz="8" w:space="0" w:color="auto"/>
              <w:left w:val="nil"/>
              <w:bottom w:val="single" w:sz="8" w:space="0" w:color="auto"/>
              <w:right w:val="single" w:sz="8" w:space="0" w:color="000000"/>
            </w:tcBorders>
            <w:shd w:val="clear" w:color="auto" w:fill="auto"/>
            <w:vAlign w:val="center"/>
            <w:hideMark/>
          </w:tcPr>
          <w:p w14:paraId="5FEF046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40" w:type="dxa"/>
            <w:vMerge/>
            <w:tcBorders>
              <w:top w:val="nil"/>
              <w:left w:val="single" w:sz="4" w:space="0" w:color="auto"/>
              <w:bottom w:val="single" w:sz="4" w:space="0" w:color="auto"/>
              <w:right w:val="single" w:sz="8" w:space="0" w:color="auto"/>
            </w:tcBorders>
            <w:vAlign w:val="center"/>
            <w:hideMark/>
          </w:tcPr>
          <w:p w14:paraId="5FEF0461" w14:textId="77777777" w:rsidR="00D845EC" w:rsidRPr="00795698" w:rsidRDefault="00D845EC" w:rsidP="00D845EC">
            <w:pPr>
              <w:rPr>
                <w:rFonts w:ascii="Arial" w:hAnsi="Arial" w:cs="Arial"/>
                <w:b/>
                <w:bCs/>
                <w:color w:val="000000"/>
                <w:sz w:val="6"/>
                <w:szCs w:val="6"/>
                <w:lang w:eastAsia="sq-AL"/>
              </w:rPr>
            </w:pPr>
          </w:p>
        </w:tc>
      </w:tr>
      <w:tr w:rsidR="00D845EC" w:rsidRPr="00795698" w14:paraId="5FEF047E"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463"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464" w14:textId="77777777" w:rsidR="00D845EC" w:rsidRPr="00795698" w:rsidRDefault="00D845EC" w:rsidP="00D845EC">
            <w:pPr>
              <w:rPr>
                <w:rFonts w:ascii="Arial" w:hAnsi="Arial" w:cs="Arial"/>
                <w:b/>
                <w:bCs/>
                <w:color w:val="000000"/>
                <w:sz w:val="6"/>
                <w:szCs w:val="6"/>
                <w:lang w:eastAsia="sq-AL"/>
              </w:rPr>
            </w:pPr>
          </w:p>
        </w:tc>
        <w:tc>
          <w:tcPr>
            <w:tcW w:w="350" w:type="dxa"/>
            <w:vMerge/>
            <w:tcBorders>
              <w:top w:val="nil"/>
              <w:left w:val="single" w:sz="4" w:space="0" w:color="auto"/>
              <w:bottom w:val="single" w:sz="4" w:space="0" w:color="auto"/>
              <w:right w:val="single" w:sz="4" w:space="0" w:color="auto"/>
            </w:tcBorders>
            <w:vAlign w:val="center"/>
            <w:hideMark/>
          </w:tcPr>
          <w:p w14:paraId="5FEF0465" w14:textId="77777777" w:rsidR="00D845EC" w:rsidRPr="00795698" w:rsidRDefault="00D845EC" w:rsidP="00D845EC">
            <w:pPr>
              <w:rPr>
                <w:rFonts w:ascii="Arial" w:hAnsi="Arial" w:cs="Arial"/>
                <w:color w:val="000000"/>
                <w:sz w:val="6"/>
                <w:szCs w:val="6"/>
                <w:lang w:eastAsia="sq-AL"/>
              </w:rPr>
            </w:pPr>
          </w:p>
        </w:tc>
        <w:tc>
          <w:tcPr>
            <w:tcW w:w="458" w:type="dxa"/>
            <w:vMerge/>
            <w:tcBorders>
              <w:top w:val="nil"/>
              <w:left w:val="single" w:sz="4" w:space="0" w:color="auto"/>
              <w:bottom w:val="single" w:sz="4" w:space="0" w:color="auto"/>
              <w:right w:val="single" w:sz="4" w:space="0" w:color="auto"/>
            </w:tcBorders>
            <w:vAlign w:val="center"/>
            <w:hideMark/>
          </w:tcPr>
          <w:p w14:paraId="5FEF0466" w14:textId="77777777" w:rsidR="00D845EC" w:rsidRPr="00795698" w:rsidRDefault="00D845EC" w:rsidP="00D845EC">
            <w:pPr>
              <w:rPr>
                <w:rFonts w:ascii="Arial" w:hAnsi="Arial" w:cs="Arial"/>
                <w:b/>
                <w:bCs/>
                <w:color w:val="000000"/>
                <w:sz w:val="6"/>
                <w:szCs w:val="6"/>
                <w:lang w:eastAsia="sq-AL"/>
              </w:rPr>
            </w:pPr>
          </w:p>
        </w:tc>
        <w:tc>
          <w:tcPr>
            <w:tcW w:w="1442" w:type="dxa"/>
            <w:vMerge/>
            <w:tcBorders>
              <w:top w:val="nil"/>
              <w:left w:val="single" w:sz="4" w:space="0" w:color="auto"/>
              <w:bottom w:val="single" w:sz="4" w:space="0" w:color="auto"/>
              <w:right w:val="single" w:sz="4" w:space="0" w:color="auto"/>
            </w:tcBorders>
            <w:vAlign w:val="center"/>
            <w:hideMark/>
          </w:tcPr>
          <w:p w14:paraId="5FEF0467" w14:textId="77777777" w:rsidR="00D845EC" w:rsidRPr="00795698" w:rsidRDefault="00D845EC" w:rsidP="00D845EC">
            <w:pPr>
              <w:rPr>
                <w:rFonts w:ascii="Arial" w:hAnsi="Arial" w:cs="Arial"/>
                <w:b/>
                <w:bCs/>
                <w:color w:val="000000"/>
                <w:sz w:val="6"/>
                <w:szCs w:val="6"/>
                <w:lang w:eastAsia="sq-AL"/>
              </w:rPr>
            </w:pPr>
          </w:p>
        </w:tc>
        <w:tc>
          <w:tcPr>
            <w:tcW w:w="201" w:type="dxa"/>
            <w:vMerge/>
            <w:tcBorders>
              <w:top w:val="nil"/>
              <w:left w:val="single" w:sz="4" w:space="0" w:color="auto"/>
              <w:bottom w:val="single" w:sz="4" w:space="0" w:color="auto"/>
              <w:right w:val="single" w:sz="4" w:space="0" w:color="auto"/>
            </w:tcBorders>
            <w:vAlign w:val="center"/>
            <w:hideMark/>
          </w:tcPr>
          <w:p w14:paraId="5FEF0468" w14:textId="77777777" w:rsidR="00D845EC" w:rsidRPr="00795698" w:rsidRDefault="00D845EC" w:rsidP="00D845EC">
            <w:pPr>
              <w:rPr>
                <w:rFonts w:ascii="Arial" w:hAnsi="Arial" w:cs="Arial"/>
                <w:b/>
                <w:bCs/>
                <w:color w:val="000000"/>
                <w:sz w:val="6"/>
                <w:szCs w:val="6"/>
                <w:lang w:eastAsia="sq-AL"/>
              </w:rPr>
            </w:pPr>
          </w:p>
        </w:tc>
        <w:tc>
          <w:tcPr>
            <w:tcW w:w="254" w:type="dxa"/>
            <w:vMerge/>
            <w:tcBorders>
              <w:top w:val="nil"/>
              <w:left w:val="single" w:sz="4" w:space="0" w:color="auto"/>
              <w:bottom w:val="single" w:sz="4" w:space="0" w:color="auto"/>
              <w:right w:val="single" w:sz="4" w:space="0" w:color="auto"/>
            </w:tcBorders>
            <w:vAlign w:val="center"/>
            <w:hideMark/>
          </w:tcPr>
          <w:p w14:paraId="5FEF0469" w14:textId="77777777" w:rsidR="00D845EC" w:rsidRPr="00795698" w:rsidRDefault="00D845EC" w:rsidP="00D845EC">
            <w:pPr>
              <w:rPr>
                <w:rFonts w:ascii="Arial" w:hAnsi="Arial" w:cs="Arial"/>
                <w:b/>
                <w:bCs/>
                <w:color w:val="000000"/>
                <w:sz w:val="6"/>
                <w:szCs w:val="6"/>
                <w:lang w:eastAsia="sq-AL"/>
              </w:rPr>
            </w:pPr>
          </w:p>
        </w:tc>
        <w:tc>
          <w:tcPr>
            <w:tcW w:w="303" w:type="dxa"/>
            <w:tcBorders>
              <w:top w:val="nil"/>
              <w:left w:val="nil"/>
              <w:bottom w:val="single" w:sz="4" w:space="0" w:color="auto"/>
              <w:right w:val="single" w:sz="4" w:space="0" w:color="auto"/>
            </w:tcBorders>
            <w:shd w:val="clear" w:color="auto" w:fill="auto"/>
            <w:vAlign w:val="center"/>
            <w:hideMark/>
          </w:tcPr>
          <w:p w14:paraId="5FEF046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46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46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46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46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46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47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47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47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single" w:sz="8" w:space="0" w:color="auto"/>
              <w:bottom w:val="single" w:sz="8" w:space="0" w:color="auto"/>
              <w:right w:val="nil"/>
            </w:tcBorders>
            <w:shd w:val="clear" w:color="auto" w:fill="auto"/>
            <w:vAlign w:val="center"/>
            <w:hideMark/>
          </w:tcPr>
          <w:p w14:paraId="5FEF047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47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47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nil"/>
              <w:bottom w:val="single" w:sz="8" w:space="0" w:color="auto"/>
              <w:right w:val="nil"/>
            </w:tcBorders>
            <w:shd w:val="clear" w:color="auto" w:fill="auto"/>
            <w:vAlign w:val="center"/>
            <w:hideMark/>
          </w:tcPr>
          <w:p w14:paraId="5FEF04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47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47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218" w:type="dxa"/>
            <w:tcBorders>
              <w:top w:val="nil"/>
              <w:left w:val="nil"/>
              <w:bottom w:val="single" w:sz="8" w:space="0" w:color="auto"/>
              <w:right w:val="nil"/>
            </w:tcBorders>
            <w:shd w:val="clear" w:color="auto" w:fill="auto"/>
            <w:vAlign w:val="center"/>
            <w:hideMark/>
          </w:tcPr>
          <w:p w14:paraId="5FEF047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single" w:sz="8" w:space="0" w:color="auto"/>
              <w:bottom w:val="single" w:sz="8" w:space="0" w:color="auto"/>
              <w:right w:val="single" w:sz="8" w:space="0" w:color="auto"/>
            </w:tcBorders>
            <w:shd w:val="clear" w:color="auto" w:fill="auto"/>
            <w:vAlign w:val="center"/>
            <w:hideMark/>
          </w:tcPr>
          <w:p w14:paraId="5FEF04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34" w:type="dxa"/>
            <w:tcBorders>
              <w:top w:val="nil"/>
              <w:left w:val="nil"/>
              <w:bottom w:val="single" w:sz="8" w:space="0" w:color="auto"/>
              <w:right w:val="single" w:sz="8" w:space="0" w:color="auto"/>
            </w:tcBorders>
            <w:shd w:val="clear" w:color="auto" w:fill="auto"/>
            <w:vAlign w:val="center"/>
            <w:hideMark/>
          </w:tcPr>
          <w:p w14:paraId="5FEF04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49" w:type="dxa"/>
            <w:tcBorders>
              <w:top w:val="nil"/>
              <w:left w:val="nil"/>
              <w:bottom w:val="single" w:sz="8" w:space="0" w:color="auto"/>
              <w:right w:val="single" w:sz="8" w:space="0" w:color="auto"/>
            </w:tcBorders>
            <w:shd w:val="clear" w:color="auto" w:fill="auto"/>
            <w:vAlign w:val="center"/>
            <w:hideMark/>
          </w:tcPr>
          <w:p w14:paraId="5FEF047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40" w:type="dxa"/>
            <w:tcBorders>
              <w:top w:val="nil"/>
              <w:left w:val="single" w:sz="4" w:space="0" w:color="auto"/>
              <w:bottom w:val="single" w:sz="4" w:space="0" w:color="auto"/>
              <w:right w:val="single" w:sz="8" w:space="0" w:color="auto"/>
            </w:tcBorders>
            <w:shd w:val="clear" w:color="auto" w:fill="auto"/>
            <w:vAlign w:val="center"/>
            <w:hideMark/>
          </w:tcPr>
          <w:p w14:paraId="5FEF047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D845EC" w:rsidRPr="00795698" w14:paraId="5FEF049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47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5.1</w:t>
            </w:r>
          </w:p>
        </w:tc>
        <w:tc>
          <w:tcPr>
            <w:tcW w:w="814" w:type="dxa"/>
            <w:tcBorders>
              <w:top w:val="nil"/>
              <w:left w:val="nil"/>
              <w:bottom w:val="single" w:sz="4" w:space="0" w:color="auto"/>
              <w:right w:val="single" w:sz="4" w:space="0" w:color="auto"/>
            </w:tcBorders>
            <w:shd w:val="clear" w:color="auto" w:fill="auto"/>
            <w:vAlign w:val="center"/>
            <w:hideMark/>
          </w:tcPr>
          <w:p w14:paraId="5FEF0480"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SHKËMBIMI I PËRVOJËS DHE EKSPERTIZËS ME VENDET E RAJONIT</w:t>
            </w:r>
          </w:p>
        </w:tc>
        <w:tc>
          <w:tcPr>
            <w:tcW w:w="350" w:type="dxa"/>
            <w:tcBorders>
              <w:top w:val="nil"/>
              <w:left w:val="nil"/>
              <w:bottom w:val="single" w:sz="4" w:space="0" w:color="auto"/>
              <w:right w:val="single" w:sz="4" w:space="0" w:color="auto"/>
            </w:tcBorders>
            <w:shd w:val="clear" w:color="auto" w:fill="auto"/>
            <w:vAlign w:val="center"/>
            <w:hideMark/>
          </w:tcPr>
          <w:p w14:paraId="5FEF04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4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4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4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4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4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4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4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4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4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4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single" w:sz="4" w:space="0" w:color="auto"/>
              <w:left w:val="nil"/>
              <w:bottom w:val="single" w:sz="4" w:space="0" w:color="auto"/>
              <w:right w:val="single" w:sz="4" w:space="0" w:color="auto"/>
            </w:tcBorders>
            <w:shd w:val="clear" w:color="auto" w:fill="auto"/>
            <w:noWrap/>
            <w:vAlign w:val="center"/>
            <w:hideMark/>
          </w:tcPr>
          <w:p w14:paraId="5FEF04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4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14:paraId="5FEF04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single" w:sz="4" w:space="0" w:color="auto"/>
              <w:left w:val="nil"/>
              <w:bottom w:val="single" w:sz="4" w:space="0" w:color="auto"/>
              <w:right w:val="single" w:sz="4" w:space="0" w:color="auto"/>
            </w:tcBorders>
            <w:shd w:val="clear" w:color="auto" w:fill="auto"/>
            <w:noWrap/>
            <w:vAlign w:val="center"/>
            <w:hideMark/>
          </w:tcPr>
          <w:p w14:paraId="5FEF04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4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4B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49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49C"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4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4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4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4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4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4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4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4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4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4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4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4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4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4D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4B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5.1.1</w:t>
            </w:r>
          </w:p>
        </w:tc>
        <w:tc>
          <w:tcPr>
            <w:tcW w:w="814" w:type="dxa"/>
            <w:tcBorders>
              <w:top w:val="nil"/>
              <w:left w:val="nil"/>
              <w:bottom w:val="single" w:sz="4" w:space="0" w:color="auto"/>
              <w:right w:val="single" w:sz="4" w:space="0" w:color="auto"/>
            </w:tcBorders>
            <w:shd w:val="clear" w:color="auto" w:fill="auto"/>
            <w:vAlign w:val="center"/>
            <w:hideMark/>
          </w:tcPr>
          <w:p w14:paraId="5FEF04B8"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Zhvillimi i takimeve dhe webinareve të vazhdueshme me profesionistë nga vendet e rajonit për shkëmbimin e eksperiencave.</w:t>
            </w:r>
          </w:p>
        </w:tc>
        <w:tc>
          <w:tcPr>
            <w:tcW w:w="350" w:type="dxa"/>
            <w:tcBorders>
              <w:top w:val="nil"/>
              <w:left w:val="nil"/>
              <w:bottom w:val="single" w:sz="4" w:space="0" w:color="auto"/>
              <w:right w:val="single" w:sz="4" w:space="0" w:color="auto"/>
            </w:tcBorders>
            <w:shd w:val="clear" w:color="auto" w:fill="auto"/>
            <w:vAlign w:val="center"/>
            <w:hideMark/>
          </w:tcPr>
          <w:p w14:paraId="5FEF04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auto" w:fill="auto"/>
            <w:noWrap/>
            <w:vAlign w:val="center"/>
            <w:hideMark/>
          </w:tcPr>
          <w:p w14:paraId="5FEF04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auto" w:fill="auto"/>
            <w:vAlign w:val="center"/>
            <w:hideMark/>
          </w:tcPr>
          <w:p w14:paraId="5FEF04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4B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4BD"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4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4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4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4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4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4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4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4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4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4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4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4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4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4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4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4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4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4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4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4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4EE"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4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4D4"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5.1</w:t>
            </w:r>
          </w:p>
        </w:tc>
        <w:tc>
          <w:tcPr>
            <w:tcW w:w="350" w:type="dxa"/>
            <w:tcBorders>
              <w:top w:val="nil"/>
              <w:left w:val="nil"/>
              <w:bottom w:val="single" w:sz="4" w:space="0" w:color="auto"/>
              <w:right w:val="single" w:sz="4" w:space="0" w:color="auto"/>
            </w:tcBorders>
            <w:shd w:val="clear" w:color="000000" w:fill="D9D9D9"/>
            <w:vAlign w:val="center"/>
            <w:hideMark/>
          </w:tcPr>
          <w:p w14:paraId="5FEF04D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4D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4D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4D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4D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4D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50,278,200</w:t>
            </w:r>
          </w:p>
        </w:tc>
        <w:tc>
          <w:tcPr>
            <w:tcW w:w="228" w:type="dxa"/>
            <w:tcBorders>
              <w:top w:val="nil"/>
              <w:left w:val="nil"/>
              <w:bottom w:val="single" w:sz="4" w:space="0" w:color="auto"/>
              <w:right w:val="single" w:sz="4" w:space="0" w:color="auto"/>
            </w:tcBorders>
            <w:shd w:val="clear" w:color="000000" w:fill="D9D9D9"/>
            <w:vAlign w:val="center"/>
            <w:hideMark/>
          </w:tcPr>
          <w:p w14:paraId="5FEF04D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D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50,278,200</w:t>
            </w:r>
          </w:p>
        </w:tc>
        <w:tc>
          <w:tcPr>
            <w:tcW w:w="303" w:type="dxa"/>
            <w:tcBorders>
              <w:top w:val="nil"/>
              <w:left w:val="nil"/>
              <w:bottom w:val="single" w:sz="4" w:space="0" w:color="auto"/>
              <w:right w:val="single" w:sz="4" w:space="0" w:color="auto"/>
            </w:tcBorders>
            <w:shd w:val="clear" w:color="000000" w:fill="D9D9D9"/>
            <w:vAlign w:val="center"/>
            <w:hideMark/>
          </w:tcPr>
          <w:p w14:paraId="5FEF04D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50,278,200</w:t>
            </w:r>
          </w:p>
        </w:tc>
        <w:tc>
          <w:tcPr>
            <w:tcW w:w="228" w:type="dxa"/>
            <w:tcBorders>
              <w:top w:val="nil"/>
              <w:left w:val="nil"/>
              <w:bottom w:val="single" w:sz="4" w:space="0" w:color="auto"/>
              <w:right w:val="single" w:sz="4" w:space="0" w:color="auto"/>
            </w:tcBorders>
            <w:shd w:val="clear" w:color="000000" w:fill="D9D9D9"/>
            <w:vAlign w:val="center"/>
            <w:hideMark/>
          </w:tcPr>
          <w:p w14:paraId="5FEF04D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D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50,278,200</w:t>
            </w:r>
          </w:p>
        </w:tc>
        <w:tc>
          <w:tcPr>
            <w:tcW w:w="303" w:type="dxa"/>
            <w:tcBorders>
              <w:top w:val="nil"/>
              <w:left w:val="nil"/>
              <w:bottom w:val="single" w:sz="4" w:space="0" w:color="auto"/>
              <w:right w:val="single" w:sz="4" w:space="0" w:color="auto"/>
            </w:tcBorders>
            <w:shd w:val="clear" w:color="000000" w:fill="D9D9D9"/>
            <w:vAlign w:val="center"/>
            <w:hideMark/>
          </w:tcPr>
          <w:p w14:paraId="5FEF04E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50,278,200</w:t>
            </w:r>
          </w:p>
        </w:tc>
        <w:tc>
          <w:tcPr>
            <w:tcW w:w="228" w:type="dxa"/>
            <w:tcBorders>
              <w:top w:val="nil"/>
              <w:left w:val="nil"/>
              <w:bottom w:val="single" w:sz="4" w:space="0" w:color="auto"/>
              <w:right w:val="single" w:sz="4" w:space="0" w:color="auto"/>
            </w:tcBorders>
            <w:shd w:val="clear" w:color="000000" w:fill="D9D9D9"/>
            <w:vAlign w:val="center"/>
            <w:hideMark/>
          </w:tcPr>
          <w:p w14:paraId="5FEF04E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4E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50,278,200</w:t>
            </w:r>
          </w:p>
        </w:tc>
        <w:tc>
          <w:tcPr>
            <w:tcW w:w="345" w:type="dxa"/>
            <w:tcBorders>
              <w:top w:val="nil"/>
              <w:left w:val="nil"/>
              <w:bottom w:val="single" w:sz="4" w:space="0" w:color="auto"/>
              <w:right w:val="single" w:sz="4" w:space="0" w:color="auto"/>
            </w:tcBorders>
            <w:shd w:val="clear" w:color="000000" w:fill="D9D9D9"/>
            <w:vAlign w:val="center"/>
            <w:hideMark/>
          </w:tcPr>
          <w:p w14:paraId="5FEF04E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150,834,600</w:t>
            </w:r>
          </w:p>
        </w:tc>
        <w:tc>
          <w:tcPr>
            <w:tcW w:w="228" w:type="dxa"/>
            <w:tcBorders>
              <w:top w:val="nil"/>
              <w:left w:val="nil"/>
              <w:bottom w:val="single" w:sz="4" w:space="0" w:color="auto"/>
              <w:right w:val="single" w:sz="4" w:space="0" w:color="auto"/>
            </w:tcBorders>
            <w:shd w:val="clear" w:color="000000" w:fill="D9D9D9"/>
            <w:vAlign w:val="center"/>
            <w:hideMark/>
          </w:tcPr>
          <w:p w14:paraId="5FEF04E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4E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150,834,600</w:t>
            </w:r>
          </w:p>
        </w:tc>
        <w:tc>
          <w:tcPr>
            <w:tcW w:w="345" w:type="dxa"/>
            <w:tcBorders>
              <w:top w:val="nil"/>
              <w:left w:val="nil"/>
              <w:bottom w:val="single" w:sz="4" w:space="0" w:color="auto"/>
              <w:right w:val="single" w:sz="4" w:space="0" w:color="auto"/>
            </w:tcBorders>
            <w:shd w:val="clear" w:color="000000" w:fill="D9D9D9"/>
            <w:vAlign w:val="center"/>
            <w:hideMark/>
          </w:tcPr>
          <w:p w14:paraId="5FEF04E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150,834,600</w:t>
            </w:r>
          </w:p>
        </w:tc>
        <w:tc>
          <w:tcPr>
            <w:tcW w:w="228" w:type="dxa"/>
            <w:tcBorders>
              <w:top w:val="nil"/>
              <w:left w:val="nil"/>
              <w:bottom w:val="single" w:sz="4" w:space="0" w:color="auto"/>
              <w:right w:val="single" w:sz="4" w:space="0" w:color="auto"/>
            </w:tcBorders>
            <w:shd w:val="clear" w:color="000000" w:fill="D9D9D9"/>
            <w:vAlign w:val="center"/>
            <w:hideMark/>
          </w:tcPr>
          <w:p w14:paraId="5FEF04E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4E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150,834,600</w:t>
            </w:r>
          </w:p>
        </w:tc>
        <w:tc>
          <w:tcPr>
            <w:tcW w:w="218" w:type="dxa"/>
            <w:tcBorders>
              <w:top w:val="nil"/>
              <w:left w:val="nil"/>
              <w:bottom w:val="single" w:sz="4" w:space="0" w:color="auto"/>
              <w:right w:val="single" w:sz="4" w:space="0" w:color="auto"/>
            </w:tcBorders>
            <w:shd w:val="clear" w:color="000000" w:fill="D9D9D9"/>
            <w:vAlign w:val="center"/>
            <w:hideMark/>
          </w:tcPr>
          <w:p w14:paraId="5FEF04E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4E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4E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4E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4E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50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4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w:t>
            </w:r>
          </w:p>
        </w:tc>
        <w:tc>
          <w:tcPr>
            <w:tcW w:w="814" w:type="dxa"/>
            <w:tcBorders>
              <w:top w:val="nil"/>
              <w:left w:val="nil"/>
              <w:bottom w:val="single" w:sz="4" w:space="0" w:color="auto"/>
              <w:right w:val="single" w:sz="4" w:space="0" w:color="auto"/>
            </w:tcBorders>
            <w:shd w:val="clear" w:color="auto" w:fill="auto"/>
            <w:vAlign w:val="center"/>
            <w:hideMark/>
          </w:tcPr>
          <w:p w14:paraId="5FEF04F0"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KRIJIMI I NJË RRJETI KOMUNIKIMI TË VAZHDUESHËM PËR SHKËMBIMIN E INFORMACIONEVE MES INSTITUCIONEVE DHE STRUKTURAVE TË PËRFSHIRA.</w:t>
            </w:r>
          </w:p>
        </w:tc>
        <w:tc>
          <w:tcPr>
            <w:tcW w:w="350" w:type="dxa"/>
            <w:tcBorders>
              <w:top w:val="nil"/>
              <w:left w:val="nil"/>
              <w:bottom w:val="single" w:sz="4" w:space="0" w:color="auto"/>
              <w:right w:val="single" w:sz="4" w:space="0" w:color="auto"/>
            </w:tcBorders>
            <w:shd w:val="clear" w:color="auto" w:fill="auto"/>
            <w:vAlign w:val="center"/>
            <w:hideMark/>
          </w:tcPr>
          <w:p w14:paraId="5FEF04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4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4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4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4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4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4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4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5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5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5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5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52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50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50C"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5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5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5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5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5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5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5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5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5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5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5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54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52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5.2.1</w:t>
            </w:r>
          </w:p>
        </w:tc>
        <w:tc>
          <w:tcPr>
            <w:tcW w:w="814" w:type="dxa"/>
            <w:tcBorders>
              <w:top w:val="nil"/>
              <w:left w:val="nil"/>
              <w:bottom w:val="single" w:sz="4" w:space="0" w:color="auto"/>
              <w:right w:val="single" w:sz="4" w:space="0" w:color="auto"/>
            </w:tcBorders>
            <w:shd w:val="clear" w:color="auto" w:fill="auto"/>
            <w:vAlign w:val="bottom"/>
            <w:hideMark/>
          </w:tcPr>
          <w:p w14:paraId="5FEF0528" w14:textId="535C2969"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xml:space="preserve">Krijimi i </w:t>
            </w:r>
            <w:r w:rsidR="00C62D65" w:rsidRPr="00795698">
              <w:rPr>
                <w:rFonts w:ascii="Arial" w:hAnsi="Arial" w:cs="Arial"/>
                <w:color w:val="000000"/>
                <w:sz w:val="6"/>
                <w:szCs w:val="6"/>
                <w:lang w:eastAsia="sq-AL"/>
              </w:rPr>
              <w:t>kundër</w:t>
            </w:r>
            <w:r w:rsidRPr="00795698">
              <w:rPr>
                <w:rFonts w:ascii="Arial" w:hAnsi="Arial" w:cs="Arial"/>
                <w:color w:val="000000"/>
                <w:sz w:val="6"/>
                <w:szCs w:val="6"/>
                <w:lang w:eastAsia="sq-AL"/>
              </w:rPr>
              <w:t>narrativave për terrorizmin dhe ekstremizmin e dhunshëm, duke pasqyruar rreziqet dhe dëmet që këto fenomene i shkaktojnë shoqërisë por edhe trajtimi i grupeve në rrezik dhe shtresave më vulnerabël, për t</w:t>
            </w:r>
            <w:r w:rsidR="00C62D65" w:rsidRPr="00795698">
              <w:rPr>
                <w:rFonts w:ascii="Arial" w:hAnsi="Arial" w:cs="Arial"/>
                <w:color w:val="000000"/>
                <w:sz w:val="6"/>
                <w:szCs w:val="6"/>
                <w:lang w:eastAsia="sq-AL"/>
              </w:rPr>
              <w:t>’</w:t>
            </w:r>
            <w:r w:rsidRPr="00795698">
              <w:rPr>
                <w:rFonts w:ascii="Arial" w:hAnsi="Arial" w:cs="Arial"/>
                <w:color w:val="000000"/>
                <w:sz w:val="6"/>
                <w:szCs w:val="6"/>
                <w:lang w:eastAsia="sq-AL"/>
              </w:rPr>
              <w:t>u shpërndarë në hapësirat mediatike dhe ato të rrjeteve sociale</w:t>
            </w:r>
          </w:p>
        </w:tc>
        <w:tc>
          <w:tcPr>
            <w:tcW w:w="350" w:type="dxa"/>
            <w:tcBorders>
              <w:top w:val="nil"/>
              <w:left w:val="nil"/>
              <w:bottom w:val="single" w:sz="4" w:space="0" w:color="auto"/>
              <w:right w:val="single" w:sz="4" w:space="0" w:color="auto"/>
            </w:tcBorders>
            <w:shd w:val="clear" w:color="auto" w:fill="auto"/>
            <w:vAlign w:val="center"/>
            <w:hideMark/>
          </w:tcPr>
          <w:p w14:paraId="5FEF05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auto" w:fill="auto"/>
            <w:noWrap/>
            <w:vAlign w:val="center"/>
            <w:hideMark/>
          </w:tcPr>
          <w:p w14:paraId="5FEF05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auto" w:fill="auto"/>
            <w:vAlign w:val="center"/>
            <w:hideMark/>
          </w:tcPr>
          <w:p w14:paraId="5FEF05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 DPB</w:t>
            </w:r>
          </w:p>
        </w:tc>
        <w:tc>
          <w:tcPr>
            <w:tcW w:w="201" w:type="dxa"/>
            <w:tcBorders>
              <w:top w:val="nil"/>
              <w:left w:val="nil"/>
              <w:bottom w:val="single" w:sz="4" w:space="0" w:color="auto"/>
              <w:right w:val="single" w:sz="4" w:space="0" w:color="auto"/>
            </w:tcBorders>
            <w:shd w:val="clear" w:color="auto" w:fill="auto"/>
            <w:vAlign w:val="center"/>
            <w:hideMark/>
          </w:tcPr>
          <w:p w14:paraId="5FEF052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52D"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5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5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5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5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5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5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5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5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5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50,278,200</w:t>
            </w:r>
          </w:p>
        </w:tc>
        <w:tc>
          <w:tcPr>
            <w:tcW w:w="345" w:type="dxa"/>
            <w:tcBorders>
              <w:top w:val="nil"/>
              <w:left w:val="nil"/>
              <w:bottom w:val="single" w:sz="4" w:space="0" w:color="auto"/>
              <w:right w:val="single" w:sz="4" w:space="0" w:color="auto"/>
            </w:tcBorders>
            <w:shd w:val="clear" w:color="000000" w:fill="FFFFFF"/>
            <w:vAlign w:val="center"/>
            <w:hideMark/>
          </w:tcPr>
          <w:p w14:paraId="5FEF05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5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345" w:type="dxa"/>
            <w:tcBorders>
              <w:top w:val="nil"/>
              <w:left w:val="nil"/>
              <w:bottom w:val="single" w:sz="4" w:space="0" w:color="auto"/>
              <w:right w:val="single" w:sz="4" w:space="0" w:color="auto"/>
            </w:tcBorders>
            <w:shd w:val="clear" w:color="000000" w:fill="FFFFFF"/>
            <w:vAlign w:val="center"/>
            <w:hideMark/>
          </w:tcPr>
          <w:p w14:paraId="5FEF05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28" w:type="dxa"/>
            <w:tcBorders>
              <w:top w:val="nil"/>
              <w:left w:val="nil"/>
              <w:bottom w:val="single" w:sz="4" w:space="0" w:color="auto"/>
              <w:right w:val="single" w:sz="4" w:space="0" w:color="auto"/>
            </w:tcBorders>
            <w:shd w:val="clear" w:color="000000" w:fill="FFFFFF"/>
            <w:vAlign w:val="center"/>
            <w:hideMark/>
          </w:tcPr>
          <w:p w14:paraId="5FEF05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150,834,600</w:t>
            </w:r>
          </w:p>
        </w:tc>
        <w:tc>
          <w:tcPr>
            <w:tcW w:w="218" w:type="dxa"/>
            <w:tcBorders>
              <w:top w:val="nil"/>
              <w:left w:val="nil"/>
              <w:bottom w:val="single" w:sz="4" w:space="0" w:color="auto"/>
              <w:right w:val="single" w:sz="4" w:space="0" w:color="auto"/>
            </w:tcBorders>
            <w:shd w:val="clear" w:color="000000" w:fill="FFFFFF"/>
            <w:vAlign w:val="center"/>
            <w:hideMark/>
          </w:tcPr>
          <w:p w14:paraId="5FEF05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5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5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5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5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55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54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5.2.2</w:t>
            </w:r>
          </w:p>
        </w:tc>
        <w:tc>
          <w:tcPr>
            <w:tcW w:w="814" w:type="dxa"/>
            <w:tcBorders>
              <w:top w:val="nil"/>
              <w:left w:val="nil"/>
              <w:bottom w:val="single" w:sz="4" w:space="0" w:color="auto"/>
              <w:right w:val="single" w:sz="4" w:space="0" w:color="auto"/>
            </w:tcBorders>
            <w:shd w:val="clear" w:color="auto" w:fill="auto"/>
            <w:vAlign w:val="center"/>
            <w:hideMark/>
          </w:tcPr>
          <w:p w14:paraId="5FEF0544"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Krijimi i programeve dhe manualeve për ndërgjegjësimin mbi terrorizmin</w:t>
            </w:r>
          </w:p>
        </w:tc>
        <w:tc>
          <w:tcPr>
            <w:tcW w:w="350" w:type="dxa"/>
            <w:tcBorders>
              <w:top w:val="nil"/>
              <w:left w:val="nil"/>
              <w:bottom w:val="single" w:sz="4" w:space="0" w:color="auto"/>
              <w:right w:val="single" w:sz="4" w:space="0" w:color="auto"/>
            </w:tcBorders>
            <w:shd w:val="clear" w:color="auto" w:fill="auto"/>
            <w:vAlign w:val="center"/>
            <w:hideMark/>
          </w:tcPr>
          <w:p w14:paraId="5FEF05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programit 01150 Aktivitete Kundër Ekstremizmit të Dhunshëm 1087032 Kodi i projektit 98704AH</w:t>
            </w:r>
          </w:p>
        </w:tc>
        <w:tc>
          <w:tcPr>
            <w:tcW w:w="458" w:type="dxa"/>
            <w:tcBorders>
              <w:top w:val="nil"/>
              <w:left w:val="nil"/>
              <w:bottom w:val="single" w:sz="4" w:space="0" w:color="auto"/>
              <w:right w:val="single" w:sz="4" w:space="0" w:color="auto"/>
            </w:tcBorders>
            <w:shd w:val="clear" w:color="auto" w:fill="auto"/>
            <w:vAlign w:val="center"/>
            <w:hideMark/>
          </w:tcPr>
          <w:p w14:paraId="5FEF05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1442" w:type="dxa"/>
            <w:tcBorders>
              <w:top w:val="nil"/>
              <w:left w:val="nil"/>
              <w:bottom w:val="single" w:sz="4" w:space="0" w:color="auto"/>
              <w:right w:val="single" w:sz="4" w:space="0" w:color="auto"/>
            </w:tcBorders>
            <w:shd w:val="clear" w:color="auto" w:fill="auto"/>
            <w:vAlign w:val="center"/>
            <w:hideMark/>
          </w:tcPr>
          <w:p w14:paraId="5FEF05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201" w:type="dxa"/>
            <w:tcBorders>
              <w:top w:val="nil"/>
              <w:left w:val="nil"/>
              <w:bottom w:val="single" w:sz="4" w:space="0" w:color="auto"/>
              <w:right w:val="single" w:sz="4" w:space="0" w:color="auto"/>
            </w:tcBorders>
            <w:shd w:val="clear" w:color="auto" w:fill="auto"/>
            <w:vAlign w:val="center"/>
            <w:hideMark/>
          </w:tcPr>
          <w:p w14:paraId="5FEF054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549"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5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5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5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5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5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5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40,278,200</w:t>
            </w:r>
          </w:p>
        </w:tc>
        <w:tc>
          <w:tcPr>
            <w:tcW w:w="303" w:type="dxa"/>
            <w:tcBorders>
              <w:top w:val="nil"/>
              <w:left w:val="nil"/>
              <w:bottom w:val="single" w:sz="4" w:space="0" w:color="auto"/>
              <w:right w:val="single" w:sz="4" w:space="0" w:color="auto"/>
            </w:tcBorders>
            <w:shd w:val="clear" w:color="000000" w:fill="FFFFFF"/>
            <w:noWrap/>
            <w:vAlign w:val="center"/>
            <w:hideMark/>
          </w:tcPr>
          <w:p w14:paraId="5FEF05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40,278,200</w:t>
            </w:r>
          </w:p>
        </w:tc>
        <w:tc>
          <w:tcPr>
            <w:tcW w:w="228" w:type="dxa"/>
            <w:tcBorders>
              <w:top w:val="nil"/>
              <w:left w:val="nil"/>
              <w:bottom w:val="single" w:sz="4" w:space="0" w:color="auto"/>
              <w:right w:val="single" w:sz="4" w:space="0" w:color="auto"/>
            </w:tcBorders>
            <w:shd w:val="clear" w:color="000000" w:fill="FFFFFF"/>
            <w:noWrap/>
            <w:vAlign w:val="center"/>
            <w:hideMark/>
          </w:tcPr>
          <w:p w14:paraId="5FEF05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05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40,278,200</w:t>
            </w:r>
          </w:p>
        </w:tc>
        <w:tc>
          <w:tcPr>
            <w:tcW w:w="345" w:type="dxa"/>
            <w:tcBorders>
              <w:top w:val="nil"/>
              <w:left w:val="nil"/>
              <w:bottom w:val="single" w:sz="4" w:space="0" w:color="auto"/>
              <w:right w:val="single" w:sz="4" w:space="0" w:color="auto"/>
            </w:tcBorders>
            <w:shd w:val="clear" w:color="000000" w:fill="FFFFFF"/>
            <w:vAlign w:val="center"/>
            <w:hideMark/>
          </w:tcPr>
          <w:p w14:paraId="5FEF05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120,834,600</w:t>
            </w:r>
          </w:p>
        </w:tc>
        <w:tc>
          <w:tcPr>
            <w:tcW w:w="228" w:type="dxa"/>
            <w:tcBorders>
              <w:top w:val="nil"/>
              <w:left w:val="nil"/>
              <w:bottom w:val="single" w:sz="4" w:space="0" w:color="auto"/>
              <w:right w:val="single" w:sz="4" w:space="0" w:color="auto"/>
            </w:tcBorders>
            <w:shd w:val="clear" w:color="000000" w:fill="FFFFFF"/>
            <w:vAlign w:val="center"/>
            <w:hideMark/>
          </w:tcPr>
          <w:p w14:paraId="5FEF05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120,834,600</w:t>
            </w:r>
          </w:p>
        </w:tc>
        <w:tc>
          <w:tcPr>
            <w:tcW w:w="345" w:type="dxa"/>
            <w:tcBorders>
              <w:top w:val="nil"/>
              <w:left w:val="nil"/>
              <w:bottom w:val="single" w:sz="4" w:space="0" w:color="auto"/>
              <w:right w:val="single" w:sz="4" w:space="0" w:color="auto"/>
            </w:tcBorders>
            <w:shd w:val="clear" w:color="000000" w:fill="FFFFFF"/>
            <w:vAlign w:val="center"/>
            <w:hideMark/>
          </w:tcPr>
          <w:p w14:paraId="5FEF05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120,834,600</w:t>
            </w:r>
          </w:p>
        </w:tc>
        <w:tc>
          <w:tcPr>
            <w:tcW w:w="228" w:type="dxa"/>
            <w:tcBorders>
              <w:top w:val="nil"/>
              <w:left w:val="nil"/>
              <w:bottom w:val="single" w:sz="4" w:space="0" w:color="auto"/>
              <w:right w:val="single" w:sz="4" w:space="0" w:color="auto"/>
            </w:tcBorders>
            <w:shd w:val="clear" w:color="000000" w:fill="FFFFFF"/>
            <w:vAlign w:val="center"/>
            <w:hideMark/>
          </w:tcPr>
          <w:p w14:paraId="5FEF05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120,834,600</w:t>
            </w:r>
          </w:p>
        </w:tc>
        <w:tc>
          <w:tcPr>
            <w:tcW w:w="218" w:type="dxa"/>
            <w:tcBorders>
              <w:top w:val="nil"/>
              <w:left w:val="nil"/>
              <w:bottom w:val="single" w:sz="4" w:space="0" w:color="auto"/>
              <w:right w:val="single" w:sz="4" w:space="0" w:color="auto"/>
            </w:tcBorders>
            <w:shd w:val="clear" w:color="000000" w:fill="FFFFFF"/>
            <w:vAlign w:val="center"/>
            <w:hideMark/>
          </w:tcPr>
          <w:p w14:paraId="5FEF05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5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5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5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5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57A"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55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5.2.3</w:t>
            </w:r>
          </w:p>
        </w:tc>
        <w:tc>
          <w:tcPr>
            <w:tcW w:w="814" w:type="dxa"/>
            <w:tcBorders>
              <w:top w:val="nil"/>
              <w:left w:val="nil"/>
              <w:bottom w:val="single" w:sz="4" w:space="0" w:color="auto"/>
              <w:right w:val="single" w:sz="4" w:space="0" w:color="auto"/>
            </w:tcBorders>
            <w:shd w:val="clear" w:color="auto" w:fill="auto"/>
            <w:vAlign w:val="center"/>
            <w:hideMark/>
          </w:tcPr>
          <w:p w14:paraId="5FEF0560"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xml:space="preserve">Ndërgjegjësim pro sjelljeve të shëndetshme dhe minimizimit të prirjes për të përdorur dhunën për zgjidhjen e çdo konflikti duke zhvilluar: </w:t>
            </w:r>
            <w:r w:rsidRPr="00795698">
              <w:rPr>
                <w:rFonts w:ascii="Arial" w:hAnsi="Arial" w:cs="Arial"/>
                <w:color w:val="000000"/>
                <w:sz w:val="6"/>
                <w:szCs w:val="6"/>
                <w:lang w:eastAsia="sq-AL"/>
              </w:rPr>
              <w:br/>
              <w:t>- sesione informuese me mësues dhe nxënës, zhvilluara nga përfaqësues të organizatës.</w:t>
            </w:r>
            <w:r w:rsidRPr="00795698">
              <w:rPr>
                <w:rFonts w:ascii="Arial" w:hAnsi="Arial" w:cs="Arial"/>
                <w:color w:val="000000"/>
                <w:sz w:val="6"/>
                <w:szCs w:val="6"/>
                <w:lang w:eastAsia="sq-AL"/>
              </w:rPr>
              <w:br/>
              <w:t>- seminare informimi dhe ndërgjegjësimi në klasa</w:t>
            </w:r>
          </w:p>
        </w:tc>
        <w:tc>
          <w:tcPr>
            <w:tcW w:w="350" w:type="dxa"/>
            <w:tcBorders>
              <w:top w:val="nil"/>
              <w:left w:val="nil"/>
              <w:bottom w:val="single" w:sz="4" w:space="0" w:color="auto"/>
              <w:right w:val="single" w:sz="4" w:space="0" w:color="auto"/>
            </w:tcBorders>
            <w:shd w:val="clear" w:color="auto" w:fill="auto"/>
            <w:vAlign w:val="center"/>
            <w:hideMark/>
          </w:tcPr>
          <w:p w14:paraId="5FEF0561" w14:textId="5F8E456A"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Programi Buxhetor Arsimi Bazë 09120</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91103AE</w:t>
            </w:r>
            <w:r w:rsidR="007C064A" w:rsidRPr="00795698">
              <w:rPr>
                <w:rFonts w:ascii="Arial" w:hAnsi="Arial" w:cs="Arial"/>
                <w:color w:val="000000"/>
                <w:sz w:val="6"/>
                <w:szCs w:val="6"/>
                <w:lang w:eastAsia="sq-AL"/>
              </w:rPr>
              <w:t xml:space="preserve">  </w:t>
            </w:r>
          </w:p>
        </w:tc>
        <w:tc>
          <w:tcPr>
            <w:tcW w:w="458" w:type="dxa"/>
            <w:tcBorders>
              <w:top w:val="nil"/>
              <w:left w:val="nil"/>
              <w:bottom w:val="single" w:sz="4" w:space="0" w:color="auto"/>
              <w:right w:val="single" w:sz="4" w:space="0" w:color="auto"/>
            </w:tcBorders>
            <w:shd w:val="clear" w:color="auto" w:fill="auto"/>
            <w:noWrap/>
            <w:vAlign w:val="center"/>
            <w:hideMark/>
          </w:tcPr>
          <w:p w14:paraId="5FEF05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1442" w:type="dxa"/>
            <w:tcBorders>
              <w:top w:val="nil"/>
              <w:left w:val="nil"/>
              <w:bottom w:val="single" w:sz="4" w:space="0" w:color="auto"/>
              <w:right w:val="single" w:sz="4" w:space="0" w:color="auto"/>
            </w:tcBorders>
            <w:shd w:val="clear" w:color="auto" w:fill="auto"/>
            <w:vAlign w:val="center"/>
            <w:hideMark/>
          </w:tcPr>
          <w:p w14:paraId="5FEF05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Institucionet Arsimore Parauniversitare/ QN/SHPS</w:t>
            </w:r>
          </w:p>
        </w:tc>
        <w:tc>
          <w:tcPr>
            <w:tcW w:w="201" w:type="dxa"/>
            <w:tcBorders>
              <w:top w:val="nil"/>
              <w:left w:val="nil"/>
              <w:bottom w:val="single" w:sz="4" w:space="0" w:color="auto"/>
              <w:right w:val="single" w:sz="4" w:space="0" w:color="auto"/>
            </w:tcBorders>
            <w:shd w:val="clear" w:color="auto" w:fill="auto"/>
            <w:vAlign w:val="center"/>
            <w:hideMark/>
          </w:tcPr>
          <w:p w14:paraId="5FEF05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565"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5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auto" w:fill="auto"/>
            <w:noWrap/>
            <w:vAlign w:val="center"/>
            <w:hideMark/>
          </w:tcPr>
          <w:p w14:paraId="5FEF05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auto" w:fill="auto"/>
            <w:noWrap/>
            <w:vAlign w:val="center"/>
            <w:hideMark/>
          </w:tcPr>
          <w:p w14:paraId="5FEF05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5FEF05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vAlign w:val="center"/>
            <w:hideMark/>
          </w:tcPr>
          <w:p w14:paraId="5FEF05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345" w:type="dxa"/>
            <w:tcBorders>
              <w:top w:val="nil"/>
              <w:left w:val="nil"/>
              <w:bottom w:val="single" w:sz="4" w:space="0" w:color="auto"/>
              <w:right w:val="single" w:sz="4" w:space="0" w:color="auto"/>
            </w:tcBorders>
            <w:shd w:val="clear" w:color="000000" w:fill="FFFFFF"/>
            <w:vAlign w:val="center"/>
            <w:hideMark/>
          </w:tcPr>
          <w:p w14:paraId="5FEF05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vAlign w:val="center"/>
            <w:hideMark/>
          </w:tcPr>
          <w:p w14:paraId="5FEF05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18" w:type="dxa"/>
            <w:tcBorders>
              <w:top w:val="nil"/>
              <w:left w:val="nil"/>
              <w:bottom w:val="single" w:sz="4" w:space="0" w:color="auto"/>
              <w:right w:val="single" w:sz="4" w:space="0" w:color="auto"/>
            </w:tcBorders>
            <w:shd w:val="clear" w:color="000000" w:fill="FFFFFF"/>
            <w:vAlign w:val="center"/>
            <w:hideMark/>
          </w:tcPr>
          <w:p w14:paraId="5FEF05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5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5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5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5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596"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5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5.2.4</w:t>
            </w:r>
          </w:p>
        </w:tc>
        <w:tc>
          <w:tcPr>
            <w:tcW w:w="814" w:type="dxa"/>
            <w:tcBorders>
              <w:top w:val="nil"/>
              <w:left w:val="nil"/>
              <w:bottom w:val="single" w:sz="4" w:space="0" w:color="auto"/>
              <w:right w:val="single" w:sz="4" w:space="0" w:color="auto"/>
            </w:tcBorders>
            <w:shd w:val="clear" w:color="auto" w:fill="auto"/>
            <w:vAlign w:val="bottom"/>
            <w:hideMark/>
          </w:tcPr>
          <w:p w14:paraId="5FEF057C"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Hartimi i broshurave informuese për prindërit mbi njohjen dhe menaxhimin e shenjave të ekstremizmit të dhunshëm.</w:t>
            </w:r>
          </w:p>
        </w:tc>
        <w:tc>
          <w:tcPr>
            <w:tcW w:w="350" w:type="dxa"/>
            <w:tcBorders>
              <w:top w:val="nil"/>
              <w:left w:val="nil"/>
              <w:bottom w:val="single" w:sz="4" w:space="0" w:color="auto"/>
              <w:right w:val="single" w:sz="4" w:space="0" w:color="auto"/>
            </w:tcBorders>
            <w:shd w:val="clear" w:color="auto" w:fill="auto"/>
            <w:vAlign w:val="center"/>
            <w:hideMark/>
          </w:tcPr>
          <w:p w14:paraId="5FEF057D" w14:textId="39EDAF30"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Programi Buxhetor Arsimi Bazë 09120</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91103AE</w:t>
            </w:r>
            <w:r w:rsidR="007C064A" w:rsidRPr="00795698">
              <w:rPr>
                <w:rFonts w:ascii="Arial" w:hAnsi="Arial" w:cs="Arial"/>
                <w:color w:val="000000"/>
                <w:sz w:val="6"/>
                <w:szCs w:val="6"/>
                <w:lang w:eastAsia="sq-AL"/>
              </w:rPr>
              <w:t xml:space="preserve">  </w:t>
            </w:r>
          </w:p>
        </w:tc>
        <w:tc>
          <w:tcPr>
            <w:tcW w:w="458" w:type="dxa"/>
            <w:tcBorders>
              <w:top w:val="nil"/>
              <w:left w:val="nil"/>
              <w:bottom w:val="single" w:sz="4" w:space="0" w:color="auto"/>
              <w:right w:val="single" w:sz="4" w:space="0" w:color="auto"/>
            </w:tcBorders>
            <w:shd w:val="clear" w:color="auto" w:fill="auto"/>
            <w:noWrap/>
            <w:vAlign w:val="center"/>
            <w:hideMark/>
          </w:tcPr>
          <w:p w14:paraId="5FEF05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1442" w:type="dxa"/>
            <w:tcBorders>
              <w:top w:val="nil"/>
              <w:left w:val="nil"/>
              <w:bottom w:val="single" w:sz="4" w:space="0" w:color="auto"/>
              <w:right w:val="single" w:sz="4" w:space="0" w:color="auto"/>
            </w:tcBorders>
            <w:shd w:val="clear" w:color="auto" w:fill="auto"/>
            <w:vAlign w:val="center"/>
            <w:hideMark/>
          </w:tcPr>
          <w:p w14:paraId="5FEF05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QN/SHPS</w:t>
            </w:r>
          </w:p>
        </w:tc>
        <w:tc>
          <w:tcPr>
            <w:tcW w:w="201" w:type="dxa"/>
            <w:tcBorders>
              <w:top w:val="nil"/>
              <w:left w:val="nil"/>
              <w:bottom w:val="single" w:sz="4" w:space="0" w:color="auto"/>
              <w:right w:val="single" w:sz="4" w:space="0" w:color="auto"/>
            </w:tcBorders>
            <w:shd w:val="clear" w:color="auto" w:fill="auto"/>
            <w:vAlign w:val="center"/>
            <w:hideMark/>
          </w:tcPr>
          <w:p w14:paraId="5FEF058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581"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5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228" w:type="dxa"/>
            <w:tcBorders>
              <w:top w:val="nil"/>
              <w:left w:val="nil"/>
              <w:bottom w:val="single" w:sz="4" w:space="0" w:color="auto"/>
              <w:right w:val="single" w:sz="4" w:space="0" w:color="auto"/>
            </w:tcBorders>
            <w:shd w:val="clear" w:color="auto" w:fill="auto"/>
            <w:noWrap/>
            <w:vAlign w:val="center"/>
            <w:hideMark/>
          </w:tcPr>
          <w:p w14:paraId="5FEF05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303" w:type="dxa"/>
            <w:tcBorders>
              <w:top w:val="nil"/>
              <w:left w:val="nil"/>
              <w:bottom w:val="single" w:sz="4" w:space="0" w:color="auto"/>
              <w:right w:val="single" w:sz="4" w:space="0" w:color="auto"/>
            </w:tcBorders>
            <w:shd w:val="clear" w:color="auto" w:fill="auto"/>
            <w:noWrap/>
            <w:vAlign w:val="center"/>
            <w:hideMark/>
          </w:tcPr>
          <w:p w14:paraId="5FEF05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228" w:type="dxa"/>
            <w:tcBorders>
              <w:top w:val="nil"/>
              <w:left w:val="nil"/>
              <w:bottom w:val="single" w:sz="4" w:space="0" w:color="auto"/>
              <w:right w:val="single" w:sz="4" w:space="0" w:color="auto"/>
            </w:tcBorders>
            <w:shd w:val="clear" w:color="auto" w:fill="auto"/>
            <w:noWrap/>
            <w:vAlign w:val="center"/>
            <w:hideMark/>
          </w:tcPr>
          <w:p w14:paraId="5FEF05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303" w:type="dxa"/>
            <w:tcBorders>
              <w:top w:val="nil"/>
              <w:left w:val="nil"/>
              <w:bottom w:val="single" w:sz="4" w:space="0" w:color="auto"/>
              <w:right w:val="single" w:sz="4" w:space="0" w:color="auto"/>
            </w:tcBorders>
            <w:shd w:val="clear" w:color="auto" w:fill="auto"/>
            <w:noWrap/>
            <w:vAlign w:val="center"/>
            <w:hideMark/>
          </w:tcPr>
          <w:p w14:paraId="5FEF05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228" w:type="dxa"/>
            <w:tcBorders>
              <w:top w:val="nil"/>
              <w:left w:val="nil"/>
              <w:bottom w:val="single" w:sz="4" w:space="0" w:color="auto"/>
              <w:right w:val="single" w:sz="4" w:space="0" w:color="auto"/>
            </w:tcBorders>
            <w:shd w:val="clear" w:color="auto" w:fill="auto"/>
            <w:noWrap/>
            <w:vAlign w:val="center"/>
            <w:hideMark/>
          </w:tcPr>
          <w:p w14:paraId="5FEF05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345" w:type="dxa"/>
            <w:tcBorders>
              <w:top w:val="nil"/>
              <w:left w:val="nil"/>
              <w:bottom w:val="single" w:sz="4" w:space="0" w:color="auto"/>
              <w:right w:val="single" w:sz="4" w:space="0" w:color="auto"/>
            </w:tcBorders>
            <w:shd w:val="clear" w:color="000000" w:fill="FFFFFF"/>
            <w:vAlign w:val="center"/>
            <w:hideMark/>
          </w:tcPr>
          <w:p w14:paraId="5FEF05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28" w:type="dxa"/>
            <w:tcBorders>
              <w:top w:val="nil"/>
              <w:left w:val="nil"/>
              <w:bottom w:val="single" w:sz="4" w:space="0" w:color="auto"/>
              <w:right w:val="single" w:sz="4" w:space="0" w:color="auto"/>
            </w:tcBorders>
            <w:shd w:val="clear" w:color="000000" w:fill="FFFFFF"/>
            <w:vAlign w:val="center"/>
            <w:hideMark/>
          </w:tcPr>
          <w:p w14:paraId="5FEF05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345" w:type="dxa"/>
            <w:tcBorders>
              <w:top w:val="nil"/>
              <w:left w:val="nil"/>
              <w:bottom w:val="single" w:sz="4" w:space="0" w:color="auto"/>
              <w:right w:val="single" w:sz="4" w:space="0" w:color="auto"/>
            </w:tcBorders>
            <w:shd w:val="clear" w:color="000000" w:fill="FFFFFF"/>
            <w:vAlign w:val="center"/>
            <w:hideMark/>
          </w:tcPr>
          <w:p w14:paraId="5FEF05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28" w:type="dxa"/>
            <w:tcBorders>
              <w:top w:val="nil"/>
              <w:left w:val="nil"/>
              <w:bottom w:val="single" w:sz="4" w:space="0" w:color="auto"/>
              <w:right w:val="single" w:sz="4" w:space="0" w:color="auto"/>
            </w:tcBorders>
            <w:shd w:val="clear" w:color="000000" w:fill="FFFFFF"/>
            <w:vAlign w:val="center"/>
            <w:hideMark/>
          </w:tcPr>
          <w:p w14:paraId="5FEF05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18" w:type="dxa"/>
            <w:tcBorders>
              <w:top w:val="nil"/>
              <w:left w:val="nil"/>
              <w:bottom w:val="single" w:sz="4" w:space="0" w:color="auto"/>
              <w:right w:val="single" w:sz="4" w:space="0" w:color="auto"/>
            </w:tcBorders>
            <w:shd w:val="clear" w:color="000000" w:fill="FFFFFF"/>
            <w:vAlign w:val="center"/>
            <w:hideMark/>
          </w:tcPr>
          <w:p w14:paraId="5FEF05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5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5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5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5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5B2"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59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5.2.5</w:t>
            </w:r>
          </w:p>
        </w:tc>
        <w:tc>
          <w:tcPr>
            <w:tcW w:w="814" w:type="dxa"/>
            <w:tcBorders>
              <w:top w:val="nil"/>
              <w:left w:val="nil"/>
              <w:bottom w:val="single" w:sz="4" w:space="0" w:color="auto"/>
              <w:right w:val="single" w:sz="4" w:space="0" w:color="auto"/>
            </w:tcBorders>
            <w:shd w:val="clear" w:color="auto" w:fill="auto"/>
            <w:vAlign w:val="center"/>
            <w:hideMark/>
          </w:tcPr>
          <w:p w14:paraId="5FEF0598" w14:textId="32FB4D69"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Zhvillimi i aktivitetit informues dhe ndërgjegjësues “Ditë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e hapur edukative dhe ndërgjegjësuese” me nxënës, mësues, prindër dhe përfaqësues të komunitetit</w:t>
            </w:r>
          </w:p>
        </w:tc>
        <w:tc>
          <w:tcPr>
            <w:tcW w:w="350" w:type="dxa"/>
            <w:tcBorders>
              <w:top w:val="nil"/>
              <w:left w:val="nil"/>
              <w:bottom w:val="single" w:sz="4" w:space="0" w:color="auto"/>
              <w:right w:val="single" w:sz="4" w:space="0" w:color="auto"/>
            </w:tcBorders>
            <w:shd w:val="clear" w:color="auto" w:fill="auto"/>
            <w:vAlign w:val="center"/>
            <w:hideMark/>
          </w:tcPr>
          <w:p w14:paraId="5FEF0599" w14:textId="2B378F15"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Programi Buxhetor Arsimi Bazë 09120</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91103AE</w:t>
            </w:r>
            <w:r w:rsidR="007C064A" w:rsidRPr="00795698">
              <w:rPr>
                <w:rFonts w:ascii="Arial" w:hAnsi="Arial" w:cs="Arial"/>
                <w:color w:val="000000"/>
                <w:sz w:val="6"/>
                <w:szCs w:val="6"/>
                <w:lang w:eastAsia="sq-AL"/>
              </w:rPr>
              <w:t xml:space="preserve">  </w:t>
            </w:r>
          </w:p>
        </w:tc>
        <w:tc>
          <w:tcPr>
            <w:tcW w:w="458" w:type="dxa"/>
            <w:tcBorders>
              <w:top w:val="nil"/>
              <w:left w:val="nil"/>
              <w:bottom w:val="single" w:sz="4" w:space="0" w:color="auto"/>
              <w:right w:val="single" w:sz="4" w:space="0" w:color="auto"/>
            </w:tcBorders>
            <w:shd w:val="clear" w:color="auto" w:fill="auto"/>
            <w:noWrap/>
            <w:vAlign w:val="center"/>
            <w:hideMark/>
          </w:tcPr>
          <w:p w14:paraId="5FEF05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1442" w:type="dxa"/>
            <w:tcBorders>
              <w:top w:val="nil"/>
              <w:left w:val="nil"/>
              <w:bottom w:val="single" w:sz="4" w:space="0" w:color="auto"/>
              <w:right w:val="single" w:sz="4" w:space="0" w:color="auto"/>
            </w:tcBorders>
            <w:shd w:val="clear" w:color="auto" w:fill="auto"/>
            <w:vAlign w:val="center"/>
            <w:hideMark/>
          </w:tcPr>
          <w:p w14:paraId="5FEF05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ZVAP/ QN/ Institucionet arsimore</w:t>
            </w:r>
          </w:p>
        </w:tc>
        <w:tc>
          <w:tcPr>
            <w:tcW w:w="201" w:type="dxa"/>
            <w:tcBorders>
              <w:top w:val="nil"/>
              <w:left w:val="nil"/>
              <w:bottom w:val="single" w:sz="4" w:space="0" w:color="auto"/>
              <w:right w:val="single" w:sz="4" w:space="0" w:color="auto"/>
            </w:tcBorders>
            <w:shd w:val="clear" w:color="auto" w:fill="auto"/>
            <w:vAlign w:val="center"/>
            <w:hideMark/>
          </w:tcPr>
          <w:p w14:paraId="5FEF059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59D"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5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auto" w:fill="auto"/>
            <w:noWrap/>
            <w:vAlign w:val="center"/>
            <w:hideMark/>
          </w:tcPr>
          <w:p w14:paraId="5FEF05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auto" w:fill="auto"/>
            <w:noWrap/>
            <w:vAlign w:val="center"/>
            <w:hideMark/>
          </w:tcPr>
          <w:p w14:paraId="5FEF05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5FEF05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vAlign w:val="center"/>
            <w:hideMark/>
          </w:tcPr>
          <w:p w14:paraId="5FEF05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345" w:type="dxa"/>
            <w:tcBorders>
              <w:top w:val="nil"/>
              <w:left w:val="nil"/>
              <w:bottom w:val="single" w:sz="4" w:space="0" w:color="auto"/>
              <w:right w:val="single" w:sz="4" w:space="0" w:color="auto"/>
            </w:tcBorders>
            <w:shd w:val="clear" w:color="000000" w:fill="FFFFFF"/>
            <w:vAlign w:val="center"/>
            <w:hideMark/>
          </w:tcPr>
          <w:p w14:paraId="5FEF05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vAlign w:val="center"/>
            <w:hideMark/>
          </w:tcPr>
          <w:p w14:paraId="5FEF05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18" w:type="dxa"/>
            <w:tcBorders>
              <w:top w:val="nil"/>
              <w:left w:val="nil"/>
              <w:bottom w:val="single" w:sz="4" w:space="0" w:color="auto"/>
              <w:right w:val="single" w:sz="4" w:space="0" w:color="auto"/>
            </w:tcBorders>
            <w:shd w:val="clear" w:color="000000" w:fill="FFFFFF"/>
            <w:vAlign w:val="center"/>
            <w:hideMark/>
          </w:tcPr>
          <w:p w14:paraId="5FEF05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5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5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5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5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5CE"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5B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5.2.6</w:t>
            </w:r>
          </w:p>
        </w:tc>
        <w:tc>
          <w:tcPr>
            <w:tcW w:w="814" w:type="dxa"/>
            <w:tcBorders>
              <w:top w:val="nil"/>
              <w:left w:val="nil"/>
              <w:bottom w:val="single" w:sz="4" w:space="0" w:color="auto"/>
              <w:right w:val="single" w:sz="4" w:space="0" w:color="auto"/>
            </w:tcBorders>
            <w:shd w:val="clear" w:color="auto" w:fill="auto"/>
            <w:vAlign w:val="bottom"/>
            <w:hideMark/>
          </w:tcPr>
          <w:p w14:paraId="5FEF05B4"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Zhvillimi i programit “Njohja me konceptin dhe praktikën e ndërmjetësimit dhe zgjidhjes së konflikteve”</w:t>
            </w:r>
          </w:p>
        </w:tc>
        <w:tc>
          <w:tcPr>
            <w:tcW w:w="350" w:type="dxa"/>
            <w:tcBorders>
              <w:top w:val="nil"/>
              <w:left w:val="nil"/>
              <w:bottom w:val="single" w:sz="4" w:space="0" w:color="auto"/>
              <w:right w:val="single" w:sz="4" w:space="0" w:color="auto"/>
            </w:tcBorders>
            <w:shd w:val="clear" w:color="auto" w:fill="auto"/>
            <w:vAlign w:val="center"/>
            <w:hideMark/>
          </w:tcPr>
          <w:p w14:paraId="5FEF05B5" w14:textId="25E0B236"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Programi Buxhetor Arsimi Bazë 09120</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91103AE</w:t>
            </w:r>
            <w:r w:rsidR="007C064A" w:rsidRPr="00795698">
              <w:rPr>
                <w:rFonts w:ascii="Arial" w:hAnsi="Arial" w:cs="Arial"/>
                <w:color w:val="000000"/>
                <w:sz w:val="6"/>
                <w:szCs w:val="6"/>
                <w:lang w:eastAsia="sq-AL"/>
              </w:rPr>
              <w:t xml:space="preserve">  </w:t>
            </w:r>
          </w:p>
        </w:tc>
        <w:tc>
          <w:tcPr>
            <w:tcW w:w="458" w:type="dxa"/>
            <w:tcBorders>
              <w:top w:val="nil"/>
              <w:left w:val="nil"/>
              <w:bottom w:val="single" w:sz="4" w:space="0" w:color="auto"/>
              <w:right w:val="single" w:sz="4" w:space="0" w:color="auto"/>
            </w:tcBorders>
            <w:shd w:val="clear" w:color="auto" w:fill="auto"/>
            <w:noWrap/>
            <w:vAlign w:val="center"/>
            <w:hideMark/>
          </w:tcPr>
          <w:p w14:paraId="5FEF05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1442" w:type="dxa"/>
            <w:tcBorders>
              <w:top w:val="nil"/>
              <w:left w:val="nil"/>
              <w:bottom w:val="single" w:sz="4" w:space="0" w:color="auto"/>
              <w:right w:val="single" w:sz="4" w:space="0" w:color="auto"/>
            </w:tcBorders>
            <w:shd w:val="clear" w:color="auto" w:fill="auto"/>
            <w:vAlign w:val="center"/>
            <w:hideMark/>
          </w:tcPr>
          <w:p w14:paraId="5FEF05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SHPS/QN</w:t>
            </w:r>
          </w:p>
        </w:tc>
        <w:tc>
          <w:tcPr>
            <w:tcW w:w="201" w:type="dxa"/>
            <w:tcBorders>
              <w:top w:val="nil"/>
              <w:left w:val="nil"/>
              <w:bottom w:val="single" w:sz="4" w:space="0" w:color="auto"/>
              <w:right w:val="single" w:sz="4" w:space="0" w:color="auto"/>
            </w:tcBorders>
            <w:shd w:val="clear" w:color="auto" w:fill="auto"/>
            <w:vAlign w:val="center"/>
            <w:hideMark/>
          </w:tcPr>
          <w:p w14:paraId="5FEF05B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5B9"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5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auto" w:fill="auto"/>
            <w:noWrap/>
            <w:vAlign w:val="center"/>
            <w:hideMark/>
          </w:tcPr>
          <w:p w14:paraId="5FEF05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auto" w:fill="auto"/>
            <w:noWrap/>
            <w:vAlign w:val="center"/>
            <w:hideMark/>
          </w:tcPr>
          <w:p w14:paraId="5FEF05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auto" w:fill="auto"/>
            <w:noWrap/>
            <w:vAlign w:val="center"/>
            <w:hideMark/>
          </w:tcPr>
          <w:p w14:paraId="5FEF05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5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5FEF05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vAlign w:val="center"/>
            <w:hideMark/>
          </w:tcPr>
          <w:p w14:paraId="5FEF05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345" w:type="dxa"/>
            <w:tcBorders>
              <w:top w:val="nil"/>
              <w:left w:val="nil"/>
              <w:bottom w:val="single" w:sz="4" w:space="0" w:color="auto"/>
              <w:right w:val="single" w:sz="4" w:space="0" w:color="auto"/>
            </w:tcBorders>
            <w:shd w:val="clear" w:color="000000" w:fill="FFFFFF"/>
            <w:vAlign w:val="center"/>
            <w:hideMark/>
          </w:tcPr>
          <w:p w14:paraId="5FEF05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28" w:type="dxa"/>
            <w:tcBorders>
              <w:top w:val="nil"/>
              <w:left w:val="nil"/>
              <w:bottom w:val="single" w:sz="4" w:space="0" w:color="auto"/>
              <w:right w:val="single" w:sz="4" w:space="0" w:color="auto"/>
            </w:tcBorders>
            <w:shd w:val="clear" w:color="000000" w:fill="FFFFFF"/>
            <w:vAlign w:val="center"/>
            <w:hideMark/>
          </w:tcPr>
          <w:p w14:paraId="5FEF05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5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w:t>
            </w:r>
          </w:p>
        </w:tc>
        <w:tc>
          <w:tcPr>
            <w:tcW w:w="218" w:type="dxa"/>
            <w:tcBorders>
              <w:top w:val="nil"/>
              <w:left w:val="nil"/>
              <w:bottom w:val="single" w:sz="4" w:space="0" w:color="auto"/>
              <w:right w:val="single" w:sz="4" w:space="0" w:color="auto"/>
            </w:tcBorders>
            <w:shd w:val="clear" w:color="000000" w:fill="FFFFFF"/>
            <w:vAlign w:val="center"/>
            <w:hideMark/>
          </w:tcPr>
          <w:p w14:paraId="5FEF05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5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5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5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5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5EA"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5C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5D0"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5.2</w:t>
            </w:r>
          </w:p>
        </w:tc>
        <w:tc>
          <w:tcPr>
            <w:tcW w:w="350" w:type="dxa"/>
            <w:tcBorders>
              <w:top w:val="nil"/>
              <w:left w:val="nil"/>
              <w:bottom w:val="single" w:sz="4" w:space="0" w:color="auto"/>
              <w:right w:val="single" w:sz="4" w:space="0" w:color="auto"/>
            </w:tcBorders>
            <w:shd w:val="clear" w:color="000000" w:fill="D9D9D9"/>
            <w:vAlign w:val="center"/>
            <w:hideMark/>
          </w:tcPr>
          <w:p w14:paraId="5FEF05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5D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5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5D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5D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5D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91,306,400</w:t>
            </w:r>
          </w:p>
        </w:tc>
        <w:tc>
          <w:tcPr>
            <w:tcW w:w="228" w:type="dxa"/>
            <w:tcBorders>
              <w:top w:val="nil"/>
              <w:left w:val="nil"/>
              <w:bottom w:val="single" w:sz="4" w:space="0" w:color="auto"/>
              <w:right w:val="single" w:sz="4" w:space="0" w:color="auto"/>
            </w:tcBorders>
            <w:shd w:val="clear" w:color="000000" w:fill="D9D9D9"/>
            <w:vAlign w:val="center"/>
            <w:hideMark/>
          </w:tcPr>
          <w:p w14:paraId="5FEF05D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5D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91,306,400</w:t>
            </w:r>
          </w:p>
        </w:tc>
        <w:tc>
          <w:tcPr>
            <w:tcW w:w="303" w:type="dxa"/>
            <w:tcBorders>
              <w:top w:val="nil"/>
              <w:left w:val="nil"/>
              <w:bottom w:val="single" w:sz="4" w:space="0" w:color="auto"/>
              <w:right w:val="single" w:sz="4" w:space="0" w:color="auto"/>
            </w:tcBorders>
            <w:shd w:val="clear" w:color="000000" w:fill="D9D9D9"/>
            <w:vAlign w:val="center"/>
            <w:hideMark/>
          </w:tcPr>
          <w:p w14:paraId="5FEF05D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91,306,400</w:t>
            </w:r>
          </w:p>
        </w:tc>
        <w:tc>
          <w:tcPr>
            <w:tcW w:w="228" w:type="dxa"/>
            <w:tcBorders>
              <w:top w:val="nil"/>
              <w:left w:val="nil"/>
              <w:bottom w:val="single" w:sz="4" w:space="0" w:color="auto"/>
              <w:right w:val="single" w:sz="4" w:space="0" w:color="auto"/>
            </w:tcBorders>
            <w:shd w:val="clear" w:color="000000" w:fill="D9D9D9"/>
            <w:vAlign w:val="center"/>
            <w:hideMark/>
          </w:tcPr>
          <w:p w14:paraId="5FEF05D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5D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91,306,400</w:t>
            </w:r>
          </w:p>
        </w:tc>
        <w:tc>
          <w:tcPr>
            <w:tcW w:w="303" w:type="dxa"/>
            <w:tcBorders>
              <w:top w:val="nil"/>
              <w:left w:val="nil"/>
              <w:bottom w:val="single" w:sz="4" w:space="0" w:color="auto"/>
              <w:right w:val="single" w:sz="4" w:space="0" w:color="auto"/>
            </w:tcBorders>
            <w:shd w:val="clear" w:color="000000" w:fill="D9D9D9"/>
            <w:vAlign w:val="center"/>
            <w:hideMark/>
          </w:tcPr>
          <w:p w14:paraId="5FEF05D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91,306,400</w:t>
            </w:r>
          </w:p>
        </w:tc>
        <w:tc>
          <w:tcPr>
            <w:tcW w:w="228" w:type="dxa"/>
            <w:tcBorders>
              <w:top w:val="nil"/>
              <w:left w:val="nil"/>
              <w:bottom w:val="single" w:sz="4" w:space="0" w:color="auto"/>
              <w:right w:val="single" w:sz="4" w:space="0" w:color="auto"/>
            </w:tcBorders>
            <w:shd w:val="clear" w:color="000000" w:fill="D9D9D9"/>
            <w:vAlign w:val="center"/>
            <w:hideMark/>
          </w:tcPr>
          <w:p w14:paraId="5FEF05D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5D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91,306,400</w:t>
            </w:r>
          </w:p>
        </w:tc>
        <w:tc>
          <w:tcPr>
            <w:tcW w:w="345" w:type="dxa"/>
            <w:tcBorders>
              <w:top w:val="nil"/>
              <w:left w:val="nil"/>
              <w:bottom w:val="single" w:sz="4" w:space="0" w:color="auto"/>
              <w:right w:val="single" w:sz="4" w:space="0" w:color="auto"/>
            </w:tcBorders>
            <w:shd w:val="clear" w:color="000000" w:fill="D9D9D9"/>
            <w:vAlign w:val="center"/>
            <w:hideMark/>
          </w:tcPr>
          <w:p w14:paraId="5FEF05D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273,919,200</w:t>
            </w:r>
          </w:p>
        </w:tc>
        <w:tc>
          <w:tcPr>
            <w:tcW w:w="228" w:type="dxa"/>
            <w:tcBorders>
              <w:top w:val="nil"/>
              <w:left w:val="nil"/>
              <w:bottom w:val="single" w:sz="4" w:space="0" w:color="auto"/>
              <w:right w:val="single" w:sz="4" w:space="0" w:color="auto"/>
            </w:tcBorders>
            <w:shd w:val="clear" w:color="000000" w:fill="D9D9D9"/>
            <w:vAlign w:val="center"/>
            <w:hideMark/>
          </w:tcPr>
          <w:p w14:paraId="5FEF05E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5E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273,919,200</w:t>
            </w:r>
          </w:p>
        </w:tc>
        <w:tc>
          <w:tcPr>
            <w:tcW w:w="345" w:type="dxa"/>
            <w:tcBorders>
              <w:top w:val="nil"/>
              <w:left w:val="nil"/>
              <w:bottom w:val="single" w:sz="4" w:space="0" w:color="auto"/>
              <w:right w:val="single" w:sz="4" w:space="0" w:color="auto"/>
            </w:tcBorders>
            <w:shd w:val="clear" w:color="000000" w:fill="D9D9D9"/>
            <w:vAlign w:val="center"/>
            <w:hideMark/>
          </w:tcPr>
          <w:p w14:paraId="5FEF05E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273,919,200</w:t>
            </w:r>
          </w:p>
        </w:tc>
        <w:tc>
          <w:tcPr>
            <w:tcW w:w="228" w:type="dxa"/>
            <w:tcBorders>
              <w:top w:val="nil"/>
              <w:left w:val="nil"/>
              <w:bottom w:val="single" w:sz="4" w:space="0" w:color="auto"/>
              <w:right w:val="single" w:sz="4" w:space="0" w:color="auto"/>
            </w:tcBorders>
            <w:shd w:val="clear" w:color="000000" w:fill="D9D9D9"/>
            <w:vAlign w:val="center"/>
            <w:hideMark/>
          </w:tcPr>
          <w:p w14:paraId="5FEF05E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5E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273,919,200</w:t>
            </w:r>
          </w:p>
        </w:tc>
        <w:tc>
          <w:tcPr>
            <w:tcW w:w="218" w:type="dxa"/>
            <w:tcBorders>
              <w:top w:val="nil"/>
              <w:left w:val="nil"/>
              <w:bottom w:val="single" w:sz="4" w:space="0" w:color="auto"/>
              <w:right w:val="single" w:sz="4" w:space="0" w:color="auto"/>
            </w:tcBorders>
            <w:shd w:val="clear" w:color="000000" w:fill="D9D9D9"/>
            <w:vAlign w:val="center"/>
            <w:hideMark/>
          </w:tcPr>
          <w:p w14:paraId="5FEF05E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5E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5E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5E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5E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606"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5E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5EC"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5</w:t>
            </w:r>
          </w:p>
        </w:tc>
        <w:tc>
          <w:tcPr>
            <w:tcW w:w="350" w:type="dxa"/>
            <w:tcBorders>
              <w:top w:val="nil"/>
              <w:left w:val="nil"/>
              <w:bottom w:val="single" w:sz="4" w:space="0" w:color="auto"/>
              <w:right w:val="single" w:sz="4" w:space="0" w:color="auto"/>
            </w:tcBorders>
            <w:shd w:val="clear" w:color="000000" w:fill="D9D9D9"/>
            <w:vAlign w:val="center"/>
            <w:hideMark/>
          </w:tcPr>
          <w:p w14:paraId="5FEF05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5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5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5F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5F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5F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141,584,600</w:t>
            </w:r>
          </w:p>
        </w:tc>
        <w:tc>
          <w:tcPr>
            <w:tcW w:w="228" w:type="dxa"/>
            <w:tcBorders>
              <w:top w:val="nil"/>
              <w:left w:val="nil"/>
              <w:bottom w:val="single" w:sz="4" w:space="0" w:color="auto"/>
              <w:right w:val="single" w:sz="4" w:space="0" w:color="auto"/>
            </w:tcBorders>
            <w:shd w:val="clear" w:color="000000" w:fill="D9D9D9"/>
            <w:vAlign w:val="center"/>
            <w:hideMark/>
          </w:tcPr>
          <w:p w14:paraId="5FEF05F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5F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141,584,600</w:t>
            </w:r>
          </w:p>
        </w:tc>
        <w:tc>
          <w:tcPr>
            <w:tcW w:w="303" w:type="dxa"/>
            <w:tcBorders>
              <w:top w:val="nil"/>
              <w:left w:val="nil"/>
              <w:bottom w:val="single" w:sz="4" w:space="0" w:color="auto"/>
              <w:right w:val="single" w:sz="4" w:space="0" w:color="auto"/>
            </w:tcBorders>
            <w:shd w:val="clear" w:color="000000" w:fill="D9D9D9"/>
            <w:vAlign w:val="center"/>
            <w:hideMark/>
          </w:tcPr>
          <w:p w14:paraId="5FEF05F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141,584,600</w:t>
            </w:r>
          </w:p>
        </w:tc>
        <w:tc>
          <w:tcPr>
            <w:tcW w:w="228" w:type="dxa"/>
            <w:tcBorders>
              <w:top w:val="nil"/>
              <w:left w:val="nil"/>
              <w:bottom w:val="single" w:sz="4" w:space="0" w:color="auto"/>
              <w:right w:val="single" w:sz="4" w:space="0" w:color="auto"/>
            </w:tcBorders>
            <w:shd w:val="clear" w:color="000000" w:fill="D9D9D9"/>
            <w:vAlign w:val="center"/>
            <w:hideMark/>
          </w:tcPr>
          <w:p w14:paraId="5FEF05F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5F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141,584,600</w:t>
            </w:r>
          </w:p>
        </w:tc>
        <w:tc>
          <w:tcPr>
            <w:tcW w:w="303" w:type="dxa"/>
            <w:tcBorders>
              <w:top w:val="nil"/>
              <w:left w:val="nil"/>
              <w:bottom w:val="single" w:sz="4" w:space="0" w:color="auto"/>
              <w:right w:val="single" w:sz="4" w:space="0" w:color="auto"/>
            </w:tcBorders>
            <w:shd w:val="clear" w:color="000000" w:fill="D9D9D9"/>
            <w:vAlign w:val="center"/>
            <w:hideMark/>
          </w:tcPr>
          <w:p w14:paraId="5FEF05F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141,584,600</w:t>
            </w:r>
          </w:p>
        </w:tc>
        <w:tc>
          <w:tcPr>
            <w:tcW w:w="228" w:type="dxa"/>
            <w:tcBorders>
              <w:top w:val="nil"/>
              <w:left w:val="nil"/>
              <w:bottom w:val="single" w:sz="4" w:space="0" w:color="auto"/>
              <w:right w:val="single" w:sz="4" w:space="0" w:color="auto"/>
            </w:tcBorders>
            <w:shd w:val="clear" w:color="000000" w:fill="D9D9D9"/>
            <w:vAlign w:val="center"/>
            <w:hideMark/>
          </w:tcPr>
          <w:p w14:paraId="5FEF05F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5F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141,584,600</w:t>
            </w:r>
          </w:p>
        </w:tc>
        <w:tc>
          <w:tcPr>
            <w:tcW w:w="345" w:type="dxa"/>
            <w:tcBorders>
              <w:top w:val="nil"/>
              <w:left w:val="nil"/>
              <w:bottom w:val="single" w:sz="4" w:space="0" w:color="auto"/>
              <w:right w:val="single" w:sz="4" w:space="0" w:color="auto"/>
            </w:tcBorders>
            <w:shd w:val="clear" w:color="000000" w:fill="D9D9D9"/>
            <w:vAlign w:val="center"/>
            <w:hideMark/>
          </w:tcPr>
          <w:p w14:paraId="5FEF05F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424,753,800</w:t>
            </w:r>
          </w:p>
        </w:tc>
        <w:tc>
          <w:tcPr>
            <w:tcW w:w="228" w:type="dxa"/>
            <w:tcBorders>
              <w:top w:val="nil"/>
              <w:left w:val="nil"/>
              <w:bottom w:val="single" w:sz="4" w:space="0" w:color="auto"/>
              <w:right w:val="single" w:sz="4" w:space="0" w:color="auto"/>
            </w:tcBorders>
            <w:shd w:val="clear" w:color="000000" w:fill="D9D9D9"/>
            <w:vAlign w:val="center"/>
            <w:hideMark/>
          </w:tcPr>
          <w:p w14:paraId="5FEF05F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5F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424,753,800</w:t>
            </w:r>
          </w:p>
        </w:tc>
        <w:tc>
          <w:tcPr>
            <w:tcW w:w="345" w:type="dxa"/>
            <w:tcBorders>
              <w:top w:val="nil"/>
              <w:left w:val="nil"/>
              <w:bottom w:val="single" w:sz="4" w:space="0" w:color="auto"/>
              <w:right w:val="single" w:sz="4" w:space="0" w:color="auto"/>
            </w:tcBorders>
            <w:shd w:val="clear" w:color="000000" w:fill="D9D9D9"/>
            <w:vAlign w:val="center"/>
            <w:hideMark/>
          </w:tcPr>
          <w:p w14:paraId="5FEF05F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424,753,800</w:t>
            </w:r>
          </w:p>
        </w:tc>
        <w:tc>
          <w:tcPr>
            <w:tcW w:w="228" w:type="dxa"/>
            <w:tcBorders>
              <w:top w:val="nil"/>
              <w:left w:val="nil"/>
              <w:bottom w:val="single" w:sz="4" w:space="0" w:color="auto"/>
              <w:right w:val="single" w:sz="4" w:space="0" w:color="auto"/>
            </w:tcBorders>
            <w:shd w:val="clear" w:color="000000" w:fill="D9D9D9"/>
            <w:vAlign w:val="center"/>
            <w:hideMark/>
          </w:tcPr>
          <w:p w14:paraId="5FEF05F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60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424,753,800</w:t>
            </w:r>
          </w:p>
        </w:tc>
        <w:tc>
          <w:tcPr>
            <w:tcW w:w="218" w:type="dxa"/>
            <w:tcBorders>
              <w:top w:val="nil"/>
              <w:left w:val="nil"/>
              <w:bottom w:val="single" w:sz="4" w:space="0" w:color="auto"/>
              <w:right w:val="single" w:sz="4" w:space="0" w:color="auto"/>
            </w:tcBorders>
            <w:shd w:val="clear" w:color="000000" w:fill="D9D9D9"/>
            <w:vAlign w:val="center"/>
            <w:hideMark/>
          </w:tcPr>
          <w:p w14:paraId="5FEF060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60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60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60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60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608"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607"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60A"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609" w14:textId="58493870"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lastRenderedPageBreak/>
              <w:t>I.1 QASJA HETIMORE: HETIMI I VEPRAVE TË TERRORIZMIT, ZBULIMI DHE GODITJA E</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TERRORISTËVE/GRUPEVE TERRORISTE DUKE ELEMINUAR KËRCËNIMET E TERRORIZMIT</w:t>
            </w:r>
          </w:p>
        </w:tc>
      </w:tr>
      <w:tr w:rsidR="00D845EC" w:rsidRPr="00795698" w14:paraId="5FEF060C"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60B"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6: HETIMI, ZBULIMI DHE GODITJA E VEPRAVE PENALE NË FUSHËN E TERRORIZMIT DHE FINANCIMIT TË TIJ</w:t>
            </w:r>
          </w:p>
        </w:tc>
      </w:tr>
      <w:tr w:rsidR="00D845EC" w:rsidRPr="00795698" w14:paraId="5FEF060E"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60D"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 Policia e Shtetit, Kodi i Programit 03140; Programi Buxhetor: Planifikim, Menaxhim dhe Administrim, Kodi i Progamit: 01110; Programi buxhetor: Veprimtaria e SPAK, Kodi i Programit 03390</w:t>
            </w:r>
          </w:p>
        </w:tc>
      </w:tr>
      <w:tr w:rsidR="00D845EC" w:rsidRPr="00795698" w14:paraId="5FEF061A" w14:textId="77777777" w:rsidTr="00D845EC">
        <w:trPr>
          <w:trHeight w:val="180"/>
        </w:trPr>
        <w:tc>
          <w:tcPr>
            <w:tcW w:w="164" w:type="dxa"/>
            <w:vMerge w:val="restart"/>
            <w:tcBorders>
              <w:top w:val="nil"/>
              <w:left w:val="single" w:sz="8" w:space="0" w:color="auto"/>
              <w:bottom w:val="single" w:sz="4" w:space="0" w:color="auto"/>
              <w:right w:val="single" w:sz="4" w:space="0" w:color="auto"/>
            </w:tcBorders>
            <w:shd w:val="clear" w:color="auto" w:fill="auto"/>
            <w:vAlign w:val="center"/>
            <w:hideMark/>
          </w:tcPr>
          <w:p w14:paraId="5FEF060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61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350" w:type="dxa"/>
            <w:tcBorders>
              <w:top w:val="nil"/>
              <w:left w:val="nil"/>
              <w:bottom w:val="single" w:sz="4" w:space="0" w:color="auto"/>
              <w:right w:val="single" w:sz="4" w:space="0" w:color="auto"/>
            </w:tcBorders>
            <w:shd w:val="clear" w:color="auto" w:fill="auto"/>
            <w:vAlign w:val="center"/>
            <w:hideMark/>
          </w:tcPr>
          <w:p w14:paraId="5FEF06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900" w:type="dxa"/>
            <w:gridSpan w:val="2"/>
            <w:tcBorders>
              <w:top w:val="single" w:sz="4" w:space="0" w:color="auto"/>
              <w:left w:val="nil"/>
              <w:bottom w:val="single" w:sz="4" w:space="0" w:color="auto"/>
              <w:right w:val="single" w:sz="4" w:space="0" w:color="auto"/>
            </w:tcBorders>
            <w:shd w:val="clear" w:color="auto" w:fill="auto"/>
            <w:vAlign w:val="center"/>
            <w:hideMark/>
          </w:tcPr>
          <w:p w14:paraId="5FEF061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55" w:type="dxa"/>
            <w:gridSpan w:val="2"/>
            <w:tcBorders>
              <w:top w:val="single" w:sz="4" w:space="0" w:color="auto"/>
              <w:left w:val="nil"/>
              <w:bottom w:val="single" w:sz="4" w:space="0" w:color="auto"/>
              <w:right w:val="single" w:sz="4" w:space="0" w:color="auto"/>
            </w:tcBorders>
            <w:shd w:val="clear" w:color="auto" w:fill="auto"/>
            <w:vAlign w:val="center"/>
            <w:hideMark/>
          </w:tcPr>
          <w:p w14:paraId="5FEF061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61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61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EF061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91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061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047" w:type="dxa"/>
            <w:gridSpan w:val="7"/>
            <w:tcBorders>
              <w:top w:val="single" w:sz="8" w:space="0" w:color="auto"/>
              <w:left w:val="nil"/>
              <w:bottom w:val="single" w:sz="8" w:space="0" w:color="auto"/>
              <w:right w:val="single" w:sz="8" w:space="0" w:color="000000"/>
            </w:tcBorders>
            <w:shd w:val="clear" w:color="auto" w:fill="auto"/>
            <w:vAlign w:val="center"/>
            <w:hideMark/>
          </w:tcPr>
          <w:p w14:paraId="5FEF061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40" w:type="dxa"/>
            <w:vMerge w:val="restart"/>
            <w:tcBorders>
              <w:top w:val="nil"/>
              <w:left w:val="single" w:sz="4" w:space="0" w:color="auto"/>
              <w:bottom w:val="single" w:sz="4" w:space="0" w:color="auto"/>
              <w:right w:val="single" w:sz="8" w:space="0" w:color="auto"/>
            </w:tcBorders>
            <w:shd w:val="clear" w:color="auto" w:fill="auto"/>
            <w:vAlign w:val="center"/>
            <w:hideMark/>
          </w:tcPr>
          <w:p w14:paraId="5FEF061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D845EC" w:rsidRPr="00795698" w14:paraId="5FEF0629"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61B"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61C" w14:textId="77777777" w:rsidR="00D845EC" w:rsidRPr="00795698" w:rsidRDefault="00D845EC" w:rsidP="00D845EC">
            <w:pPr>
              <w:rPr>
                <w:rFonts w:ascii="Arial" w:hAnsi="Arial" w:cs="Arial"/>
                <w:b/>
                <w:bCs/>
                <w:color w:val="000000"/>
                <w:sz w:val="6"/>
                <w:szCs w:val="6"/>
                <w:lang w:eastAsia="sq-AL"/>
              </w:rPr>
            </w:pPr>
          </w:p>
        </w:tc>
        <w:tc>
          <w:tcPr>
            <w:tcW w:w="350" w:type="dxa"/>
            <w:vMerge w:val="restart"/>
            <w:tcBorders>
              <w:top w:val="nil"/>
              <w:left w:val="single" w:sz="4" w:space="0" w:color="auto"/>
              <w:bottom w:val="single" w:sz="4" w:space="0" w:color="auto"/>
              <w:right w:val="single" w:sz="4" w:space="0" w:color="auto"/>
            </w:tcBorders>
            <w:shd w:val="clear" w:color="auto" w:fill="auto"/>
            <w:vAlign w:val="center"/>
            <w:hideMark/>
          </w:tcPr>
          <w:p w14:paraId="5FEF061D" w14:textId="05CDFBCD"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14:paraId="5FEF061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1442" w:type="dxa"/>
            <w:vMerge w:val="restart"/>
            <w:tcBorders>
              <w:top w:val="nil"/>
              <w:left w:val="single" w:sz="4" w:space="0" w:color="auto"/>
              <w:bottom w:val="single" w:sz="4" w:space="0" w:color="auto"/>
              <w:right w:val="single" w:sz="4" w:space="0" w:color="auto"/>
            </w:tcBorders>
            <w:shd w:val="clear" w:color="auto" w:fill="auto"/>
            <w:vAlign w:val="center"/>
            <w:hideMark/>
          </w:tcPr>
          <w:p w14:paraId="5FEF061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1" w:type="dxa"/>
            <w:vMerge w:val="restart"/>
            <w:tcBorders>
              <w:top w:val="nil"/>
              <w:left w:val="single" w:sz="4" w:space="0" w:color="auto"/>
              <w:bottom w:val="single" w:sz="4" w:space="0" w:color="auto"/>
              <w:right w:val="single" w:sz="4" w:space="0" w:color="auto"/>
            </w:tcBorders>
            <w:shd w:val="clear" w:color="auto" w:fill="auto"/>
            <w:vAlign w:val="center"/>
            <w:hideMark/>
          </w:tcPr>
          <w:p w14:paraId="5FEF062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54" w:type="dxa"/>
            <w:vMerge w:val="restart"/>
            <w:tcBorders>
              <w:top w:val="nil"/>
              <w:left w:val="single" w:sz="4" w:space="0" w:color="auto"/>
              <w:bottom w:val="single" w:sz="4" w:space="0" w:color="auto"/>
              <w:right w:val="single" w:sz="4" w:space="0" w:color="auto"/>
            </w:tcBorders>
            <w:shd w:val="clear" w:color="auto" w:fill="auto"/>
            <w:vAlign w:val="center"/>
            <w:hideMark/>
          </w:tcPr>
          <w:p w14:paraId="5FEF062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34" w:type="dxa"/>
            <w:gridSpan w:val="3"/>
            <w:vMerge/>
            <w:tcBorders>
              <w:top w:val="nil"/>
              <w:left w:val="single" w:sz="4" w:space="0" w:color="auto"/>
              <w:bottom w:val="single" w:sz="4" w:space="0" w:color="auto"/>
              <w:right w:val="single" w:sz="4" w:space="0" w:color="auto"/>
            </w:tcBorders>
            <w:vAlign w:val="center"/>
            <w:hideMark/>
          </w:tcPr>
          <w:p w14:paraId="5FEF0622"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623" w14:textId="77777777" w:rsidR="00D845EC" w:rsidRPr="00795698" w:rsidRDefault="00D845EC" w:rsidP="00D845EC">
            <w:pPr>
              <w:rPr>
                <w:rFonts w:ascii="Arial" w:hAnsi="Arial" w:cs="Arial"/>
                <w:b/>
                <w:bCs/>
                <w:color w:val="000000"/>
                <w:sz w:val="6"/>
                <w:szCs w:val="6"/>
                <w:lang w:eastAsia="sq-AL"/>
              </w:rPr>
            </w:pPr>
          </w:p>
        </w:tc>
        <w:tc>
          <w:tcPr>
            <w:tcW w:w="834" w:type="dxa"/>
            <w:gridSpan w:val="3"/>
            <w:vMerge/>
            <w:tcBorders>
              <w:top w:val="nil"/>
              <w:left w:val="single" w:sz="4" w:space="0" w:color="auto"/>
              <w:bottom w:val="single" w:sz="4" w:space="0" w:color="auto"/>
              <w:right w:val="single" w:sz="4" w:space="0" w:color="auto"/>
            </w:tcBorders>
            <w:vAlign w:val="center"/>
            <w:hideMark/>
          </w:tcPr>
          <w:p w14:paraId="5FEF0624" w14:textId="77777777" w:rsidR="00D845EC" w:rsidRPr="00795698" w:rsidRDefault="00D845EC" w:rsidP="00D845EC">
            <w:pPr>
              <w:rPr>
                <w:rFonts w:ascii="Arial" w:hAnsi="Arial" w:cs="Arial"/>
                <w:b/>
                <w:bCs/>
                <w:color w:val="000000"/>
                <w:sz w:val="6"/>
                <w:szCs w:val="6"/>
                <w:lang w:eastAsia="sq-AL"/>
              </w:rPr>
            </w:pPr>
          </w:p>
        </w:tc>
        <w:tc>
          <w:tcPr>
            <w:tcW w:w="918" w:type="dxa"/>
            <w:gridSpan w:val="3"/>
            <w:vMerge/>
            <w:tcBorders>
              <w:top w:val="nil"/>
              <w:left w:val="single" w:sz="4" w:space="0" w:color="auto"/>
              <w:bottom w:val="single" w:sz="4" w:space="0" w:color="auto"/>
              <w:right w:val="single" w:sz="4" w:space="0" w:color="auto"/>
            </w:tcBorders>
            <w:vAlign w:val="center"/>
            <w:hideMark/>
          </w:tcPr>
          <w:p w14:paraId="5FEF0625" w14:textId="77777777" w:rsidR="00D845EC" w:rsidRPr="00795698" w:rsidRDefault="00D845EC" w:rsidP="00D845EC">
            <w:pPr>
              <w:rPr>
                <w:rFonts w:ascii="Arial" w:hAnsi="Arial" w:cs="Arial"/>
                <w:b/>
                <w:bCs/>
                <w:color w:val="000000"/>
                <w:sz w:val="6"/>
                <w:szCs w:val="6"/>
                <w:lang w:eastAsia="sq-AL"/>
              </w:rPr>
            </w:pPr>
          </w:p>
        </w:tc>
        <w:tc>
          <w:tcPr>
            <w:tcW w:w="918" w:type="dxa"/>
            <w:gridSpan w:val="3"/>
            <w:tcBorders>
              <w:top w:val="single" w:sz="8" w:space="0" w:color="auto"/>
              <w:left w:val="nil"/>
              <w:bottom w:val="single" w:sz="8" w:space="0" w:color="auto"/>
              <w:right w:val="single" w:sz="8" w:space="0" w:color="000000"/>
            </w:tcBorders>
            <w:shd w:val="clear" w:color="auto" w:fill="auto"/>
            <w:vAlign w:val="center"/>
            <w:hideMark/>
          </w:tcPr>
          <w:p w14:paraId="5FEF0626" w14:textId="51CB2EFC"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129" w:type="dxa"/>
            <w:gridSpan w:val="4"/>
            <w:tcBorders>
              <w:top w:val="single" w:sz="8" w:space="0" w:color="auto"/>
              <w:left w:val="nil"/>
              <w:bottom w:val="single" w:sz="8" w:space="0" w:color="auto"/>
              <w:right w:val="single" w:sz="8" w:space="0" w:color="000000"/>
            </w:tcBorders>
            <w:shd w:val="clear" w:color="auto" w:fill="auto"/>
            <w:vAlign w:val="center"/>
            <w:hideMark/>
          </w:tcPr>
          <w:p w14:paraId="5FEF062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40" w:type="dxa"/>
            <w:vMerge/>
            <w:tcBorders>
              <w:top w:val="nil"/>
              <w:left w:val="single" w:sz="4" w:space="0" w:color="auto"/>
              <w:bottom w:val="single" w:sz="4" w:space="0" w:color="auto"/>
              <w:right w:val="single" w:sz="8" w:space="0" w:color="auto"/>
            </w:tcBorders>
            <w:vAlign w:val="center"/>
            <w:hideMark/>
          </w:tcPr>
          <w:p w14:paraId="5FEF0628" w14:textId="77777777" w:rsidR="00D845EC" w:rsidRPr="00795698" w:rsidRDefault="00D845EC" w:rsidP="00D845EC">
            <w:pPr>
              <w:rPr>
                <w:rFonts w:ascii="Arial" w:hAnsi="Arial" w:cs="Arial"/>
                <w:b/>
                <w:bCs/>
                <w:color w:val="000000"/>
                <w:sz w:val="6"/>
                <w:szCs w:val="6"/>
                <w:lang w:eastAsia="sq-AL"/>
              </w:rPr>
            </w:pPr>
          </w:p>
        </w:tc>
      </w:tr>
      <w:tr w:rsidR="00D845EC" w:rsidRPr="00795698" w14:paraId="5FEF0645" w14:textId="77777777" w:rsidTr="00D845EC">
        <w:trPr>
          <w:trHeight w:val="180"/>
        </w:trPr>
        <w:tc>
          <w:tcPr>
            <w:tcW w:w="164" w:type="dxa"/>
            <w:vMerge/>
            <w:tcBorders>
              <w:top w:val="nil"/>
              <w:left w:val="single" w:sz="8" w:space="0" w:color="auto"/>
              <w:bottom w:val="single" w:sz="4" w:space="0" w:color="auto"/>
              <w:right w:val="single" w:sz="4" w:space="0" w:color="auto"/>
            </w:tcBorders>
            <w:vAlign w:val="center"/>
            <w:hideMark/>
          </w:tcPr>
          <w:p w14:paraId="5FEF062A" w14:textId="77777777" w:rsidR="00D845EC" w:rsidRPr="00795698" w:rsidRDefault="00D845EC" w:rsidP="00D845EC">
            <w:pPr>
              <w:rPr>
                <w:rFonts w:ascii="Arial" w:hAnsi="Arial" w:cs="Arial"/>
                <w:b/>
                <w:bCs/>
                <w:color w:val="000000"/>
                <w:sz w:val="6"/>
                <w:szCs w:val="6"/>
                <w:lang w:eastAsia="sq-AL"/>
              </w:rPr>
            </w:pPr>
          </w:p>
        </w:tc>
        <w:tc>
          <w:tcPr>
            <w:tcW w:w="814" w:type="dxa"/>
            <w:vMerge/>
            <w:tcBorders>
              <w:top w:val="nil"/>
              <w:left w:val="single" w:sz="4" w:space="0" w:color="auto"/>
              <w:bottom w:val="single" w:sz="4" w:space="0" w:color="auto"/>
              <w:right w:val="single" w:sz="4" w:space="0" w:color="auto"/>
            </w:tcBorders>
            <w:vAlign w:val="center"/>
            <w:hideMark/>
          </w:tcPr>
          <w:p w14:paraId="5FEF062B" w14:textId="77777777" w:rsidR="00D845EC" w:rsidRPr="00795698" w:rsidRDefault="00D845EC" w:rsidP="00D845EC">
            <w:pPr>
              <w:rPr>
                <w:rFonts w:ascii="Arial" w:hAnsi="Arial" w:cs="Arial"/>
                <w:b/>
                <w:bCs/>
                <w:color w:val="000000"/>
                <w:sz w:val="6"/>
                <w:szCs w:val="6"/>
                <w:lang w:eastAsia="sq-AL"/>
              </w:rPr>
            </w:pPr>
          </w:p>
        </w:tc>
        <w:tc>
          <w:tcPr>
            <w:tcW w:w="350" w:type="dxa"/>
            <w:vMerge/>
            <w:tcBorders>
              <w:top w:val="nil"/>
              <w:left w:val="single" w:sz="4" w:space="0" w:color="auto"/>
              <w:bottom w:val="single" w:sz="4" w:space="0" w:color="auto"/>
              <w:right w:val="single" w:sz="4" w:space="0" w:color="auto"/>
            </w:tcBorders>
            <w:vAlign w:val="center"/>
            <w:hideMark/>
          </w:tcPr>
          <w:p w14:paraId="5FEF062C" w14:textId="77777777" w:rsidR="00D845EC" w:rsidRPr="00795698" w:rsidRDefault="00D845EC" w:rsidP="00D845EC">
            <w:pPr>
              <w:rPr>
                <w:rFonts w:ascii="Arial" w:hAnsi="Arial" w:cs="Arial"/>
                <w:color w:val="000000"/>
                <w:sz w:val="6"/>
                <w:szCs w:val="6"/>
                <w:lang w:eastAsia="sq-AL"/>
              </w:rPr>
            </w:pPr>
          </w:p>
        </w:tc>
        <w:tc>
          <w:tcPr>
            <w:tcW w:w="458" w:type="dxa"/>
            <w:vMerge/>
            <w:tcBorders>
              <w:top w:val="nil"/>
              <w:left w:val="single" w:sz="4" w:space="0" w:color="auto"/>
              <w:bottom w:val="single" w:sz="4" w:space="0" w:color="auto"/>
              <w:right w:val="single" w:sz="4" w:space="0" w:color="auto"/>
            </w:tcBorders>
            <w:vAlign w:val="center"/>
            <w:hideMark/>
          </w:tcPr>
          <w:p w14:paraId="5FEF062D" w14:textId="77777777" w:rsidR="00D845EC" w:rsidRPr="00795698" w:rsidRDefault="00D845EC" w:rsidP="00D845EC">
            <w:pPr>
              <w:rPr>
                <w:rFonts w:ascii="Arial" w:hAnsi="Arial" w:cs="Arial"/>
                <w:b/>
                <w:bCs/>
                <w:color w:val="000000"/>
                <w:sz w:val="6"/>
                <w:szCs w:val="6"/>
                <w:lang w:eastAsia="sq-AL"/>
              </w:rPr>
            </w:pPr>
          </w:p>
        </w:tc>
        <w:tc>
          <w:tcPr>
            <w:tcW w:w="1442" w:type="dxa"/>
            <w:vMerge/>
            <w:tcBorders>
              <w:top w:val="nil"/>
              <w:left w:val="single" w:sz="4" w:space="0" w:color="auto"/>
              <w:bottom w:val="single" w:sz="4" w:space="0" w:color="auto"/>
              <w:right w:val="single" w:sz="4" w:space="0" w:color="auto"/>
            </w:tcBorders>
            <w:vAlign w:val="center"/>
            <w:hideMark/>
          </w:tcPr>
          <w:p w14:paraId="5FEF062E" w14:textId="77777777" w:rsidR="00D845EC" w:rsidRPr="00795698" w:rsidRDefault="00D845EC" w:rsidP="00D845EC">
            <w:pPr>
              <w:rPr>
                <w:rFonts w:ascii="Arial" w:hAnsi="Arial" w:cs="Arial"/>
                <w:b/>
                <w:bCs/>
                <w:color w:val="000000"/>
                <w:sz w:val="6"/>
                <w:szCs w:val="6"/>
                <w:lang w:eastAsia="sq-AL"/>
              </w:rPr>
            </w:pPr>
          </w:p>
        </w:tc>
        <w:tc>
          <w:tcPr>
            <w:tcW w:w="201" w:type="dxa"/>
            <w:vMerge/>
            <w:tcBorders>
              <w:top w:val="nil"/>
              <w:left w:val="single" w:sz="4" w:space="0" w:color="auto"/>
              <w:bottom w:val="single" w:sz="4" w:space="0" w:color="auto"/>
              <w:right w:val="single" w:sz="4" w:space="0" w:color="auto"/>
            </w:tcBorders>
            <w:vAlign w:val="center"/>
            <w:hideMark/>
          </w:tcPr>
          <w:p w14:paraId="5FEF062F" w14:textId="77777777" w:rsidR="00D845EC" w:rsidRPr="00795698" w:rsidRDefault="00D845EC" w:rsidP="00D845EC">
            <w:pPr>
              <w:rPr>
                <w:rFonts w:ascii="Arial" w:hAnsi="Arial" w:cs="Arial"/>
                <w:b/>
                <w:bCs/>
                <w:color w:val="000000"/>
                <w:sz w:val="6"/>
                <w:szCs w:val="6"/>
                <w:lang w:eastAsia="sq-AL"/>
              </w:rPr>
            </w:pPr>
          </w:p>
        </w:tc>
        <w:tc>
          <w:tcPr>
            <w:tcW w:w="254" w:type="dxa"/>
            <w:vMerge/>
            <w:tcBorders>
              <w:top w:val="nil"/>
              <w:left w:val="single" w:sz="4" w:space="0" w:color="auto"/>
              <w:bottom w:val="single" w:sz="4" w:space="0" w:color="auto"/>
              <w:right w:val="single" w:sz="4" w:space="0" w:color="auto"/>
            </w:tcBorders>
            <w:vAlign w:val="center"/>
            <w:hideMark/>
          </w:tcPr>
          <w:p w14:paraId="5FEF0630" w14:textId="77777777" w:rsidR="00D845EC" w:rsidRPr="00795698" w:rsidRDefault="00D845EC" w:rsidP="00D845EC">
            <w:pPr>
              <w:rPr>
                <w:rFonts w:ascii="Arial" w:hAnsi="Arial" w:cs="Arial"/>
                <w:b/>
                <w:bCs/>
                <w:color w:val="000000"/>
                <w:sz w:val="6"/>
                <w:szCs w:val="6"/>
                <w:lang w:eastAsia="sq-AL"/>
              </w:rPr>
            </w:pPr>
          </w:p>
        </w:tc>
        <w:tc>
          <w:tcPr>
            <w:tcW w:w="303" w:type="dxa"/>
            <w:tcBorders>
              <w:top w:val="nil"/>
              <w:left w:val="nil"/>
              <w:bottom w:val="single" w:sz="4" w:space="0" w:color="auto"/>
              <w:right w:val="single" w:sz="4" w:space="0" w:color="auto"/>
            </w:tcBorders>
            <w:shd w:val="clear" w:color="auto" w:fill="auto"/>
            <w:vAlign w:val="center"/>
            <w:hideMark/>
          </w:tcPr>
          <w:p w14:paraId="5FEF063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63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63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63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63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63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3" w:type="dxa"/>
            <w:tcBorders>
              <w:top w:val="nil"/>
              <w:left w:val="nil"/>
              <w:bottom w:val="single" w:sz="4" w:space="0" w:color="auto"/>
              <w:right w:val="single" w:sz="4" w:space="0" w:color="auto"/>
            </w:tcBorders>
            <w:shd w:val="clear" w:color="auto" w:fill="auto"/>
            <w:vAlign w:val="center"/>
            <w:hideMark/>
          </w:tcPr>
          <w:p w14:paraId="5FEF063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4" w:space="0" w:color="auto"/>
              <w:right w:val="single" w:sz="4" w:space="0" w:color="auto"/>
            </w:tcBorders>
            <w:shd w:val="clear" w:color="auto" w:fill="auto"/>
            <w:vAlign w:val="center"/>
            <w:hideMark/>
          </w:tcPr>
          <w:p w14:paraId="5FEF063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3" w:type="dxa"/>
            <w:tcBorders>
              <w:top w:val="nil"/>
              <w:left w:val="nil"/>
              <w:bottom w:val="single" w:sz="4" w:space="0" w:color="auto"/>
              <w:right w:val="single" w:sz="4" w:space="0" w:color="auto"/>
            </w:tcBorders>
            <w:shd w:val="clear" w:color="auto" w:fill="auto"/>
            <w:vAlign w:val="center"/>
            <w:hideMark/>
          </w:tcPr>
          <w:p w14:paraId="5FEF063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single" w:sz="8" w:space="0" w:color="auto"/>
              <w:bottom w:val="single" w:sz="8" w:space="0" w:color="auto"/>
              <w:right w:val="nil"/>
            </w:tcBorders>
            <w:shd w:val="clear" w:color="auto" w:fill="auto"/>
            <w:vAlign w:val="center"/>
            <w:hideMark/>
          </w:tcPr>
          <w:p w14:paraId="5FEF063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63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63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45" w:type="dxa"/>
            <w:tcBorders>
              <w:top w:val="nil"/>
              <w:left w:val="nil"/>
              <w:bottom w:val="single" w:sz="8" w:space="0" w:color="auto"/>
              <w:right w:val="nil"/>
            </w:tcBorders>
            <w:shd w:val="clear" w:color="auto" w:fill="auto"/>
            <w:vAlign w:val="center"/>
            <w:hideMark/>
          </w:tcPr>
          <w:p w14:paraId="5FEF063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nil"/>
              <w:bottom w:val="single" w:sz="8" w:space="0" w:color="auto"/>
              <w:right w:val="nil"/>
            </w:tcBorders>
            <w:shd w:val="clear" w:color="auto" w:fill="auto"/>
            <w:vAlign w:val="center"/>
            <w:hideMark/>
          </w:tcPr>
          <w:p w14:paraId="5FEF063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FEF063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218" w:type="dxa"/>
            <w:tcBorders>
              <w:top w:val="nil"/>
              <w:left w:val="nil"/>
              <w:bottom w:val="single" w:sz="8" w:space="0" w:color="auto"/>
              <w:right w:val="nil"/>
            </w:tcBorders>
            <w:shd w:val="clear" w:color="auto" w:fill="auto"/>
            <w:vAlign w:val="center"/>
            <w:hideMark/>
          </w:tcPr>
          <w:p w14:paraId="5FEF064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28" w:type="dxa"/>
            <w:tcBorders>
              <w:top w:val="nil"/>
              <w:left w:val="single" w:sz="8" w:space="0" w:color="auto"/>
              <w:bottom w:val="single" w:sz="8" w:space="0" w:color="auto"/>
              <w:right w:val="single" w:sz="8" w:space="0" w:color="auto"/>
            </w:tcBorders>
            <w:shd w:val="clear" w:color="auto" w:fill="auto"/>
            <w:vAlign w:val="center"/>
            <w:hideMark/>
          </w:tcPr>
          <w:p w14:paraId="5FEF064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34" w:type="dxa"/>
            <w:tcBorders>
              <w:top w:val="nil"/>
              <w:left w:val="nil"/>
              <w:bottom w:val="single" w:sz="8" w:space="0" w:color="auto"/>
              <w:right w:val="single" w:sz="8" w:space="0" w:color="auto"/>
            </w:tcBorders>
            <w:shd w:val="clear" w:color="auto" w:fill="auto"/>
            <w:vAlign w:val="center"/>
            <w:hideMark/>
          </w:tcPr>
          <w:p w14:paraId="5FEF064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49" w:type="dxa"/>
            <w:tcBorders>
              <w:top w:val="nil"/>
              <w:left w:val="nil"/>
              <w:bottom w:val="single" w:sz="8" w:space="0" w:color="auto"/>
              <w:right w:val="single" w:sz="8" w:space="0" w:color="auto"/>
            </w:tcBorders>
            <w:shd w:val="clear" w:color="auto" w:fill="auto"/>
            <w:vAlign w:val="center"/>
            <w:hideMark/>
          </w:tcPr>
          <w:p w14:paraId="5FEF064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40" w:type="dxa"/>
            <w:tcBorders>
              <w:top w:val="nil"/>
              <w:left w:val="single" w:sz="4" w:space="0" w:color="auto"/>
              <w:bottom w:val="single" w:sz="4" w:space="0" w:color="auto"/>
              <w:right w:val="single" w:sz="8" w:space="0" w:color="auto"/>
            </w:tcBorders>
            <w:shd w:val="clear" w:color="auto" w:fill="auto"/>
            <w:vAlign w:val="center"/>
            <w:hideMark/>
          </w:tcPr>
          <w:p w14:paraId="5FEF064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D845EC" w:rsidRPr="00795698" w14:paraId="5FEF066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64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w:t>
            </w:r>
          </w:p>
        </w:tc>
        <w:tc>
          <w:tcPr>
            <w:tcW w:w="814" w:type="dxa"/>
            <w:tcBorders>
              <w:top w:val="nil"/>
              <w:left w:val="nil"/>
              <w:bottom w:val="single" w:sz="4" w:space="0" w:color="auto"/>
              <w:right w:val="single" w:sz="4" w:space="0" w:color="auto"/>
            </w:tcBorders>
            <w:shd w:val="clear" w:color="auto" w:fill="auto"/>
            <w:vAlign w:val="center"/>
            <w:hideMark/>
          </w:tcPr>
          <w:p w14:paraId="5FEF0647"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HETIMI I FINACIMIT TË TERRORIZMIT DHE BURIMEVE TË TIJ</w:t>
            </w:r>
          </w:p>
        </w:tc>
        <w:tc>
          <w:tcPr>
            <w:tcW w:w="350" w:type="dxa"/>
            <w:tcBorders>
              <w:top w:val="nil"/>
              <w:left w:val="nil"/>
              <w:bottom w:val="single" w:sz="4" w:space="0" w:color="auto"/>
              <w:right w:val="single" w:sz="4" w:space="0" w:color="auto"/>
            </w:tcBorders>
            <w:shd w:val="clear" w:color="auto" w:fill="auto"/>
            <w:vAlign w:val="center"/>
            <w:hideMark/>
          </w:tcPr>
          <w:p w14:paraId="5FEF06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6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6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6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6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6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6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6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6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6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single" w:sz="4" w:space="0" w:color="auto"/>
              <w:left w:val="nil"/>
              <w:bottom w:val="single" w:sz="4" w:space="0" w:color="auto"/>
              <w:right w:val="single" w:sz="4" w:space="0" w:color="auto"/>
            </w:tcBorders>
            <w:shd w:val="clear" w:color="auto" w:fill="auto"/>
            <w:noWrap/>
            <w:vAlign w:val="center"/>
            <w:hideMark/>
          </w:tcPr>
          <w:p w14:paraId="5FEF06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single" w:sz="4" w:space="0" w:color="auto"/>
              <w:left w:val="nil"/>
              <w:bottom w:val="single" w:sz="4" w:space="0" w:color="auto"/>
              <w:right w:val="single" w:sz="4" w:space="0" w:color="auto"/>
            </w:tcBorders>
            <w:shd w:val="clear" w:color="auto" w:fill="auto"/>
            <w:noWrap/>
            <w:vAlign w:val="center"/>
            <w:hideMark/>
          </w:tcPr>
          <w:p w14:paraId="5FEF06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single" w:sz="4" w:space="0" w:color="auto"/>
              <w:left w:val="nil"/>
              <w:bottom w:val="single" w:sz="4" w:space="0" w:color="auto"/>
              <w:right w:val="single" w:sz="4" w:space="0" w:color="auto"/>
            </w:tcBorders>
            <w:shd w:val="clear" w:color="auto" w:fill="auto"/>
            <w:noWrap/>
            <w:vAlign w:val="center"/>
            <w:hideMark/>
          </w:tcPr>
          <w:p w14:paraId="5FEF06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14:paraId="5FEF06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single" w:sz="4" w:space="0" w:color="auto"/>
              <w:left w:val="nil"/>
              <w:bottom w:val="single" w:sz="4" w:space="0" w:color="auto"/>
              <w:right w:val="single" w:sz="4" w:space="0" w:color="auto"/>
            </w:tcBorders>
            <w:shd w:val="clear" w:color="auto" w:fill="auto"/>
            <w:noWrap/>
            <w:vAlign w:val="center"/>
            <w:hideMark/>
          </w:tcPr>
          <w:p w14:paraId="5FEF06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6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67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66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66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6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6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6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6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6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6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6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6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6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6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6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6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67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67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6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69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67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6.1.1</w:t>
            </w:r>
          </w:p>
        </w:tc>
        <w:tc>
          <w:tcPr>
            <w:tcW w:w="814" w:type="dxa"/>
            <w:tcBorders>
              <w:top w:val="nil"/>
              <w:left w:val="nil"/>
              <w:bottom w:val="single" w:sz="4" w:space="0" w:color="auto"/>
              <w:right w:val="single" w:sz="4" w:space="0" w:color="auto"/>
            </w:tcBorders>
            <w:shd w:val="clear" w:color="000000" w:fill="FFFFFF"/>
            <w:vAlign w:val="bottom"/>
            <w:hideMark/>
          </w:tcPr>
          <w:p w14:paraId="5FEF067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Përgatitja dhe përqasja e legjislacionit sipas standardeve të BE, në lidhje me luftën kundër terrorizmit dhe ekstremizmit të dhunshëm bazuar në mangësitë e konstatuara nga analizimi në kuadër të kapitullit 24 dhe 31</w:t>
            </w:r>
          </w:p>
        </w:tc>
        <w:tc>
          <w:tcPr>
            <w:tcW w:w="350" w:type="dxa"/>
            <w:tcBorders>
              <w:top w:val="nil"/>
              <w:left w:val="nil"/>
              <w:bottom w:val="single" w:sz="4" w:space="0" w:color="auto"/>
              <w:right w:val="single" w:sz="4" w:space="0" w:color="auto"/>
            </w:tcBorders>
            <w:shd w:val="clear" w:color="000000" w:fill="FFFFFF"/>
            <w:vAlign w:val="center"/>
            <w:hideMark/>
          </w:tcPr>
          <w:p w14:paraId="5FEF06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000000" w:fill="FFFFFF"/>
            <w:vAlign w:val="center"/>
            <w:hideMark/>
          </w:tcPr>
          <w:p w14:paraId="5FEF06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w:t>
            </w:r>
            <w:r w:rsidRPr="00795698">
              <w:rPr>
                <w:rFonts w:ascii="Arial" w:hAnsi="Arial" w:cs="Arial"/>
                <w:color w:val="000000"/>
                <w:sz w:val="6"/>
                <w:szCs w:val="6"/>
                <w:lang w:eastAsia="sq-AL"/>
              </w:rPr>
              <w:br/>
              <w:t>DAT</w:t>
            </w:r>
          </w:p>
        </w:tc>
        <w:tc>
          <w:tcPr>
            <w:tcW w:w="1442" w:type="dxa"/>
            <w:tcBorders>
              <w:top w:val="nil"/>
              <w:left w:val="nil"/>
              <w:bottom w:val="single" w:sz="4" w:space="0" w:color="auto"/>
              <w:right w:val="single" w:sz="4" w:space="0" w:color="auto"/>
            </w:tcBorders>
            <w:shd w:val="clear" w:color="000000" w:fill="FFFFFF"/>
            <w:noWrap/>
            <w:vAlign w:val="center"/>
            <w:hideMark/>
          </w:tcPr>
          <w:p w14:paraId="5FEF06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MD/MFE</w:t>
            </w:r>
          </w:p>
        </w:tc>
        <w:tc>
          <w:tcPr>
            <w:tcW w:w="201" w:type="dxa"/>
            <w:tcBorders>
              <w:top w:val="nil"/>
              <w:left w:val="nil"/>
              <w:bottom w:val="single" w:sz="4" w:space="0" w:color="auto"/>
              <w:right w:val="single" w:sz="4" w:space="0" w:color="auto"/>
            </w:tcBorders>
            <w:shd w:val="clear" w:color="auto" w:fill="auto"/>
            <w:vAlign w:val="center"/>
            <w:hideMark/>
          </w:tcPr>
          <w:p w14:paraId="5FEF068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68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6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228" w:type="dxa"/>
            <w:tcBorders>
              <w:top w:val="nil"/>
              <w:left w:val="nil"/>
              <w:bottom w:val="single" w:sz="4" w:space="0" w:color="auto"/>
              <w:right w:val="single" w:sz="4" w:space="0" w:color="auto"/>
            </w:tcBorders>
            <w:shd w:val="clear" w:color="000000" w:fill="FFFFFF"/>
            <w:vAlign w:val="center"/>
            <w:hideMark/>
          </w:tcPr>
          <w:p w14:paraId="5FEF06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6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303" w:type="dxa"/>
            <w:tcBorders>
              <w:top w:val="nil"/>
              <w:left w:val="nil"/>
              <w:bottom w:val="single" w:sz="4" w:space="0" w:color="auto"/>
              <w:right w:val="single" w:sz="4" w:space="0" w:color="auto"/>
            </w:tcBorders>
            <w:shd w:val="clear" w:color="000000" w:fill="FFFFFF"/>
            <w:vAlign w:val="center"/>
            <w:hideMark/>
          </w:tcPr>
          <w:p w14:paraId="5FEF06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228" w:type="dxa"/>
            <w:tcBorders>
              <w:top w:val="nil"/>
              <w:left w:val="nil"/>
              <w:bottom w:val="single" w:sz="4" w:space="0" w:color="auto"/>
              <w:right w:val="single" w:sz="4" w:space="0" w:color="auto"/>
            </w:tcBorders>
            <w:shd w:val="clear" w:color="000000" w:fill="FFFFFF"/>
            <w:vAlign w:val="center"/>
            <w:hideMark/>
          </w:tcPr>
          <w:p w14:paraId="5FEF06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6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303" w:type="dxa"/>
            <w:tcBorders>
              <w:top w:val="nil"/>
              <w:left w:val="nil"/>
              <w:bottom w:val="single" w:sz="4" w:space="0" w:color="auto"/>
              <w:right w:val="single" w:sz="4" w:space="0" w:color="auto"/>
            </w:tcBorders>
            <w:shd w:val="clear" w:color="000000" w:fill="FFFFFF"/>
            <w:vAlign w:val="center"/>
            <w:hideMark/>
          </w:tcPr>
          <w:p w14:paraId="5FEF06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228" w:type="dxa"/>
            <w:tcBorders>
              <w:top w:val="nil"/>
              <w:left w:val="nil"/>
              <w:bottom w:val="single" w:sz="4" w:space="0" w:color="auto"/>
              <w:right w:val="single" w:sz="4" w:space="0" w:color="auto"/>
            </w:tcBorders>
            <w:shd w:val="clear" w:color="000000" w:fill="FFFFFF"/>
            <w:vAlign w:val="center"/>
            <w:hideMark/>
          </w:tcPr>
          <w:p w14:paraId="5FEF06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6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345" w:type="dxa"/>
            <w:tcBorders>
              <w:top w:val="nil"/>
              <w:left w:val="nil"/>
              <w:bottom w:val="single" w:sz="4" w:space="0" w:color="auto"/>
              <w:right w:val="single" w:sz="4" w:space="0" w:color="auto"/>
            </w:tcBorders>
            <w:shd w:val="clear" w:color="000000" w:fill="FFFFFF"/>
            <w:vAlign w:val="center"/>
            <w:hideMark/>
          </w:tcPr>
          <w:p w14:paraId="5FEF06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F06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5FEF06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F06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18" w:type="dxa"/>
            <w:tcBorders>
              <w:top w:val="nil"/>
              <w:left w:val="nil"/>
              <w:bottom w:val="single" w:sz="4" w:space="0" w:color="auto"/>
              <w:right w:val="single" w:sz="4" w:space="0" w:color="auto"/>
            </w:tcBorders>
            <w:shd w:val="clear" w:color="000000" w:fill="FFFFFF"/>
            <w:vAlign w:val="center"/>
            <w:hideMark/>
          </w:tcPr>
          <w:p w14:paraId="5FEF06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6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6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6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6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6B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69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6.1.2</w:t>
            </w:r>
          </w:p>
        </w:tc>
        <w:tc>
          <w:tcPr>
            <w:tcW w:w="814" w:type="dxa"/>
            <w:tcBorders>
              <w:top w:val="nil"/>
              <w:left w:val="nil"/>
              <w:bottom w:val="single" w:sz="4" w:space="0" w:color="auto"/>
              <w:right w:val="single" w:sz="4" w:space="0" w:color="auto"/>
            </w:tcBorders>
            <w:shd w:val="clear" w:color="auto" w:fill="auto"/>
            <w:vAlign w:val="bottom"/>
            <w:hideMark/>
          </w:tcPr>
          <w:p w14:paraId="5FEF069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hetimeve proaktive ndaj individëve/grupeve të dyshuar për veprimtari terroriste dhe financim të tij, nëpërmjet medodave speciale të hetimit</w:t>
            </w:r>
          </w:p>
        </w:tc>
        <w:tc>
          <w:tcPr>
            <w:tcW w:w="350" w:type="dxa"/>
            <w:tcBorders>
              <w:top w:val="nil"/>
              <w:left w:val="nil"/>
              <w:bottom w:val="single" w:sz="4" w:space="0" w:color="auto"/>
              <w:right w:val="single" w:sz="4" w:space="0" w:color="auto"/>
            </w:tcBorders>
            <w:shd w:val="clear" w:color="auto" w:fill="auto"/>
            <w:vAlign w:val="center"/>
            <w:hideMark/>
          </w:tcPr>
          <w:p w14:paraId="5FEF06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Veprimtaria e SPAK 03390</w:t>
            </w:r>
          </w:p>
        </w:tc>
        <w:tc>
          <w:tcPr>
            <w:tcW w:w="458" w:type="dxa"/>
            <w:tcBorders>
              <w:top w:val="nil"/>
              <w:left w:val="nil"/>
              <w:bottom w:val="single" w:sz="4" w:space="0" w:color="auto"/>
              <w:right w:val="single" w:sz="4" w:space="0" w:color="auto"/>
            </w:tcBorders>
            <w:shd w:val="clear" w:color="auto" w:fill="auto"/>
            <w:vAlign w:val="center"/>
            <w:hideMark/>
          </w:tcPr>
          <w:p w14:paraId="5FEF06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SPAK</w:t>
            </w:r>
          </w:p>
        </w:tc>
        <w:tc>
          <w:tcPr>
            <w:tcW w:w="1442" w:type="dxa"/>
            <w:tcBorders>
              <w:top w:val="nil"/>
              <w:left w:val="nil"/>
              <w:bottom w:val="single" w:sz="4" w:space="0" w:color="auto"/>
              <w:right w:val="single" w:sz="4" w:space="0" w:color="auto"/>
            </w:tcBorders>
            <w:shd w:val="clear" w:color="000000" w:fill="FFFFFF"/>
            <w:vAlign w:val="center"/>
            <w:hideMark/>
          </w:tcPr>
          <w:p w14:paraId="5FEF06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MFE/DPPPP/PSH/DAT/</w:t>
            </w:r>
            <w:r w:rsidRPr="00795698">
              <w:rPr>
                <w:rFonts w:ascii="Arial" w:hAnsi="Arial" w:cs="Arial"/>
                <w:color w:val="000000"/>
                <w:sz w:val="6"/>
                <w:szCs w:val="6"/>
                <w:lang w:eastAsia="sq-AL"/>
              </w:rPr>
              <w:br/>
              <w:t>SHISH</w:t>
            </w:r>
          </w:p>
        </w:tc>
        <w:tc>
          <w:tcPr>
            <w:tcW w:w="201" w:type="dxa"/>
            <w:tcBorders>
              <w:top w:val="nil"/>
              <w:left w:val="nil"/>
              <w:bottom w:val="single" w:sz="4" w:space="0" w:color="auto"/>
              <w:right w:val="single" w:sz="4" w:space="0" w:color="auto"/>
            </w:tcBorders>
            <w:shd w:val="clear" w:color="auto" w:fill="auto"/>
            <w:vAlign w:val="center"/>
            <w:hideMark/>
          </w:tcPr>
          <w:p w14:paraId="5FEF069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6A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6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228" w:type="dxa"/>
            <w:tcBorders>
              <w:top w:val="nil"/>
              <w:left w:val="nil"/>
              <w:bottom w:val="single" w:sz="4" w:space="0" w:color="auto"/>
              <w:right w:val="single" w:sz="4" w:space="0" w:color="auto"/>
            </w:tcBorders>
            <w:shd w:val="clear" w:color="000000" w:fill="FFFFFF"/>
            <w:vAlign w:val="center"/>
            <w:hideMark/>
          </w:tcPr>
          <w:p w14:paraId="5FEF06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303" w:type="dxa"/>
            <w:tcBorders>
              <w:top w:val="nil"/>
              <w:left w:val="nil"/>
              <w:bottom w:val="single" w:sz="4" w:space="0" w:color="auto"/>
              <w:right w:val="single" w:sz="4" w:space="0" w:color="auto"/>
            </w:tcBorders>
            <w:shd w:val="clear" w:color="000000" w:fill="FFFFFF"/>
            <w:vAlign w:val="center"/>
            <w:hideMark/>
          </w:tcPr>
          <w:p w14:paraId="5FEF06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228" w:type="dxa"/>
            <w:tcBorders>
              <w:top w:val="nil"/>
              <w:left w:val="nil"/>
              <w:bottom w:val="single" w:sz="4" w:space="0" w:color="auto"/>
              <w:right w:val="single" w:sz="4" w:space="0" w:color="auto"/>
            </w:tcBorders>
            <w:shd w:val="clear" w:color="000000" w:fill="FFFFFF"/>
            <w:vAlign w:val="center"/>
            <w:hideMark/>
          </w:tcPr>
          <w:p w14:paraId="5FEF06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303" w:type="dxa"/>
            <w:tcBorders>
              <w:top w:val="nil"/>
              <w:left w:val="nil"/>
              <w:bottom w:val="single" w:sz="4" w:space="0" w:color="auto"/>
              <w:right w:val="single" w:sz="4" w:space="0" w:color="auto"/>
            </w:tcBorders>
            <w:shd w:val="clear" w:color="000000" w:fill="FFFFFF"/>
            <w:vAlign w:val="center"/>
            <w:hideMark/>
          </w:tcPr>
          <w:p w14:paraId="5FEF06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228" w:type="dxa"/>
            <w:tcBorders>
              <w:top w:val="nil"/>
              <w:left w:val="nil"/>
              <w:bottom w:val="single" w:sz="4" w:space="0" w:color="auto"/>
              <w:right w:val="single" w:sz="4" w:space="0" w:color="auto"/>
            </w:tcBorders>
            <w:shd w:val="clear" w:color="000000" w:fill="FFFFFF"/>
            <w:vAlign w:val="center"/>
            <w:hideMark/>
          </w:tcPr>
          <w:p w14:paraId="5FEF06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345" w:type="dxa"/>
            <w:tcBorders>
              <w:top w:val="nil"/>
              <w:left w:val="nil"/>
              <w:bottom w:val="single" w:sz="4" w:space="0" w:color="auto"/>
              <w:right w:val="single" w:sz="4" w:space="0" w:color="auto"/>
            </w:tcBorders>
            <w:shd w:val="clear" w:color="000000" w:fill="FFFFFF"/>
            <w:vAlign w:val="center"/>
            <w:hideMark/>
          </w:tcPr>
          <w:p w14:paraId="5FEF06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228" w:type="dxa"/>
            <w:tcBorders>
              <w:top w:val="nil"/>
              <w:left w:val="nil"/>
              <w:bottom w:val="single" w:sz="4" w:space="0" w:color="auto"/>
              <w:right w:val="single" w:sz="4" w:space="0" w:color="auto"/>
            </w:tcBorders>
            <w:shd w:val="clear" w:color="000000" w:fill="FFFFFF"/>
            <w:vAlign w:val="center"/>
            <w:hideMark/>
          </w:tcPr>
          <w:p w14:paraId="5FEF06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345" w:type="dxa"/>
            <w:tcBorders>
              <w:top w:val="nil"/>
              <w:left w:val="nil"/>
              <w:bottom w:val="single" w:sz="4" w:space="0" w:color="auto"/>
              <w:right w:val="single" w:sz="4" w:space="0" w:color="auto"/>
            </w:tcBorders>
            <w:shd w:val="clear" w:color="000000" w:fill="FFFFFF"/>
            <w:vAlign w:val="center"/>
            <w:hideMark/>
          </w:tcPr>
          <w:p w14:paraId="5FEF06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228" w:type="dxa"/>
            <w:tcBorders>
              <w:top w:val="nil"/>
              <w:left w:val="nil"/>
              <w:bottom w:val="single" w:sz="4" w:space="0" w:color="auto"/>
              <w:right w:val="single" w:sz="4" w:space="0" w:color="auto"/>
            </w:tcBorders>
            <w:shd w:val="clear" w:color="000000" w:fill="FFFFFF"/>
            <w:vAlign w:val="center"/>
            <w:hideMark/>
          </w:tcPr>
          <w:p w14:paraId="5FEF06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218" w:type="dxa"/>
            <w:tcBorders>
              <w:top w:val="nil"/>
              <w:left w:val="nil"/>
              <w:bottom w:val="single" w:sz="4" w:space="0" w:color="auto"/>
              <w:right w:val="single" w:sz="4" w:space="0" w:color="auto"/>
            </w:tcBorders>
            <w:shd w:val="clear" w:color="000000" w:fill="FFFFFF"/>
            <w:vAlign w:val="center"/>
            <w:hideMark/>
          </w:tcPr>
          <w:p w14:paraId="5FEF06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6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6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6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6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6D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6B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6.1.3</w:t>
            </w:r>
          </w:p>
        </w:tc>
        <w:tc>
          <w:tcPr>
            <w:tcW w:w="814" w:type="dxa"/>
            <w:tcBorders>
              <w:top w:val="nil"/>
              <w:left w:val="nil"/>
              <w:bottom w:val="single" w:sz="4" w:space="0" w:color="auto"/>
              <w:right w:val="single" w:sz="4" w:space="0" w:color="auto"/>
            </w:tcBorders>
            <w:shd w:val="clear" w:color="auto" w:fill="auto"/>
            <w:vAlign w:val="bottom"/>
            <w:hideMark/>
          </w:tcPr>
          <w:p w14:paraId="5FEF06B7" w14:textId="0A6998BA"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hetimeve paralele për financimin e terrorizmit për çdo rast referimi për vepra me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qëllime terroriste sipas rekomandimit të FAFT/ICRG dhe Moneyval</w:t>
            </w:r>
          </w:p>
        </w:tc>
        <w:tc>
          <w:tcPr>
            <w:tcW w:w="350" w:type="dxa"/>
            <w:tcBorders>
              <w:top w:val="nil"/>
              <w:left w:val="nil"/>
              <w:bottom w:val="single" w:sz="4" w:space="0" w:color="auto"/>
              <w:right w:val="single" w:sz="4" w:space="0" w:color="auto"/>
            </w:tcBorders>
            <w:shd w:val="clear" w:color="auto" w:fill="auto"/>
            <w:vAlign w:val="center"/>
            <w:hideMark/>
          </w:tcPr>
          <w:p w14:paraId="5FEF06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Veprimtaria e SPAK 03390</w:t>
            </w:r>
          </w:p>
        </w:tc>
        <w:tc>
          <w:tcPr>
            <w:tcW w:w="458" w:type="dxa"/>
            <w:tcBorders>
              <w:top w:val="nil"/>
              <w:left w:val="nil"/>
              <w:bottom w:val="single" w:sz="4" w:space="0" w:color="auto"/>
              <w:right w:val="single" w:sz="4" w:space="0" w:color="auto"/>
            </w:tcBorders>
            <w:shd w:val="clear" w:color="auto" w:fill="auto"/>
            <w:vAlign w:val="center"/>
            <w:hideMark/>
          </w:tcPr>
          <w:p w14:paraId="5FEF06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SPAK</w:t>
            </w:r>
          </w:p>
        </w:tc>
        <w:tc>
          <w:tcPr>
            <w:tcW w:w="1442" w:type="dxa"/>
            <w:tcBorders>
              <w:top w:val="nil"/>
              <w:left w:val="nil"/>
              <w:bottom w:val="single" w:sz="4" w:space="0" w:color="auto"/>
              <w:right w:val="single" w:sz="4" w:space="0" w:color="auto"/>
            </w:tcBorders>
            <w:shd w:val="clear" w:color="000000" w:fill="FFFFFF"/>
            <w:vAlign w:val="center"/>
            <w:hideMark/>
          </w:tcPr>
          <w:p w14:paraId="5FEF06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MFE/DPPPP/PSH/DAT/</w:t>
            </w:r>
            <w:r w:rsidRPr="00795698">
              <w:rPr>
                <w:rFonts w:ascii="Arial" w:hAnsi="Arial" w:cs="Arial"/>
                <w:color w:val="000000"/>
                <w:sz w:val="6"/>
                <w:szCs w:val="6"/>
                <w:lang w:eastAsia="sq-AL"/>
              </w:rPr>
              <w:br/>
              <w:t>SHISH</w:t>
            </w:r>
          </w:p>
        </w:tc>
        <w:tc>
          <w:tcPr>
            <w:tcW w:w="201" w:type="dxa"/>
            <w:tcBorders>
              <w:top w:val="nil"/>
              <w:left w:val="nil"/>
              <w:bottom w:val="single" w:sz="4" w:space="0" w:color="auto"/>
              <w:right w:val="single" w:sz="4" w:space="0" w:color="auto"/>
            </w:tcBorders>
            <w:shd w:val="clear" w:color="auto" w:fill="auto"/>
            <w:vAlign w:val="center"/>
            <w:hideMark/>
          </w:tcPr>
          <w:p w14:paraId="5FEF06B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6B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6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228" w:type="dxa"/>
            <w:tcBorders>
              <w:top w:val="nil"/>
              <w:left w:val="nil"/>
              <w:bottom w:val="single" w:sz="4" w:space="0" w:color="auto"/>
              <w:right w:val="single" w:sz="4" w:space="0" w:color="auto"/>
            </w:tcBorders>
            <w:shd w:val="clear" w:color="000000" w:fill="FFFFFF"/>
            <w:vAlign w:val="center"/>
            <w:hideMark/>
          </w:tcPr>
          <w:p w14:paraId="5FEF06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303" w:type="dxa"/>
            <w:tcBorders>
              <w:top w:val="nil"/>
              <w:left w:val="nil"/>
              <w:bottom w:val="single" w:sz="4" w:space="0" w:color="auto"/>
              <w:right w:val="single" w:sz="4" w:space="0" w:color="auto"/>
            </w:tcBorders>
            <w:shd w:val="clear" w:color="000000" w:fill="FFFFFF"/>
            <w:vAlign w:val="center"/>
            <w:hideMark/>
          </w:tcPr>
          <w:p w14:paraId="5FEF06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228" w:type="dxa"/>
            <w:tcBorders>
              <w:top w:val="nil"/>
              <w:left w:val="nil"/>
              <w:bottom w:val="single" w:sz="4" w:space="0" w:color="auto"/>
              <w:right w:val="single" w:sz="4" w:space="0" w:color="auto"/>
            </w:tcBorders>
            <w:shd w:val="clear" w:color="000000" w:fill="FFFFFF"/>
            <w:vAlign w:val="center"/>
            <w:hideMark/>
          </w:tcPr>
          <w:p w14:paraId="5FEF06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303" w:type="dxa"/>
            <w:tcBorders>
              <w:top w:val="nil"/>
              <w:left w:val="nil"/>
              <w:bottom w:val="single" w:sz="4" w:space="0" w:color="auto"/>
              <w:right w:val="single" w:sz="4" w:space="0" w:color="auto"/>
            </w:tcBorders>
            <w:shd w:val="clear" w:color="000000" w:fill="FFFFFF"/>
            <w:vAlign w:val="center"/>
            <w:hideMark/>
          </w:tcPr>
          <w:p w14:paraId="5FEF06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228" w:type="dxa"/>
            <w:tcBorders>
              <w:top w:val="nil"/>
              <w:left w:val="nil"/>
              <w:bottom w:val="single" w:sz="4" w:space="0" w:color="auto"/>
              <w:right w:val="single" w:sz="4" w:space="0" w:color="auto"/>
            </w:tcBorders>
            <w:shd w:val="clear" w:color="000000" w:fill="FFFFFF"/>
            <w:vAlign w:val="center"/>
            <w:hideMark/>
          </w:tcPr>
          <w:p w14:paraId="5FEF06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84,905,869</w:t>
            </w:r>
          </w:p>
        </w:tc>
        <w:tc>
          <w:tcPr>
            <w:tcW w:w="345" w:type="dxa"/>
            <w:tcBorders>
              <w:top w:val="nil"/>
              <w:left w:val="nil"/>
              <w:bottom w:val="single" w:sz="4" w:space="0" w:color="auto"/>
              <w:right w:val="single" w:sz="4" w:space="0" w:color="auto"/>
            </w:tcBorders>
            <w:shd w:val="clear" w:color="000000" w:fill="FFFFFF"/>
            <w:vAlign w:val="center"/>
            <w:hideMark/>
          </w:tcPr>
          <w:p w14:paraId="5FEF06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228" w:type="dxa"/>
            <w:tcBorders>
              <w:top w:val="nil"/>
              <w:left w:val="nil"/>
              <w:bottom w:val="single" w:sz="4" w:space="0" w:color="auto"/>
              <w:right w:val="single" w:sz="4" w:space="0" w:color="auto"/>
            </w:tcBorders>
            <w:shd w:val="clear" w:color="000000" w:fill="FFFFFF"/>
            <w:vAlign w:val="center"/>
            <w:hideMark/>
          </w:tcPr>
          <w:p w14:paraId="5FEF06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345" w:type="dxa"/>
            <w:tcBorders>
              <w:top w:val="nil"/>
              <w:left w:val="nil"/>
              <w:bottom w:val="single" w:sz="4" w:space="0" w:color="auto"/>
              <w:right w:val="single" w:sz="4" w:space="0" w:color="auto"/>
            </w:tcBorders>
            <w:shd w:val="clear" w:color="000000" w:fill="FFFFFF"/>
            <w:vAlign w:val="center"/>
            <w:hideMark/>
          </w:tcPr>
          <w:p w14:paraId="5FEF06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228" w:type="dxa"/>
            <w:tcBorders>
              <w:top w:val="nil"/>
              <w:left w:val="nil"/>
              <w:bottom w:val="single" w:sz="4" w:space="0" w:color="auto"/>
              <w:right w:val="single" w:sz="4" w:space="0" w:color="auto"/>
            </w:tcBorders>
            <w:shd w:val="clear" w:color="000000" w:fill="FFFFFF"/>
            <w:vAlign w:val="center"/>
            <w:hideMark/>
          </w:tcPr>
          <w:p w14:paraId="5FEF06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254,717,608</w:t>
            </w:r>
          </w:p>
        </w:tc>
        <w:tc>
          <w:tcPr>
            <w:tcW w:w="218" w:type="dxa"/>
            <w:tcBorders>
              <w:top w:val="nil"/>
              <w:left w:val="nil"/>
              <w:bottom w:val="single" w:sz="4" w:space="0" w:color="auto"/>
              <w:right w:val="single" w:sz="4" w:space="0" w:color="auto"/>
            </w:tcBorders>
            <w:shd w:val="clear" w:color="000000" w:fill="FFFFFF"/>
            <w:vAlign w:val="center"/>
            <w:hideMark/>
          </w:tcPr>
          <w:p w14:paraId="5FEF06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6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6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6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6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6E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6D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6.1.4</w:t>
            </w:r>
          </w:p>
        </w:tc>
        <w:tc>
          <w:tcPr>
            <w:tcW w:w="814" w:type="dxa"/>
            <w:tcBorders>
              <w:top w:val="nil"/>
              <w:left w:val="nil"/>
              <w:bottom w:val="single" w:sz="4" w:space="0" w:color="auto"/>
              <w:right w:val="single" w:sz="4" w:space="0" w:color="auto"/>
            </w:tcBorders>
            <w:shd w:val="clear" w:color="auto" w:fill="auto"/>
            <w:vAlign w:val="bottom"/>
            <w:hideMark/>
          </w:tcPr>
          <w:p w14:paraId="5FEF06D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Rritja e numrit të hetimeve dhe operacioneve të përbashkëta me institucionet homologe/partnere ndërkombëtare.</w:t>
            </w:r>
          </w:p>
        </w:tc>
        <w:tc>
          <w:tcPr>
            <w:tcW w:w="350" w:type="dxa"/>
            <w:tcBorders>
              <w:top w:val="nil"/>
              <w:left w:val="nil"/>
              <w:bottom w:val="single" w:sz="4" w:space="0" w:color="auto"/>
              <w:right w:val="single" w:sz="4" w:space="0" w:color="auto"/>
            </w:tcBorders>
            <w:shd w:val="clear" w:color="auto" w:fill="auto"/>
            <w:vAlign w:val="center"/>
            <w:hideMark/>
          </w:tcPr>
          <w:p w14:paraId="5FEF06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6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F06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MFE/DPPPP/PSH/DAT/</w:t>
            </w:r>
            <w:r w:rsidRPr="00795698">
              <w:rPr>
                <w:rFonts w:ascii="Arial" w:hAnsi="Arial" w:cs="Arial"/>
                <w:color w:val="000000"/>
                <w:sz w:val="6"/>
                <w:szCs w:val="6"/>
                <w:lang w:eastAsia="sq-AL"/>
              </w:rPr>
              <w:br/>
              <w:t>SHISH/SPAK</w:t>
            </w:r>
          </w:p>
        </w:tc>
        <w:tc>
          <w:tcPr>
            <w:tcW w:w="201" w:type="dxa"/>
            <w:tcBorders>
              <w:top w:val="nil"/>
              <w:left w:val="nil"/>
              <w:bottom w:val="single" w:sz="4" w:space="0" w:color="auto"/>
              <w:right w:val="single" w:sz="4" w:space="0" w:color="auto"/>
            </w:tcBorders>
            <w:shd w:val="clear" w:color="auto" w:fill="auto"/>
            <w:vAlign w:val="center"/>
            <w:hideMark/>
          </w:tcPr>
          <w:p w14:paraId="5FEF06D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6D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6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6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F06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6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F06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6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45" w:type="dxa"/>
            <w:tcBorders>
              <w:top w:val="nil"/>
              <w:left w:val="nil"/>
              <w:bottom w:val="single" w:sz="4" w:space="0" w:color="auto"/>
              <w:right w:val="single" w:sz="4" w:space="0" w:color="auto"/>
            </w:tcBorders>
            <w:shd w:val="clear" w:color="000000" w:fill="FFFFFF"/>
            <w:vAlign w:val="center"/>
            <w:hideMark/>
          </w:tcPr>
          <w:p w14:paraId="5FEF06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F06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345" w:type="dxa"/>
            <w:tcBorders>
              <w:top w:val="nil"/>
              <w:left w:val="nil"/>
              <w:bottom w:val="single" w:sz="4" w:space="0" w:color="auto"/>
              <w:right w:val="single" w:sz="4" w:space="0" w:color="auto"/>
            </w:tcBorders>
            <w:shd w:val="clear" w:color="000000" w:fill="FFFFFF"/>
            <w:vAlign w:val="center"/>
            <w:hideMark/>
          </w:tcPr>
          <w:p w14:paraId="5FEF06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F06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6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18" w:type="dxa"/>
            <w:tcBorders>
              <w:top w:val="nil"/>
              <w:left w:val="nil"/>
              <w:bottom w:val="single" w:sz="4" w:space="0" w:color="auto"/>
              <w:right w:val="single" w:sz="4" w:space="0" w:color="auto"/>
            </w:tcBorders>
            <w:shd w:val="clear" w:color="000000" w:fill="FFFFFF"/>
            <w:vAlign w:val="center"/>
            <w:hideMark/>
          </w:tcPr>
          <w:p w14:paraId="5FEF06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6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6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6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6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70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6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6.1.5</w:t>
            </w:r>
          </w:p>
        </w:tc>
        <w:tc>
          <w:tcPr>
            <w:tcW w:w="814" w:type="dxa"/>
            <w:tcBorders>
              <w:top w:val="nil"/>
              <w:left w:val="nil"/>
              <w:bottom w:val="single" w:sz="4" w:space="0" w:color="auto"/>
              <w:right w:val="single" w:sz="4" w:space="0" w:color="auto"/>
            </w:tcBorders>
            <w:shd w:val="clear" w:color="auto" w:fill="auto"/>
            <w:vAlign w:val="bottom"/>
            <w:hideMark/>
          </w:tcPr>
          <w:p w14:paraId="5FEF06E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hetimeve të përbashkëta me agjencitë ligjzbatuese lidhur me individë/grupe kriminalee të krimit të organizuar që mund të përfshihen edhe në aktivitete terroriste në Shqipëri, vendet e BE-së dhe më gjerë.</w:t>
            </w:r>
          </w:p>
        </w:tc>
        <w:tc>
          <w:tcPr>
            <w:tcW w:w="350" w:type="dxa"/>
            <w:tcBorders>
              <w:top w:val="nil"/>
              <w:left w:val="nil"/>
              <w:bottom w:val="single" w:sz="4" w:space="0" w:color="auto"/>
              <w:right w:val="single" w:sz="4" w:space="0" w:color="auto"/>
            </w:tcBorders>
            <w:shd w:val="clear" w:color="auto" w:fill="auto"/>
            <w:vAlign w:val="center"/>
            <w:hideMark/>
          </w:tcPr>
          <w:p w14:paraId="5FEF06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6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DPPSH/DPK/DAT</w:t>
            </w:r>
          </w:p>
        </w:tc>
        <w:tc>
          <w:tcPr>
            <w:tcW w:w="1442" w:type="dxa"/>
            <w:tcBorders>
              <w:top w:val="nil"/>
              <w:left w:val="nil"/>
              <w:bottom w:val="single" w:sz="4" w:space="0" w:color="auto"/>
              <w:right w:val="single" w:sz="4" w:space="0" w:color="auto"/>
            </w:tcBorders>
            <w:shd w:val="clear" w:color="auto" w:fill="auto"/>
            <w:vAlign w:val="bottom"/>
            <w:hideMark/>
          </w:tcPr>
          <w:p w14:paraId="5FEF06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MFE/DPPPP/PSH/SHISH/SPAK</w:t>
            </w:r>
          </w:p>
        </w:tc>
        <w:tc>
          <w:tcPr>
            <w:tcW w:w="201" w:type="dxa"/>
            <w:tcBorders>
              <w:top w:val="nil"/>
              <w:left w:val="nil"/>
              <w:bottom w:val="single" w:sz="4" w:space="0" w:color="auto"/>
              <w:right w:val="single" w:sz="4" w:space="0" w:color="auto"/>
            </w:tcBorders>
            <w:shd w:val="clear" w:color="auto" w:fill="auto"/>
            <w:vAlign w:val="center"/>
            <w:hideMark/>
          </w:tcPr>
          <w:p w14:paraId="5FEF06F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6F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6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6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F06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6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F06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6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6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45" w:type="dxa"/>
            <w:tcBorders>
              <w:top w:val="nil"/>
              <w:left w:val="nil"/>
              <w:bottom w:val="single" w:sz="4" w:space="0" w:color="auto"/>
              <w:right w:val="single" w:sz="4" w:space="0" w:color="auto"/>
            </w:tcBorders>
            <w:shd w:val="clear" w:color="000000" w:fill="FFFFFF"/>
            <w:vAlign w:val="center"/>
            <w:hideMark/>
          </w:tcPr>
          <w:p w14:paraId="5FEF06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F06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345" w:type="dxa"/>
            <w:tcBorders>
              <w:top w:val="nil"/>
              <w:left w:val="nil"/>
              <w:bottom w:val="single" w:sz="4" w:space="0" w:color="auto"/>
              <w:right w:val="single" w:sz="4" w:space="0" w:color="auto"/>
            </w:tcBorders>
            <w:shd w:val="clear" w:color="000000" w:fill="FFFFFF"/>
            <w:vAlign w:val="center"/>
            <w:hideMark/>
          </w:tcPr>
          <w:p w14:paraId="5FEF07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F07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18" w:type="dxa"/>
            <w:tcBorders>
              <w:top w:val="nil"/>
              <w:left w:val="nil"/>
              <w:bottom w:val="single" w:sz="4" w:space="0" w:color="auto"/>
              <w:right w:val="single" w:sz="4" w:space="0" w:color="auto"/>
            </w:tcBorders>
            <w:shd w:val="clear" w:color="000000" w:fill="FFFFFF"/>
            <w:vAlign w:val="center"/>
            <w:hideMark/>
          </w:tcPr>
          <w:p w14:paraId="5FEF07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7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7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7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72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70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6.1.6</w:t>
            </w:r>
          </w:p>
        </w:tc>
        <w:tc>
          <w:tcPr>
            <w:tcW w:w="814" w:type="dxa"/>
            <w:tcBorders>
              <w:top w:val="nil"/>
              <w:left w:val="nil"/>
              <w:bottom w:val="single" w:sz="4" w:space="0" w:color="auto"/>
              <w:right w:val="single" w:sz="4" w:space="0" w:color="auto"/>
            </w:tcBorders>
            <w:shd w:val="clear" w:color="auto" w:fill="auto"/>
            <w:vAlign w:val="bottom"/>
            <w:hideMark/>
          </w:tcPr>
          <w:p w14:paraId="5FEF070B" w14:textId="3C2578F5"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Shkëmbimi informacionit me homologët e partnerët ndërkombëtar për shtetas shqiptarë e të huaj, pjesë 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grupeve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të krimit të organizuar që mund të përfshihen edhe në aktivitete terroriste në Shqipëri, vendet e BE-së dhe më gjerë.</w:t>
            </w:r>
          </w:p>
        </w:tc>
        <w:tc>
          <w:tcPr>
            <w:tcW w:w="350" w:type="dxa"/>
            <w:tcBorders>
              <w:top w:val="nil"/>
              <w:left w:val="nil"/>
              <w:bottom w:val="single" w:sz="4" w:space="0" w:color="auto"/>
              <w:right w:val="single" w:sz="4" w:space="0" w:color="auto"/>
            </w:tcBorders>
            <w:shd w:val="clear" w:color="auto" w:fill="auto"/>
            <w:vAlign w:val="center"/>
            <w:hideMark/>
          </w:tcPr>
          <w:p w14:paraId="5FEF07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7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bottom"/>
            <w:hideMark/>
          </w:tcPr>
          <w:p w14:paraId="5FEF07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MFE/DPPPP/SHISH/MM/AISM/SPAK</w:t>
            </w:r>
          </w:p>
        </w:tc>
        <w:tc>
          <w:tcPr>
            <w:tcW w:w="201" w:type="dxa"/>
            <w:tcBorders>
              <w:top w:val="nil"/>
              <w:left w:val="nil"/>
              <w:bottom w:val="single" w:sz="4" w:space="0" w:color="auto"/>
              <w:right w:val="single" w:sz="4" w:space="0" w:color="auto"/>
            </w:tcBorders>
            <w:shd w:val="clear" w:color="auto" w:fill="auto"/>
            <w:vAlign w:val="center"/>
            <w:hideMark/>
          </w:tcPr>
          <w:p w14:paraId="5FEF070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71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7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F07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03" w:type="dxa"/>
            <w:tcBorders>
              <w:top w:val="nil"/>
              <w:left w:val="nil"/>
              <w:bottom w:val="single" w:sz="4" w:space="0" w:color="auto"/>
              <w:right w:val="single" w:sz="4" w:space="0" w:color="auto"/>
            </w:tcBorders>
            <w:shd w:val="clear" w:color="000000" w:fill="FFFFFF"/>
            <w:vAlign w:val="center"/>
            <w:hideMark/>
          </w:tcPr>
          <w:p w14:paraId="5FEF07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F07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03" w:type="dxa"/>
            <w:tcBorders>
              <w:top w:val="nil"/>
              <w:left w:val="nil"/>
              <w:bottom w:val="single" w:sz="4" w:space="0" w:color="auto"/>
              <w:right w:val="single" w:sz="4" w:space="0" w:color="auto"/>
            </w:tcBorders>
            <w:shd w:val="clear" w:color="000000" w:fill="FFFFFF"/>
            <w:vAlign w:val="center"/>
            <w:hideMark/>
          </w:tcPr>
          <w:p w14:paraId="5FEF07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228" w:type="dxa"/>
            <w:tcBorders>
              <w:top w:val="nil"/>
              <w:left w:val="nil"/>
              <w:bottom w:val="single" w:sz="4" w:space="0" w:color="auto"/>
              <w:right w:val="single" w:sz="4" w:space="0" w:color="auto"/>
            </w:tcBorders>
            <w:shd w:val="clear" w:color="000000" w:fill="FFFFFF"/>
            <w:vAlign w:val="center"/>
            <w:hideMark/>
          </w:tcPr>
          <w:p w14:paraId="5FEF07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7,000,000</w:t>
            </w:r>
          </w:p>
        </w:tc>
        <w:tc>
          <w:tcPr>
            <w:tcW w:w="345" w:type="dxa"/>
            <w:tcBorders>
              <w:top w:val="nil"/>
              <w:left w:val="nil"/>
              <w:bottom w:val="single" w:sz="4" w:space="0" w:color="auto"/>
              <w:right w:val="single" w:sz="4" w:space="0" w:color="auto"/>
            </w:tcBorders>
            <w:shd w:val="clear" w:color="000000" w:fill="FFFFFF"/>
            <w:vAlign w:val="center"/>
            <w:hideMark/>
          </w:tcPr>
          <w:p w14:paraId="5FEF07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28" w:type="dxa"/>
            <w:tcBorders>
              <w:top w:val="nil"/>
              <w:left w:val="nil"/>
              <w:bottom w:val="single" w:sz="4" w:space="0" w:color="auto"/>
              <w:right w:val="single" w:sz="4" w:space="0" w:color="auto"/>
            </w:tcBorders>
            <w:shd w:val="clear" w:color="000000" w:fill="FFFFFF"/>
            <w:vAlign w:val="center"/>
            <w:hideMark/>
          </w:tcPr>
          <w:p w14:paraId="5FEF07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345" w:type="dxa"/>
            <w:tcBorders>
              <w:top w:val="nil"/>
              <w:left w:val="nil"/>
              <w:bottom w:val="single" w:sz="4" w:space="0" w:color="auto"/>
              <w:right w:val="single" w:sz="4" w:space="0" w:color="auto"/>
            </w:tcBorders>
            <w:shd w:val="clear" w:color="000000" w:fill="FFFFFF"/>
            <w:vAlign w:val="center"/>
            <w:hideMark/>
          </w:tcPr>
          <w:p w14:paraId="5FEF07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28" w:type="dxa"/>
            <w:tcBorders>
              <w:top w:val="nil"/>
              <w:left w:val="nil"/>
              <w:bottom w:val="single" w:sz="4" w:space="0" w:color="auto"/>
              <w:right w:val="single" w:sz="4" w:space="0" w:color="auto"/>
            </w:tcBorders>
            <w:shd w:val="clear" w:color="000000" w:fill="FFFFFF"/>
            <w:vAlign w:val="center"/>
            <w:hideMark/>
          </w:tcPr>
          <w:p w14:paraId="5FEF07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21,000,000</w:t>
            </w:r>
          </w:p>
        </w:tc>
        <w:tc>
          <w:tcPr>
            <w:tcW w:w="218" w:type="dxa"/>
            <w:tcBorders>
              <w:top w:val="nil"/>
              <w:left w:val="nil"/>
              <w:bottom w:val="single" w:sz="4" w:space="0" w:color="auto"/>
              <w:right w:val="single" w:sz="4" w:space="0" w:color="auto"/>
            </w:tcBorders>
            <w:shd w:val="clear" w:color="000000" w:fill="FFFFFF"/>
            <w:vAlign w:val="center"/>
            <w:hideMark/>
          </w:tcPr>
          <w:p w14:paraId="5FEF07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7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7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7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74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72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6.1.7</w:t>
            </w:r>
          </w:p>
        </w:tc>
        <w:tc>
          <w:tcPr>
            <w:tcW w:w="814" w:type="dxa"/>
            <w:tcBorders>
              <w:top w:val="nil"/>
              <w:left w:val="nil"/>
              <w:bottom w:val="single" w:sz="4" w:space="0" w:color="auto"/>
              <w:right w:val="single" w:sz="4" w:space="0" w:color="auto"/>
            </w:tcBorders>
            <w:shd w:val="clear" w:color="auto" w:fill="auto"/>
            <w:vAlign w:val="bottom"/>
            <w:hideMark/>
          </w:tcPr>
          <w:p w14:paraId="5FEF0727"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Zbatimi i praktikave më të mira të vendeve të BE –së për hetimin e financimit të terrorizmit, si dhe kërkesave që rrjedhin nga rezolutat e KS të OKB dhe instrumentet e tjerë ndërkombëtarë në këtë fushë.</w:t>
            </w:r>
          </w:p>
        </w:tc>
        <w:tc>
          <w:tcPr>
            <w:tcW w:w="350" w:type="dxa"/>
            <w:tcBorders>
              <w:top w:val="nil"/>
              <w:left w:val="nil"/>
              <w:bottom w:val="single" w:sz="4" w:space="0" w:color="auto"/>
              <w:right w:val="single" w:sz="4" w:space="0" w:color="auto"/>
            </w:tcBorders>
            <w:shd w:val="clear" w:color="auto" w:fill="auto"/>
            <w:vAlign w:val="center"/>
            <w:hideMark/>
          </w:tcPr>
          <w:p w14:paraId="5FEF07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7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bottom"/>
            <w:hideMark/>
          </w:tcPr>
          <w:p w14:paraId="5FEF07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MFE/DPPPP/SHISH/</w:t>
            </w:r>
            <w:r w:rsidRPr="00795698">
              <w:rPr>
                <w:rFonts w:ascii="Arial" w:hAnsi="Arial" w:cs="Arial"/>
                <w:color w:val="000000"/>
                <w:sz w:val="6"/>
                <w:szCs w:val="6"/>
                <w:lang w:eastAsia="sq-AL"/>
              </w:rPr>
              <w:br/>
              <w:t>SPAK</w:t>
            </w:r>
          </w:p>
        </w:tc>
        <w:tc>
          <w:tcPr>
            <w:tcW w:w="201" w:type="dxa"/>
            <w:tcBorders>
              <w:top w:val="nil"/>
              <w:left w:val="nil"/>
              <w:bottom w:val="single" w:sz="4" w:space="0" w:color="auto"/>
              <w:right w:val="single" w:sz="4" w:space="0" w:color="auto"/>
            </w:tcBorders>
            <w:shd w:val="clear" w:color="auto" w:fill="auto"/>
            <w:vAlign w:val="center"/>
            <w:hideMark/>
          </w:tcPr>
          <w:p w14:paraId="5FEF072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72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7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F07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vAlign w:val="center"/>
            <w:hideMark/>
          </w:tcPr>
          <w:p w14:paraId="5FEF07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F07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03" w:type="dxa"/>
            <w:tcBorders>
              <w:top w:val="nil"/>
              <w:left w:val="nil"/>
              <w:bottom w:val="single" w:sz="4" w:space="0" w:color="auto"/>
              <w:right w:val="single" w:sz="4" w:space="0" w:color="auto"/>
            </w:tcBorders>
            <w:shd w:val="clear" w:color="000000" w:fill="FFFFFF"/>
            <w:vAlign w:val="center"/>
            <w:hideMark/>
          </w:tcPr>
          <w:p w14:paraId="5FEF07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228" w:type="dxa"/>
            <w:tcBorders>
              <w:top w:val="nil"/>
              <w:left w:val="nil"/>
              <w:bottom w:val="single" w:sz="4" w:space="0" w:color="auto"/>
              <w:right w:val="single" w:sz="4" w:space="0" w:color="auto"/>
            </w:tcBorders>
            <w:shd w:val="clear" w:color="000000" w:fill="FFFFFF"/>
            <w:vAlign w:val="center"/>
            <w:hideMark/>
          </w:tcPr>
          <w:p w14:paraId="5FEF07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5,000,000</w:t>
            </w:r>
          </w:p>
        </w:tc>
        <w:tc>
          <w:tcPr>
            <w:tcW w:w="345" w:type="dxa"/>
            <w:tcBorders>
              <w:top w:val="nil"/>
              <w:left w:val="nil"/>
              <w:bottom w:val="single" w:sz="4" w:space="0" w:color="auto"/>
              <w:right w:val="single" w:sz="4" w:space="0" w:color="auto"/>
            </w:tcBorders>
            <w:shd w:val="clear" w:color="000000" w:fill="FFFFFF"/>
            <w:vAlign w:val="center"/>
            <w:hideMark/>
          </w:tcPr>
          <w:p w14:paraId="5FEF07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F07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345" w:type="dxa"/>
            <w:tcBorders>
              <w:top w:val="nil"/>
              <w:left w:val="nil"/>
              <w:bottom w:val="single" w:sz="4" w:space="0" w:color="auto"/>
              <w:right w:val="single" w:sz="4" w:space="0" w:color="auto"/>
            </w:tcBorders>
            <w:shd w:val="clear" w:color="000000" w:fill="FFFFFF"/>
            <w:vAlign w:val="center"/>
            <w:hideMark/>
          </w:tcPr>
          <w:p w14:paraId="5FEF07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28" w:type="dxa"/>
            <w:tcBorders>
              <w:top w:val="nil"/>
              <w:left w:val="nil"/>
              <w:bottom w:val="single" w:sz="4" w:space="0" w:color="auto"/>
              <w:right w:val="single" w:sz="4" w:space="0" w:color="auto"/>
            </w:tcBorders>
            <w:shd w:val="clear" w:color="000000" w:fill="FFFFFF"/>
            <w:vAlign w:val="center"/>
            <w:hideMark/>
          </w:tcPr>
          <w:p w14:paraId="5FEF07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15,000,000</w:t>
            </w:r>
          </w:p>
        </w:tc>
        <w:tc>
          <w:tcPr>
            <w:tcW w:w="218" w:type="dxa"/>
            <w:tcBorders>
              <w:top w:val="nil"/>
              <w:left w:val="nil"/>
              <w:bottom w:val="single" w:sz="4" w:space="0" w:color="auto"/>
              <w:right w:val="single" w:sz="4" w:space="0" w:color="auto"/>
            </w:tcBorders>
            <w:shd w:val="clear" w:color="000000" w:fill="FFFFFF"/>
            <w:vAlign w:val="center"/>
            <w:hideMark/>
          </w:tcPr>
          <w:p w14:paraId="5FEF07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7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7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7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75D"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74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6.1.8</w:t>
            </w:r>
          </w:p>
        </w:tc>
        <w:tc>
          <w:tcPr>
            <w:tcW w:w="814" w:type="dxa"/>
            <w:tcBorders>
              <w:top w:val="nil"/>
              <w:left w:val="nil"/>
              <w:bottom w:val="single" w:sz="4" w:space="0" w:color="auto"/>
              <w:right w:val="single" w:sz="4" w:space="0" w:color="auto"/>
            </w:tcBorders>
            <w:shd w:val="clear" w:color="000000" w:fill="FFFFFF"/>
            <w:vAlign w:val="bottom"/>
            <w:hideMark/>
          </w:tcPr>
          <w:p w14:paraId="5FEF074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Ndjekja penale e LHT dhe individëve të dyshuar për terrorizëm dhe financimin të tij.</w:t>
            </w:r>
          </w:p>
        </w:tc>
        <w:tc>
          <w:tcPr>
            <w:tcW w:w="350" w:type="dxa"/>
            <w:tcBorders>
              <w:top w:val="nil"/>
              <w:left w:val="nil"/>
              <w:bottom w:val="single" w:sz="4" w:space="0" w:color="auto"/>
              <w:right w:val="single" w:sz="4" w:space="0" w:color="auto"/>
            </w:tcBorders>
            <w:shd w:val="clear" w:color="000000" w:fill="FFFFFF"/>
            <w:vAlign w:val="center"/>
            <w:hideMark/>
          </w:tcPr>
          <w:p w14:paraId="5FEF07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000000" w:fill="FFFFFF"/>
            <w:vAlign w:val="center"/>
            <w:hideMark/>
          </w:tcPr>
          <w:p w14:paraId="5FEF07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000000" w:fill="FFFFFF"/>
            <w:vAlign w:val="center"/>
            <w:hideMark/>
          </w:tcPr>
          <w:p w14:paraId="5FEF07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MFE/DPPPP/SHISH</w:t>
            </w:r>
          </w:p>
        </w:tc>
        <w:tc>
          <w:tcPr>
            <w:tcW w:w="201" w:type="dxa"/>
            <w:tcBorders>
              <w:top w:val="nil"/>
              <w:left w:val="nil"/>
              <w:bottom w:val="single" w:sz="4" w:space="0" w:color="auto"/>
              <w:right w:val="single" w:sz="4" w:space="0" w:color="auto"/>
            </w:tcBorders>
            <w:shd w:val="clear" w:color="auto" w:fill="auto"/>
            <w:vAlign w:val="center"/>
            <w:hideMark/>
          </w:tcPr>
          <w:p w14:paraId="5FEF074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74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7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7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F07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7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7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03" w:type="dxa"/>
            <w:tcBorders>
              <w:top w:val="nil"/>
              <w:left w:val="nil"/>
              <w:bottom w:val="single" w:sz="4" w:space="0" w:color="auto"/>
              <w:right w:val="single" w:sz="4" w:space="0" w:color="auto"/>
            </w:tcBorders>
            <w:shd w:val="clear" w:color="000000" w:fill="FFFFFF"/>
            <w:vAlign w:val="center"/>
            <w:hideMark/>
          </w:tcPr>
          <w:p w14:paraId="5FEF07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228" w:type="dxa"/>
            <w:tcBorders>
              <w:top w:val="nil"/>
              <w:left w:val="nil"/>
              <w:bottom w:val="single" w:sz="4" w:space="0" w:color="auto"/>
              <w:right w:val="single" w:sz="4" w:space="0" w:color="auto"/>
            </w:tcBorders>
            <w:shd w:val="clear" w:color="000000" w:fill="FFFFFF"/>
            <w:vAlign w:val="center"/>
            <w:hideMark/>
          </w:tcPr>
          <w:p w14:paraId="5FEF07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7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8,000,000</w:t>
            </w:r>
          </w:p>
        </w:tc>
        <w:tc>
          <w:tcPr>
            <w:tcW w:w="345" w:type="dxa"/>
            <w:tcBorders>
              <w:top w:val="nil"/>
              <w:left w:val="nil"/>
              <w:bottom w:val="single" w:sz="4" w:space="0" w:color="auto"/>
              <w:right w:val="single" w:sz="4" w:space="0" w:color="auto"/>
            </w:tcBorders>
            <w:shd w:val="clear" w:color="000000" w:fill="FFFFFF"/>
            <w:vAlign w:val="center"/>
            <w:hideMark/>
          </w:tcPr>
          <w:p w14:paraId="5FEF07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F07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345" w:type="dxa"/>
            <w:tcBorders>
              <w:top w:val="nil"/>
              <w:left w:val="nil"/>
              <w:bottom w:val="single" w:sz="4" w:space="0" w:color="auto"/>
              <w:right w:val="single" w:sz="4" w:space="0" w:color="auto"/>
            </w:tcBorders>
            <w:shd w:val="clear" w:color="000000" w:fill="FFFFFF"/>
            <w:vAlign w:val="center"/>
            <w:hideMark/>
          </w:tcPr>
          <w:p w14:paraId="5FEF07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28" w:type="dxa"/>
            <w:tcBorders>
              <w:top w:val="nil"/>
              <w:left w:val="nil"/>
              <w:bottom w:val="single" w:sz="4" w:space="0" w:color="auto"/>
              <w:right w:val="single" w:sz="4" w:space="0" w:color="auto"/>
            </w:tcBorders>
            <w:shd w:val="clear" w:color="000000" w:fill="FFFFFF"/>
            <w:vAlign w:val="center"/>
            <w:hideMark/>
          </w:tcPr>
          <w:p w14:paraId="5FEF07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24,000,000</w:t>
            </w:r>
          </w:p>
        </w:tc>
        <w:tc>
          <w:tcPr>
            <w:tcW w:w="218" w:type="dxa"/>
            <w:tcBorders>
              <w:top w:val="nil"/>
              <w:left w:val="nil"/>
              <w:bottom w:val="single" w:sz="4" w:space="0" w:color="auto"/>
              <w:right w:val="single" w:sz="4" w:space="0" w:color="auto"/>
            </w:tcBorders>
            <w:shd w:val="clear" w:color="000000" w:fill="FFFFFF"/>
            <w:vAlign w:val="center"/>
            <w:hideMark/>
          </w:tcPr>
          <w:p w14:paraId="5FEF07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7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7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7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77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75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75F"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6.1</w:t>
            </w:r>
          </w:p>
        </w:tc>
        <w:tc>
          <w:tcPr>
            <w:tcW w:w="350" w:type="dxa"/>
            <w:tcBorders>
              <w:top w:val="nil"/>
              <w:left w:val="nil"/>
              <w:bottom w:val="single" w:sz="4" w:space="0" w:color="auto"/>
              <w:right w:val="single" w:sz="4" w:space="0" w:color="auto"/>
            </w:tcBorders>
            <w:shd w:val="clear" w:color="000000" w:fill="D9D9D9"/>
            <w:vAlign w:val="center"/>
            <w:hideMark/>
          </w:tcPr>
          <w:p w14:paraId="5FEF07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76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76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76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76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76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207,811,738</w:t>
            </w:r>
          </w:p>
        </w:tc>
        <w:tc>
          <w:tcPr>
            <w:tcW w:w="228" w:type="dxa"/>
            <w:tcBorders>
              <w:top w:val="nil"/>
              <w:left w:val="nil"/>
              <w:bottom w:val="single" w:sz="4" w:space="0" w:color="auto"/>
              <w:right w:val="single" w:sz="4" w:space="0" w:color="auto"/>
            </w:tcBorders>
            <w:shd w:val="clear" w:color="000000" w:fill="D9D9D9"/>
            <w:vAlign w:val="center"/>
            <w:hideMark/>
          </w:tcPr>
          <w:p w14:paraId="5FEF076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76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207,811,738</w:t>
            </w:r>
          </w:p>
        </w:tc>
        <w:tc>
          <w:tcPr>
            <w:tcW w:w="303" w:type="dxa"/>
            <w:tcBorders>
              <w:top w:val="nil"/>
              <w:left w:val="nil"/>
              <w:bottom w:val="single" w:sz="4" w:space="0" w:color="auto"/>
              <w:right w:val="single" w:sz="4" w:space="0" w:color="auto"/>
            </w:tcBorders>
            <w:shd w:val="clear" w:color="000000" w:fill="D9D9D9"/>
            <w:vAlign w:val="center"/>
            <w:hideMark/>
          </w:tcPr>
          <w:p w14:paraId="5FEF076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207,811,738</w:t>
            </w:r>
          </w:p>
        </w:tc>
        <w:tc>
          <w:tcPr>
            <w:tcW w:w="228" w:type="dxa"/>
            <w:tcBorders>
              <w:top w:val="nil"/>
              <w:left w:val="nil"/>
              <w:bottom w:val="single" w:sz="4" w:space="0" w:color="auto"/>
              <w:right w:val="single" w:sz="4" w:space="0" w:color="auto"/>
            </w:tcBorders>
            <w:shd w:val="clear" w:color="000000" w:fill="D9D9D9"/>
            <w:vAlign w:val="center"/>
            <w:hideMark/>
          </w:tcPr>
          <w:p w14:paraId="5FEF076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76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207,811,738</w:t>
            </w:r>
          </w:p>
        </w:tc>
        <w:tc>
          <w:tcPr>
            <w:tcW w:w="303" w:type="dxa"/>
            <w:tcBorders>
              <w:top w:val="nil"/>
              <w:left w:val="nil"/>
              <w:bottom w:val="single" w:sz="4" w:space="0" w:color="auto"/>
              <w:right w:val="single" w:sz="4" w:space="0" w:color="auto"/>
            </w:tcBorders>
            <w:shd w:val="clear" w:color="000000" w:fill="D9D9D9"/>
            <w:vAlign w:val="center"/>
            <w:hideMark/>
          </w:tcPr>
          <w:p w14:paraId="5FEF076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207,811,738</w:t>
            </w:r>
          </w:p>
        </w:tc>
        <w:tc>
          <w:tcPr>
            <w:tcW w:w="228" w:type="dxa"/>
            <w:tcBorders>
              <w:top w:val="nil"/>
              <w:left w:val="nil"/>
              <w:bottom w:val="single" w:sz="4" w:space="0" w:color="auto"/>
              <w:right w:val="single" w:sz="4" w:space="0" w:color="auto"/>
            </w:tcBorders>
            <w:shd w:val="clear" w:color="000000" w:fill="D9D9D9"/>
            <w:vAlign w:val="center"/>
            <w:hideMark/>
          </w:tcPr>
          <w:p w14:paraId="5FEF076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76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207,811,738</w:t>
            </w:r>
          </w:p>
        </w:tc>
        <w:tc>
          <w:tcPr>
            <w:tcW w:w="345" w:type="dxa"/>
            <w:tcBorders>
              <w:top w:val="nil"/>
              <w:left w:val="nil"/>
              <w:bottom w:val="single" w:sz="4" w:space="0" w:color="auto"/>
              <w:right w:val="single" w:sz="4" w:space="0" w:color="auto"/>
            </w:tcBorders>
            <w:shd w:val="clear" w:color="000000" w:fill="D9D9D9"/>
            <w:vAlign w:val="center"/>
            <w:hideMark/>
          </w:tcPr>
          <w:p w14:paraId="5FEF076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623,435,215</w:t>
            </w:r>
          </w:p>
        </w:tc>
        <w:tc>
          <w:tcPr>
            <w:tcW w:w="228" w:type="dxa"/>
            <w:tcBorders>
              <w:top w:val="nil"/>
              <w:left w:val="nil"/>
              <w:bottom w:val="single" w:sz="4" w:space="0" w:color="auto"/>
              <w:right w:val="single" w:sz="4" w:space="0" w:color="auto"/>
            </w:tcBorders>
            <w:shd w:val="clear" w:color="000000" w:fill="D9D9D9"/>
            <w:vAlign w:val="center"/>
            <w:hideMark/>
          </w:tcPr>
          <w:p w14:paraId="5FEF076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77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623,435,215</w:t>
            </w:r>
          </w:p>
        </w:tc>
        <w:tc>
          <w:tcPr>
            <w:tcW w:w="345" w:type="dxa"/>
            <w:tcBorders>
              <w:top w:val="nil"/>
              <w:left w:val="nil"/>
              <w:bottom w:val="single" w:sz="4" w:space="0" w:color="auto"/>
              <w:right w:val="single" w:sz="4" w:space="0" w:color="auto"/>
            </w:tcBorders>
            <w:shd w:val="clear" w:color="000000" w:fill="D9D9D9"/>
            <w:vAlign w:val="center"/>
            <w:hideMark/>
          </w:tcPr>
          <w:p w14:paraId="5FEF077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623,435,215</w:t>
            </w:r>
          </w:p>
        </w:tc>
        <w:tc>
          <w:tcPr>
            <w:tcW w:w="228" w:type="dxa"/>
            <w:tcBorders>
              <w:top w:val="nil"/>
              <w:left w:val="nil"/>
              <w:bottom w:val="single" w:sz="4" w:space="0" w:color="auto"/>
              <w:right w:val="single" w:sz="4" w:space="0" w:color="auto"/>
            </w:tcBorders>
            <w:shd w:val="clear" w:color="000000" w:fill="D9D9D9"/>
            <w:vAlign w:val="center"/>
            <w:hideMark/>
          </w:tcPr>
          <w:p w14:paraId="5FEF077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77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623,435,215</w:t>
            </w:r>
          </w:p>
        </w:tc>
        <w:tc>
          <w:tcPr>
            <w:tcW w:w="218" w:type="dxa"/>
            <w:tcBorders>
              <w:top w:val="nil"/>
              <w:left w:val="nil"/>
              <w:bottom w:val="single" w:sz="4" w:space="0" w:color="auto"/>
              <w:right w:val="single" w:sz="4" w:space="0" w:color="auto"/>
            </w:tcBorders>
            <w:shd w:val="clear" w:color="000000" w:fill="D9D9D9"/>
            <w:vAlign w:val="center"/>
            <w:hideMark/>
          </w:tcPr>
          <w:p w14:paraId="5FEF077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77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77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77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77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79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7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6.2</w:t>
            </w:r>
          </w:p>
        </w:tc>
        <w:tc>
          <w:tcPr>
            <w:tcW w:w="814" w:type="dxa"/>
            <w:tcBorders>
              <w:top w:val="nil"/>
              <w:left w:val="nil"/>
              <w:bottom w:val="single" w:sz="4" w:space="0" w:color="auto"/>
              <w:right w:val="single" w:sz="4" w:space="0" w:color="auto"/>
            </w:tcBorders>
            <w:shd w:val="clear" w:color="auto" w:fill="auto"/>
            <w:vAlign w:val="center"/>
            <w:hideMark/>
          </w:tcPr>
          <w:p w14:paraId="5FEF077B" w14:textId="27D086EF"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BASHKËPUNIMI DHE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KOORDINIMI ME AGJENCITË INTELIGJENTE E LIGJZBATUESE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SHISH, AISM, PROKURORINË, DPPPP, DP BURGJEVE, DHE QKEDH SI DHE INSTITUCIONE QË KANË DETYRIME NË LUFTËN KUNDËR TERRORIZMIT</w:t>
            </w:r>
          </w:p>
        </w:tc>
        <w:tc>
          <w:tcPr>
            <w:tcW w:w="350" w:type="dxa"/>
            <w:tcBorders>
              <w:top w:val="nil"/>
              <w:left w:val="nil"/>
              <w:bottom w:val="single" w:sz="4" w:space="0" w:color="auto"/>
              <w:right w:val="single" w:sz="4" w:space="0" w:color="auto"/>
            </w:tcBorders>
            <w:shd w:val="clear" w:color="auto" w:fill="auto"/>
            <w:vAlign w:val="center"/>
            <w:hideMark/>
          </w:tcPr>
          <w:p w14:paraId="5FEF07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77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7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7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7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7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7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7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7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7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7B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79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797"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7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7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7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7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7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7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7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7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7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7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7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7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7CD"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7B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6.2.1</w:t>
            </w:r>
          </w:p>
        </w:tc>
        <w:tc>
          <w:tcPr>
            <w:tcW w:w="814" w:type="dxa"/>
            <w:tcBorders>
              <w:top w:val="nil"/>
              <w:left w:val="nil"/>
              <w:bottom w:val="single" w:sz="4" w:space="0" w:color="auto"/>
              <w:right w:val="single" w:sz="4" w:space="0" w:color="auto"/>
            </w:tcBorders>
            <w:shd w:val="clear" w:color="auto" w:fill="auto"/>
            <w:vAlign w:val="center"/>
            <w:hideMark/>
          </w:tcPr>
          <w:p w14:paraId="5FEF07B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Kryerja e analizave të përbashkëta midis institucioneve të gjurmimit, hetimit lidhur me grupe kriminale të hetuara e gjykuara për terrorizëm, në funksion të marrjes së masave parandaluese</w:t>
            </w:r>
          </w:p>
        </w:tc>
        <w:tc>
          <w:tcPr>
            <w:tcW w:w="350" w:type="dxa"/>
            <w:tcBorders>
              <w:top w:val="nil"/>
              <w:left w:val="nil"/>
              <w:bottom w:val="single" w:sz="4" w:space="0" w:color="auto"/>
              <w:right w:val="single" w:sz="4" w:space="0" w:color="auto"/>
            </w:tcBorders>
            <w:shd w:val="clear" w:color="auto" w:fill="auto"/>
            <w:vAlign w:val="center"/>
            <w:hideMark/>
          </w:tcPr>
          <w:p w14:paraId="5FEF07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Veprimtaria e SPAK 03390</w:t>
            </w:r>
          </w:p>
        </w:tc>
        <w:tc>
          <w:tcPr>
            <w:tcW w:w="458" w:type="dxa"/>
            <w:tcBorders>
              <w:top w:val="nil"/>
              <w:left w:val="nil"/>
              <w:bottom w:val="single" w:sz="4" w:space="0" w:color="auto"/>
              <w:right w:val="single" w:sz="4" w:space="0" w:color="auto"/>
            </w:tcBorders>
            <w:shd w:val="clear" w:color="auto" w:fill="auto"/>
            <w:vAlign w:val="center"/>
            <w:hideMark/>
          </w:tcPr>
          <w:p w14:paraId="5FEF07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SPAK</w:t>
            </w:r>
          </w:p>
        </w:tc>
        <w:tc>
          <w:tcPr>
            <w:tcW w:w="1442" w:type="dxa"/>
            <w:tcBorders>
              <w:top w:val="nil"/>
              <w:left w:val="nil"/>
              <w:bottom w:val="single" w:sz="4" w:space="0" w:color="auto"/>
              <w:right w:val="single" w:sz="4" w:space="0" w:color="auto"/>
            </w:tcBorders>
            <w:shd w:val="clear" w:color="000000" w:fill="FFFFFF"/>
            <w:vAlign w:val="center"/>
            <w:hideMark/>
          </w:tcPr>
          <w:p w14:paraId="5FEF07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MFE/DPPPP/PSH/DAT/</w:t>
            </w:r>
            <w:r w:rsidRPr="00795698">
              <w:rPr>
                <w:rFonts w:ascii="Arial" w:hAnsi="Arial" w:cs="Arial"/>
                <w:color w:val="000000"/>
                <w:sz w:val="6"/>
                <w:szCs w:val="6"/>
                <w:lang w:eastAsia="sq-AL"/>
              </w:rPr>
              <w:br/>
              <w:t>SHISH/MM/AISM</w:t>
            </w:r>
          </w:p>
        </w:tc>
        <w:tc>
          <w:tcPr>
            <w:tcW w:w="201" w:type="dxa"/>
            <w:tcBorders>
              <w:top w:val="nil"/>
              <w:left w:val="nil"/>
              <w:bottom w:val="single" w:sz="4" w:space="0" w:color="auto"/>
              <w:right w:val="single" w:sz="4" w:space="0" w:color="auto"/>
            </w:tcBorders>
            <w:shd w:val="clear" w:color="auto" w:fill="auto"/>
            <w:vAlign w:val="center"/>
            <w:hideMark/>
          </w:tcPr>
          <w:p w14:paraId="5FEF07B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7B8"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7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F07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vAlign w:val="center"/>
            <w:hideMark/>
          </w:tcPr>
          <w:p w14:paraId="5FEF07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vAlign w:val="center"/>
            <w:hideMark/>
          </w:tcPr>
          <w:p w14:paraId="5FEF07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vAlign w:val="center"/>
            <w:hideMark/>
          </w:tcPr>
          <w:p w14:paraId="5FEF07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28" w:type="dxa"/>
            <w:tcBorders>
              <w:top w:val="nil"/>
              <w:left w:val="nil"/>
              <w:bottom w:val="single" w:sz="4" w:space="0" w:color="auto"/>
              <w:right w:val="single" w:sz="4" w:space="0" w:color="auto"/>
            </w:tcBorders>
            <w:shd w:val="clear" w:color="000000" w:fill="FFFFFF"/>
            <w:vAlign w:val="center"/>
            <w:hideMark/>
          </w:tcPr>
          <w:p w14:paraId="5FEF07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w:t>
            </w:r>
          </w:p>
        </w:tc>
        <w:tc>
          <w:tcPr>
            <w:tcW w:w="228" w:type="dxa"/>
            <w:tcBorders>
              <w:top w:val="nil"/>
              <w:left w:val="nil"/>
              <w:bottom w:val="single" w:sz="4" w:space="0" w:color="auto"/>
              <w:right w:val="single" w:sz="4" w:space="0" w:color="auto"/>
            </w:tcBorders>
            <w:shd w:val="clear" w:color="000000" w:fill="FFFFFF"/>
            <w:vAlign w:val="center"/>
            <w:hideMark/>
          </w:tcPr>
          <w:p w14:paraId="5FEF07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w:t>
            </w:r>
          </w:p>
        </w:tc>
        <w:tc>
          <w:tcPr>
            <w:tcW w:w="345" w:type="dxa"/>
            <w:tcBorders>
              <w:top w:val="nil"/>
              <w:left w:val="nil"/>
              <w:bottom w:val="single" w:sz="4" w:space="0" w:color="auto"/>
              <w:right w:val="single" w:sz="4" w:space="0" w:color="auto"/>
            </w:tcBorders>
            <w:shd w:val="clear" w:color="000000" w:fill="FFFFFF"/>
            <w:vAlign w:val="center"/>
            <w:hideMark/>
          </w:tcPr>
          <w:p w14:paraId="5FEF07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w:t>
            </w:r>
          </w:p>
        </w:tc>
        <w:tc>
          <w:tcPr>
            <w:tcW w:w="228" w:type="dxa"/>
            <w:tcBorders>
              <w:top w:val="nil"/>
              <w:left w:val="nil"/>
              <w:bottom w:val="single" w:sz="4" w:space="0" w:color="auto"/>
              <w:right w:val="single" w:sz="4" w:space="0" w:color="auto"/>
            </w:tcBorders>
            <w:shd w:val="clear" w:color="000000" w:fill="FFFFFF"/>
            <w:vAlign w:val="center"/>
            <w:hideMark/>
          </w:tcPr>
          <w:p w14:paraId="5FEF07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1,000,000</w:t>
            </w:r>
          </w:p>
        </w:tc>
        <w:tc>
          <w:tcPr>
            <w:tcW w:w="218" w:type="dxa"/>
            <w:tcBorders>
              <w:top w:val="nil"/>
              <w:left w:val="nil"/>
              <w:bottom w:val="single" w:sz="4" w:space="0" w:color="auto"/>
              <w:right w:val="single" w:sz="4" w:space="0" w:color="auto"/>
            </w:tcBorders>
            <w:shd w:val="clear" w:color="000000" w:fill="FFFFFF"/>
            <w:vAlign w:val="center"/>
            <w:hideMark/>
          </w:tcPr>
          <w:p w14:paraId="5FEF07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7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7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7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7E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7C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6.2.2</w:t>
            </w:r>
          </w:p>
        </w:tc>
        <w:tc>
          <w:tcPr>
            <w:tcW w:w="814" w:type="dxa"/>
            <w:tcBorders>
              <w:top w:val="nil"/>
              <w:left w:val="nil"/>
              <w:bottom w:val="single" w:sz="4" w:space="0" w:color="auto"/>
              <w:right w:val="single" w:sz="4" w:space="0" w:color="auto"/>
            </w:tcBorders>
            <w:shd w:val="clear" w:color="auto" w:fill="auto"/>
            <w:vAlign w:val="center"/>
            <w:hideMark/>
          </w:tcPr>
          <w:p w14:paraId="5FEF07CF" w14:textId="28E4FB55"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Shkëmbimi i informacioneve dhe analizave të përbashkëta ndërmjet Drejtorisë së Antiterrorit dhe DPPPP, DPT, DPD</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dhe institucioneve të tjera ligj zbatuese në vend, për hetimet e veprave penale në fushën</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e luftës kundër terrorizmit dhe financimit të tij</w:t>
            </w:r>
          </w:p>
        </w:tc>
        <w:tc>
          <w:tcPr>
            <w:tcW w:w="350" w:type="dxa"/>
            <w:tcBorders>
              <w:top w:val="nil"/>
              <w:left w:val="nil"/>
              <w:bottom w:val="single" w:sz="4" w:space="0" w:color="auto"/>
              <w:right w:val="single" w:sz="4" w:space="0" w:color="auto"/>
            </w:tcBorders>
            <w:shd w:val="clear" w:color="auto" w:fill="auto"/>
            <w:vAlign w:val="center"/>
            <w:hideMark/>
          </w:tcPr>
          <w:p w14:paraId="5FEF07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7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F07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MFE/DPPPP/SHISH/MM/AISM/SPAK</w:t>
            </w:r>
          </w:p>
        </w:tc>
        <w:tc>
          <w:tcPr>
            <w:tcW w:w="201" w:type="dxa"/>
            <w:tcBorders>
              <w:top w:val="nil"/>
              <w:left w:val="nil"/>
              <w:bottom w:val="single" w:sz="4" w:space="0" w:color="auto"/>
              <w:right w:val="single" w:sz="4" w:space="0" w:color="auto"/>
            </w:tcBorders>
            <w:shd w:val="clear" w:color="auto" w:fill="auto"/>
            <w:vAlign w:val="center"/>
            <w:hideMark/>
          </w:tcPr>
          <w:p w14:paraId="5FEF07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7D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7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7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03" w:type="dxa"/>
            <w:tcBorders>
              <w:top w:val="nil"/>
              <w:left w:val="nil"/>
              <w:bottom w:val="single" w:sz="4" w:space="0" w:color="auto"/>
              <w:right w:val="single" w:sz="4" w:space="0" w:color="auto"/>
            </w:tcBorders>
            <w:shd w:val="clear" w:color="000000" w:fill="FFFFFF"/>
            <w:vAlign w:val="center"/>
            <w:hideMark/>
          </w:tcPr>
          <w:p w14:paraId="5FEF07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7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03" w:type="dxa"/>
            <w:tcBorders>
              <w:top w:val="nil"/>
              <w:left w:val="nil"/>
              <w:bottom w:val="single" w:sz="4" w:space="0" w:color="auto"/>
              <w:right w:val="single" w:sz="4" w:space="0" w:color="auto"/>
            </w:tcBorders>
            <w:shd w:val="clear" w:color="000000" w:fill="FFFFFF"/>
            <w:vAlign w:val="center"/>
            <w:hideMark/>
          </w:tcPr>
          <w:p w14:paraId="5FEF07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7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7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45" w:type="dxa"/>
            <w:tcBorders>
              <w:top w:val="nil"/>
              <w:left w:val="nil"/>
              <w:bottom w:val="single" w:sz="4" w:space="0" w:color="auto"/>
              <w:right w:val="single" w:sz="4" w:space="0" w:color="auto"/>
            </w:tcBorders>
            <w:shd w:val="clear" w:color="000000" w:fill="FFFFFF"/>
            <w:vAlign w:val="center"/>
            <w:hideMark/>
          </w:tcPr>
          <w:p w14:paraId="5FEF07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4,500,000</w:t>
            </w:r>
          </w:p>
        </w:tc>
        <w:tc>
          <w:tcPr>
            <w:tcW w:w="228" w:type="dxa"/>
            <w:tcBorders>
              <w:top w:val="nil"/>
              <w:left w:val="nil"/>
              <w:bottom w:val="single" w:sz="4" w:space="0" w:color="auto"/>
              <w:right w:val="single" w:sz="4" w:space="0" w:color="auto"/>
            </w:tcBorders>
            <w:shd w:val="clear" w:color="000000" w:fill="FFFFFF"/>
            <w:vAlign w:val="center"/>
            <w:hideMark/>
          </w:tcPr>
          <w:p w14:paraId="5FEF07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4,500,000</w:t>
            </w:r>
          </w:p>
        </w:tc>
        <w:tc>
          <w:tcPr>
            <w:tcW w:w="345" w:type="dxa"/>
            <w:tcBorders>
              <w:top w:val="nil"/>
              <w:left w:val="nil"/>
              <w:bottom w:val="single" w:sz="4" w:space="0" w:color="auto"/>
              <w:right w:val="single" w:sz="4" w:space="0" w:color="auto"/>
            </w:tcBorders>
            <w:shd w:val="clear" w:color="000000" w:fill="FFFFFF"/>
            <w:vAlign w:val="center"/>
            <w:hideMark/>
          </w:tcPr>
          <w:p w14:paraId="5FEF07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4,500,000</w:t>
            </w:r>
          </w:p>
        </w:tc>
        <w:tc>
          <w:tcPr>
            <w:tcW w:w="228" w:type="dxa"/>
            <w:tcBorders>
              <w:top w:val="nil"/>
              <w:left w:val="nil"/>
              <w:bottom w:val="single" w:sz="4" w:space="0" w:color="auto"/>
              <w:right w:val="single" w:sz="4" w:space="0" w:color="auto"/>
            </w:tcBorders>
            <w:shd w:val="clear" w:color="000000" w:fill="FFFFFF"/>
            <w:vAlign w:val="center"/>
            <w:hideMark/>
          </w:tcPr>
          <w:p w14:paraId="5FEF07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7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4,500,000</w:t>
            </w:r>
          </w:p>
        </w:tc>
        <w:tc>
          <w:tcPr>
            <w:tcW w:w="218" w:type="dxa"/>
            <w:tcBorders>
              <w:top w:val="nil"/>
              <w:left w:val="nil"/>
              <w:bottom w:val="single" w:sz="4" w:space="0" w:color="auto"/>
              <w:right w:val="single" w:sz="4" w:space="0" w:color="auto"/>
            </w:tcBorders>
            <w:shd w:val="clear" w:color="000000" w:fill="FFFFFF"/>
            <w:vAlign w:val="center"/>
            <w:hideMark/>
          </w:tcPr>
          <w:p w14:paraId="5FEF07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7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7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7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7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80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7E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7E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6.2</w:t>
            </w:r>
          </w:p>
        </w:tc>
        <w:tc>
          <w:tcPr>
            <w:tcW w:w="350" w:type="dxa"/>
            <w:tcBorders>
              <w:top w:val="nil"/>
              <w:left w:val="nil"/>
              <w:bottom w:val="single" w:sz="4" w:space="0" w:color="auto"/>
              <w:right w:val="single" w:sz="4" w:space="0" w:color="auto"/>
            </w:tcBorders>
            <w:shd w:val="clear" w:color="000000" w:fill="D9D9D9"/>
            <w:vAlign w:val="center"/>
            <w:hideMark/>
          </w:tcPr>
          <w:p w14:paraId="5FEF07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7E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7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7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7F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7F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228" w:type="dxa"/>
            <w:tcBorders>
              <w:top w:val="nil"/>
              <w:left w:val="nil"/>
              <w:bottom w:val="single" w:sz="4" w:space="0" w:color="auto"/>
              <w:right w:val="single" w:sz="4" w:space="0" w:color="auto"/>
            </w:tcBorders>
            <w:shd w:val="clear" w:color="000000" w:fill="D9D9D9"/>
            <w:vAlign w:val="center"/>
            <w:hideMark/>
          </w:tcPr>
          <w:p w14:paraId="5FEF07F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7F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303" w:type="dxa"/>
            <w:tcBorders>
              <w:top w:val="nil"/>
              <w:left w:val="nil"/>
              <w:bottom w:val="single" w:sz="4" w:space="0" w:color="auto"/>
              <w:right w:val="single" w:sz="4" w:space="0" w:color="auto"/>
            </w:tcBorders>
            <w:shd w:val="clear" w:color="000000" w:fill="D9D9D9"/>
            <w:vAlign w:val="center"/>
            <w:hideMark/>
          </w:tcPr>
          <w:p w14:paraId="5FEF07F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228" w:type="dxa"/>
            <w:tcBorders>
              <w:top w:val="nil"/>
              <w:left w:val="nil"/>
              <w:bottom w:val="single" w:sz="4" w:space="0" w:color="auto"/>
              <w:right w:val="single" w:sz="4" w:space="0" w:color="auto"/>
            </w:tcBorders>
            <w:shd w:val="clear" w:color="000000" w:fill="D9D9D9"/>
            <w:vAlign w:val="center"/>
            <w:hideMark/>
          </w:tcPr>
          <w:p w14:paraId="5FEF07F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7F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303" w:type="dxa"/>
            <w:tcBorders>
              <w:top w:val="nil"/>
              <w:left w:val="nil"/>
              <w:bottom w:val="single" w:sz="4" w:space="0" w:color="auto"/>
              <w:right w:val="single" w:sz="4" w:space="0" w:color="auto"/>
            </w:tcBorders>
            <w:shd w:val="clear" w:color="000000" w:fill="D9D9D9"/>
            <w:vAlign w:val="center"/>
            <w:hideMark/>
          </w:tcPr>
          <w:p w14:paraId="5FEF07F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1,500,000</w:t>
            </w:r>
          </w:p>
        </w:tc>
        <w:tc>
          <w:tcPr>
            <w:tcW w:w="228" w:type="dxa"/>
            <w:tcBorders>
              <w:top w:val="nil"/>
              <w:left w:val="nil"/>
              <w:bottom w:val="single" w:sz="4" w:space="0" w:color="auto"/>
              <w:right w:val="single" w:sz="4" w:space="0" w:color="auto"/>
            </w:tcBorders>
            <w:shd w:val="clear" w:color="000000" w:fill="D9D9D9"/>
            <w:vAlign w:val="center"/>
            <w:hideMark/>
          </w:tcPr>
          <w:p w14:paraId="5FEF07F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7F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1,500,000</w:t>
            </w:r>
          </w:p>
        </w:tc>
        <w:tc>
          <w:tcPr>
            <w:tcW w:w="345" w:type="dxa"/>
            <w:tcBorders>
              <w:top w:val="nil"/>
              <w:left w:val="nil"/>
              <w:bottom w:val="single" w:sz="4" w:space="0" w:color="auto"/>
              <w:right w:val="single" w:sz="4" w:space="0" w:color="auto"/>
            </w:tcBorders>
            <w:shd w:val="clear" w:color="000000" w:fill="D9D9D9"/>
            <w:vAlign w:val="center"/>
            <w:hideMark/>
          </w:tcPr>
          <w:p w14:paraId="5FEF07F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5,500,000</w:t>
            </w:r>
          </w:p>
        </w:tc>
        <w:tc>
          <w:tcPr>
            <w:tcW w:w="228" w:type="dxa"/>
            <w:tcBorders>
              <w:top w:val="nil"/>
              <w:left w:val="nil"/>
              <w:bottom w:val="single" w:sz="4" w:space="0" w:color="auto"/>
              <w:right w:val="single" w:sz="4" w:space="0" w:color="auto"/>
            </w:tcBorders>
            <w:shd w:val="clear" w:color="000000" w:fill="D9D9D9"/>
            <w:vAlign w:val="center"/>
            <w:hideMark/>
          </w:tcPr>
          <w:p w14:paraId="5FEF07F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7F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5,500,000</w:t>
            </w:r>
          </w:p>
        </w:tc>
        <w:tc>
          <w:tcPr>
            <w:tcW w:w="345" w:type="dxa"/>
            <w:tcBorders>
              <w:top w:val="nil"/>
              <w:left w:val="nil"/>
              <w:bottom w:val="single" w:sz="4" w:space="0" w:color="auto"/>
              <w:right w:val="single" w:sz="4" w:space="0" w:color="auto"/>
            </w:tcBorders>
            <w:shd w:val="clear" w:color="000000" w:fill="D9D9D9"/>
            <w:vAlign w:val="center"/>
            <w:hideMark/>
          </w:tcPr>
          <w:p w14:paraId="5FEF07F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5,500,000</w:t>
            </w:r>
          </w:p>
        </w:tc>
        <w:tc>
          <w:tcPr>
            <w:tcW w:w="228" w:type="dxa"/>
            <w:tcBorders>
              <w:top w:val="nil"/>
              <w:left w:val="nil"/>
              <w:bottom w:val="single" w:sz="4" w:space="0" w:color="auto"/>
              <w:right w:val="single" w:sz="4" w:space="0" w:color="auto"/>
            </w:tcBorders>
            <w:shd w:val="clear" w:color="000000" w:fill="D9D9D9"/>
            <w:vAlign w:val="center"/>
            <w:hideMark/>
          </w:tcPr>
          <w:p w14:paraId="5FEF07F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7F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5,500,000</w:t>
            </w:r>
          </w:p>
        </w:tc>
        <w:tc>
          <w:tcPr>
            <w:tcW w:w="218" w:type="dxa"/>
            <w:tcBorders>
              <w:top w:val="nil"/>
              <w:left w:val="nil"/>
              <w:bottom w:val="single" w:sz="4" w:space="0" w:color="auto"/>
              <w:right w:val="single" w:sz="4" w:space="0" w:color="auto"/>
            </w:tcBorders>
            <w:shd w:val="clear" w:color="000000" w:fill="D9D9D9"/>
            <w:vAlign w:val="center"/>
            <w:hideMark/>
          </w:tcPr>
          <w:p w14:paraId="5FEF080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80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80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80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80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82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80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6.3</w:t>
            </w:r>
          </w:p>
        </w:tc>
        <w:tc>
          <w:tcPr>
            <w:tcW w:w="814" w:type="dxa"/>
            <w:tcBorders>
              <w:top w:val="nil"/>
              <w:left w:val="nil"/>
              <w:bottom w:val="single" w:sz="4" w:space="0" w:color="auto"/>
              <w:right w:val="single" w:sz="4" w:space="0" w:color="auto"/>
            </w:tcBorders>
            <w:shd w:val="clear" w:color="auto" w:fill="auto"/>
            <w:vAlign w:val="center"/>
            <w:hideMark/>
          </w:tcPr>
          <w:p w14:paraId="5FEF0807" w14:textId="0020EE04"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PËRMIRËSIMI DHE RRITJA</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E KAPACITETEVE NJERËZORE, PROFESIONALE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E LOGJISTIKE TË STRUKTURAVE TË ANTITERRORIT</w:t>
            </w:r>
          </w:p>
        </w:tc>
        <w:tc>
          <w:tcPr>
            <w:tcW w:w="350" w:type="dxa"/>
            <w:tcBorders>
              <w:top w:val="nil"/>
              <w:left w:val="nil"/>
              <w:bottom w:val="single" w:sz="4" w:space="0" w:color="auto"/>
              <w:right w:val="single" w:sz="4" w:space="0" w:color="auto"/>
            </w:tcBorders>
            <w:shd w:val="clear" w:color="auto" w:fill="auto"/>
            <w:vAlign w:val="center"/>
            <w:hideMark/>
          </w:tcPr>
          <w:p w14:paraId="5FEF08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8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8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8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8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8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8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8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8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83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82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82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8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8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8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8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8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8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8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8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8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85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83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6.3.1</w:t>
            </w:r>
          </w:p>
        </w:tc>
        <w:tc>
          <w:tcPr>
            <w:tcW w:w="814" w:type="dxa"/>
            <w:tcBorders>
              <w:top w:val="nil"/>
              <w:left w:val="nil"/>
              <w:bottom w:val="single" w:sz="4" w:space="0" w:color="auto"/>
              <w:right w:val="single" w:sz="4" w:space="0" w:color="auto"/>
            </w:tcBorders>
            <w:shd w:val="clear" w:color="auto" w:fill="auto"/>
            <w:vAlign w:val="center"/>
            <w:hideMark/>
          </w:tcPr>
          <w:p w14:paraId="5FEF083F" w14:textId="6E544CBE"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Trajnimi i vazhdueshëm me praktikat</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e teknikat më të mira</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bashkëkohore të strukturave të Drejtorisë së Antiterrorit.</w:t>
            </w:r>
          </w:p>
        </w:tc>
        <w:tc>
          <w:tcPr>
            <w:tcW w:w="350" w:type="dxa"/>
            <w:tcBorders>
              <w:top w:val="nil"/>
              <w:left w:val="nil"/>
              <w:bottom w:val="single" w:sz="4" w:space="0" w:color="auto"/>
              <w:right w:val="single" w:sz="4" w:space="0" w:color="auto"/>
            </w:tcBorders>
            <w:shd w:val="clear" w:color="auto" w:fill="auto"/>
            <w:vAlign w:val="center"/>
            <w:hideMark/>
          </w:tcPr>
          <w:p w14:paraId="5FEF08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b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8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PSH/DAT</w:t>
            </w:r>
          </w:p>
        </w:tc>
        <w:tc>
          <w:tcPr>
            <w:tcW w:w="1442" w:type="dxa"/>
            <w:tcBorders>
              <w:top w:val="nil"/>
              <w:left w:val="nil"/>
              <w:bottom w:val="single" w:sz="4" w:space="0" w:color="auto"/>
              <w:right w:val="single" w:sz="4" w:space="0" w:color="auto"/>
            </w:tcBorders>
            <w:shd w:val="clear" w:color="auto" w:fill="auto"/>
            <w:vAlign w:val="center"/>
            <w:hideMark/>
          </w:tcPr>
          <w:p w14:paraId="5FEF08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MFE/DPPPP/SHISH/MM/AISM/SPAK</w:t>
            </w:r>
          </w:p>
        </w:tc>
        <w:tc>
          <w:tcPr>
            <w:tcW w:w="201" w:type="dxa"/>
            <w:tcBorders>
              <w:top w:val="nil"/>
              <w:left w:val="nil"/>
              <w:bottom w:val="single" w:sz="4" w:space="0" w:color="auto"/>
              <w:right w:val="single" w:sz="4" w:space="0" w:color="auto"/>
            </w:tcBorders>
            <w:shd w:val="clear" w:color="auto" w:fill="auto"/>
            <w:vAlign w:val="center"/>
            <w:hideMark/>
          </w:tcPr>
          <w:p w14:paraId="5FEF084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84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8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228" w:type="dxa"/>
            <w:tcBorders>
              <w:top w:val="nil"/>
              <w:left w:val="nil"/>
              <w:bottom w:val="single" w:sz="4" w:space="0" w:color="auto"/>
              <w:right w:val="single" w:sz="4" w:space="0" w:color="auto"/>
            </w:tcBorders>
            <w:shd w:val="clear" w:color="000000" w:fill="FFFFFF"/>
            <w:vAlign w:val="center"/>
            <w:hideMark/>
          </w:tcPr>
          <w:p w14:paraId="5FEF08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8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303" w:type="dxa"/>
            <w:tcBorders>
              <w:top w:val="nil"/>
              <w:left w:val="nil"/>
              <w:bottom w:val="single" w:sz="4" w:space="0" w:color="auto"/>
              <w:right w:val="single" w:sz="4" w:space="0" w:color="auto"/>
            </w:tcBorders>
            <w:shd w:val="clear" w:color="000000" w:fill="FFFFFF"/>
            <w:vAlign w:val="center"/>
            <w:hideMark/>
          </w:tcPr>
          <w:p w14:paraId="5FEF08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228" w:type="dxa"/>
            <w:tcBorders>
              <w:top w:val="nil"/>
              <w:left w:val="nil"/>
              <w:bottom w:val="single" w:sz="4" w:space="0" w:color="auto"/>
              <w:right w:val="single" w:sz="4" w:space="0" w:color="auto"/>
            </w:tcBorders>
            <w:shd w:val="clear" w:color="000000" w:fill="FFFFFF"/>
            <w:vAlign w:val="center"/>
            <w:hideMark/>
          </w:tcPr>
          <w:p w14:paraId="5FEF08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8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303" w:type="dxa"/>
            <w:tcBorders>
              <w:top w:val="nil"/>
              <w:left w:val="nil"/>
              <w:bottom w:val="single" w:sz="4" w:space="0" w:color="auto"/>
              <w:right w:val="single" w:sz="4" w:space="0" w:color="auto"/>
            </w:tcBorders>
            <w:shd w:val="clear" w:color="000000" w:fill="FFFFFF"/>
            <w:vAlign w:val="center"/>
            <w:hideMark/>
          </w:tcPr>
          <w:p w14:paraId="5FEF08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228" w:type="dxa"/>
            <w:tcBorders>
              <w:top w:val="nil"/>
              <w:left w:val="nil"/>
              <w:bottom w:val="single" w:sz="4" w:space="0" w:color="auto"/>
              <w:right w:val="single" w:sz="4" w:space="0" w:color="auto"/>
            </w:tcBorders>
            <w:shd w:val="clear" w:color="000000" w:fill="FFFFFF"/>
            <w:vAlign w:val="center"/>
            <w:hideMark/>
          </w:tcPr>
          <w:p w14:paraId="5FEF08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8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2,000,000</w:t>
            </w:r>
          </w:p>
        </w:tc>
        <w:tc>
          <w:tcPr>
            <w:tcW w:w="345" w:type="dxa"/>
            <w:tcBorders>
              <w:top w:val="nil"/>
              <w:left w:val="nil"/>
              <w:bottom w:val="single" w:sz="4" w:space="0" w:color="auto"/>
              <w:right w:val="single" w:sz="4" w:space="0" w:color="auto"/>
            </w:tcBorders>
            <w:shd w:val="clear" w:color="000000" w:fill="FFFFFF"/>
            <w:vAlign w:val="center"/>
            <w:hideMark/>
          </w:tcPr>
          <w:p w14:paraId="5FEF08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F08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8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5FEF08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28" w:type="dxa"/>
            <w:tcBorders>
              <w:top w:val="nil"/>
              <w:left w:val="nil"/>
              <w:bottom w:val="single" w:sz="4" w:space="0" w:color="auto"/>
              <w:right w:val="single" w:sz="4" w:space="0" w:color="auto"/>
            </w:tcBorders>
            <w:shd w:val="clear" w:color="000000" w:fill="FFFFFF"/>
            <w:vAlign w:val="center"/>
            <w:hideMark/>
          </w:tcPr>
          <w:p w14:paraId="5FEF08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8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6,000,000</w:t>
            </w:r>
          </w:p>
        </w:tc>
        <w:tc>
          <w:tcPr>
            <w:tcW w:w="218" w:type="dxa"/>
            <w:tcBorders>
              <w:top w:val="nil"/>
              <w:left w:val="nil"/>
              <w:bottom w:val="single" w:sz="4" w:space="0" w:color="auto"/>
              <w:right w:val="single" w:sz="4" w:space="0" w:color="auto"/>
            </w:tcBorders>
            <w:shd w:val="clear" w:color="000000" w:fill="FFFFFF"/>
            <w:vAlign w:val="center"/>
            <w:hideMark/>
          </w:tcPr>
          <w:p w14:paraId="5FEF08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8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8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8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8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87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8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85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6.3</w:t>
            </w:r>
          </w:p>
        </w:tc>
        <w:tc>
          <w:tcPr>
            <w:tcW w:w="350" w:type="dxa"/>
            <w:tcBorders>
              <w:top w:val="nil"/>
              <w:left w:val="nil"/>
              <w:bottom w:val="single" w:sz="4" w:space="0" w:color="auto"/>
              <w:right w:val="single" w:sz="4" w:space="0" w:color="auto"/>
            </w:tcBorders>
            <w:shd w:val="clear" w:color="000000" w:fill="D9D9D9"/>
            <w:vAlign w:val="center"/>
            <w:hideMark/>
          </w:tcPr>
          <w:p w14:paraId="5FEF08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85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85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85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86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86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228" w:type="dxa"/>
            <w:tcBorders>
              <w:top w:val="nil"/>
              <w:left w:val="nil"/>
              <w:bottom w:val="single" w:sz="4" w:space="0" w:color="auto"/>
              <w:right w:val="single" w:sz="4" w:space="0" w:color="auto"/>
            </w:tcBorders>
            <w:shd w:val="clear" w:color="000000" w:fill="D9D9D9"/>
            <w:vAlign w:val="center"/>
            <w:hideMark/>
          </w:tcPr>
          <w:p w14:paraId="5FEF086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6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303" w:type="dxa"/>
            <w:tcBorders>
              <w:top w:val="nil"/>
              <w:left w:val="nil"/>
              <w:bottom w:val="single" w:sz="4" w:space="0" w:color="auto"/>
              <w:right w:val="single" w:sz="4" w:space="0" w:color="auto"/>
            </w:tcBorders>
            <w:shd w:val="clear" w:color="000000" w:fill="D9D9D9"/>
            <w:vAlign w:val="center"/>
            <w:hideMark/>
          </w:tcPr>
          <w:p w14:paraId="5FEF086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228" w:type="dxa"/>
            <w:tcBorders>
              <w:top w:val="nil"/>
              <w:left w:val="nil"/>
              <w:bottom w:val="single" w:sz="4" w:space="0" w:color="auto"/>
              <w:right w:val="single" w:sz="4" w:space="0" w:color="auto"/>
            </w:tcBorders>
            <w:shd w:val="clear" w:color="000000" w:fill="D9D9D9"/>
            <w:vAlign w:val="center"/>
            <w:hideMark/>
          </w:tcPr>
          <w:p w14:paraId="5FEF086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6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303" w:type="dxa"/>
            <w:tcBorders>
              <w:top w:val="nil"/>
              <w:left w:val="nil"/>
              <w:bottom w:val="single" w:sz="4" w:space="0" w:color="auto"/>
              <w:right w:val="single" w:sz="4" w:space="0" w:color="auto"/>
            </w:tcBorders>
            <w:shd w:val="clear" w:color="000000" w:fill="D9D9D9"/>
            <w:vAlign w:val="center"/>
            <w:hideMark/>
          </w:tcPr>
          <w:p w14:paraId="5FEF086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228" w:type="dxa"/>
            <w:tcBorders>
              <w:top w:val="nil"/>
              <w:left w:val="nil"/>
              <w:bottom w:val="single" w:sz="4" w:space="0" w:color="auto"/>
              <w:right w:val="single" w:sz="4" w:space="0" w:color="auto"/>
            </w:tcBorders>
            <w:shd w:val="clear" w:color="000000" w:fill="D9D9D9"/>
            <w:vAlign w:val="center"/>
            <w:hideMark/>
          </w:tcPr>
          <w:p w14:paraId="5FEF086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6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2,000,000</w:t>
            </w:r>
          </w:p>
        </w:tc>
        <w:tc>
          <w:tcPr>
            <w:tcW w:w="345" w:type="dxa"/>
            <w:tcBorders>
              <w:top w:val="nil"/>
              <w:left w:val="nil"/>
              <w:bottom w:val="single" w:sz="4" w:space="0" w:color="auto"/>
              <w:right w:val="single" w:sz="4" w:space="0" w:color="auto"/>
            </w:tcBorders>
            <w:shd w:val="clear" w:color="000000" w:fill="D9D9D9"/>
            <w:vAlign w:val="center"/>
            <w:hideMark/>
          </w:tcPr>
          <w:p w14:paraId="5FEF086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6,000,000</w:t>
            </w:r>
          </w:p>
        </w:tc>
        <w:tc>
          <w:tcPr>
            <w:tcW w:w="228" w:type="dxa"/>
            <w:tcBorders>
              <w:top w:val="nil"/>
              <w:left w:val="nil"/>
              <w:bottom w:val="single" w:sz="4" w:space="0" w:color="auto"/>
              <w:right w:val="single" w:sz="4" w:space="0" w:color="auto"/>
            </w:tcBorders>
            <w:shd w:val="clear" w:color="000000" w:fill="D9D9D9"/>
            <w:vAlign w:val="center"/>
            <w:hideMark/>
          </w:tcPr>
          <w:p w14:paraId="5FEF086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86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6,000,000</w:t>
            </w:r>
          </w:p>
        </w:tc>
        <w:tc>
          <w:tcPr>
            <w:tcW w:w="345" w:type="dxa"/>
            <w:tcBorders>
              <w:top w:val="nil"/>
              <w:left w:val="nil"/>
              <w:bottom w:val="single" w:sz="4" w:space="0" w:color="auto"/>
              <w:right w:val="single" w:sz="4" w:space="0" w:color="auto"/>
            </w:tcBorders>
            <w:shd w:val="clear" w:color="000000" w:fill="D9D9D9"/>
            <w:vAlign w:val="center"/>
            <w:hideMark/>
          </w:tcPr>
          <w:p w14:paraId="5FEF086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6,000,000</w:t>
            </w:r>
          </w:p>
        </w:tc>
        <w:tc>
          <w:tcPr>
            <w:tcW w:w="228" w:type="dxa"/>
            <w:tcBorders>
              <w:top w:val="nil"/>
              <w:left w:val="nil"/>
              <w:bottom w:val="single" w:sz="4" w:space="0" w:color="auto"/>
              <w:right w:val="single" w:sz="4" w:space="0" w:color="auto"/>
            </w:tcBorders>
            <w:shd w:val="clear" w:color="000000" w:fill="D9D9D9"/>
            <w:vAlign w:val="center"/>
            <w:hideMark/>
          </w:tcPr>
          <w:p w14:paraId="5FEF086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86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6,000,000</w:t>
            </w:r>
          </w:p>
        </w:tc>
        <w:tc>
          <w:tcPr>
            <w:tcW w:w="218" w:type="dxa"/>
            <w:tcBorders>
              <w:top w:val="nil"/>
              <w:left w:val="nil"/>
              <w:bottom w:val="single" w:sz="4" w:space="0" w:color="auto"/>
              <w:right w:val="single" w:sz="4" w:space="0" w:color="auto"/>
            </w:tcBorders>
            <w:shd w:val="clear" w:color="000000" w:fill="D9D9D9"/>
            <w:vAlign w:val="center"/>
            <w:hideMark/>
          </w:tcPr>
          <w:p w14:paraId="5FEF087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87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87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87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87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89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8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87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Politiks 6</w:t>
            </w:r>
          </w:p>
        </w:tc>
        <w:tc>
          <w:tcPr>
            <w:tcW w:w="350" w:type="dxa"/>
            <w:tcBorders>
              <w:top w:val="nil"/>
              <w:left w:val="nil"/>
              <w:bottom w:val="single" w:sz="4" w:space="0" w:color="auto"/>
              <w:right w:val="single" w:sz="4" w:space="0" w:color="auto"/>
            </w:tcBorders>
            <w:shd w:val="clear" w:color="000000" w:fill="D9D9D9"/>
            <w:vAlign w:val="center"/>
            <w:hideMark/>
          </w:tcPr>
          <w:p w14:paraId="5FEF08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87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8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8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87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87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211,811,738</w:t>
            </w:r>
          </w:p>
        </w:tc>
        <w:tc>
          <w:tcPr>
            <w:tcW w:w="228" w:type="dxa"/>
            <w:tcBorders>
              <w:top w:val="nil"/>
              <w:left w:val="nil"/>
              <w:bottom w:val="single" w:sz="4" w:space="0" w:color="auto"/>
              <w:right w:val="single" w:sz="4" w:space="0" w:color="auto"/>
            </w:tcBorders>
            <w:shd w:val="clear" w:color="000000" w:fill="D9D9D9"/>
            <w:vAlign w:val="center"/>
            <w:hideMark/>
          </w:tcPr>
          <w:p w14:paraId="5FEF087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7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211,811,738</w:t>
            </w:r>
          </w:p>
        </w:tc>
        <w:tc>
          <w:tcPr>
            <w:tcW w:w="303" w:type="dxa"/>
            <w:tcBorders>
              <w:top w:val="nil"/>
              <w:left w:val="nil"/>
              <w:bottom w:val="single" w:sz="4" w:space="0" w:color="auto"/>
              <w:right w:val="single" w:sz="4" w:space="0" w:color="auto"/>
            </w:tcBorders>
            <w:shd w:val="clear" w:color="000000" w:fill="D9D9D9"/>
            <w:vAlign w:val="center"/>
            <w:hideMark/>
          </w:tcPr>
          <w:p w14:paraId="5FEF088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211,811,738</w:t>
            </w:r>
          </w:p>
        </w:tc>
        <w:tc>
          <w:tcPr>
            <w:tcW w:w="228" w:type="dxa"/>
            <w:tcBorders>
              <w:top w:val="nil"/>
              <w:left w:val="nil"/>
              <w:bottom w:val="single" w:sz="4" w:space="0" w:color="auto"/>
              <w:right w:val="single" w:sz="4" w:space="0" w:color="auto"/>
            </w:tcBorders>
            <w:shd w:val="clear" w:color="000000" w:fill="D9D9D9"/>
            <w:vAlign w:val="center"/>
            <w:hideMark/>
          </w:tcPr>
          <w:p w14:paraId="5FEF088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8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211,811,738</w:t>
            </w:r>
          </w:p>
        </w:tc>
        <w:tc>
          <w:tcPr>
            <w:tcW w:w="303" w:type="dxa"/>
            <w:tcBorders>
              <w:top w:val="nil"/>
              <w:left w:val="nil"/>
              <w:bottom w:val="single" w:sz="4" w:space="0" w:color="auto"/>
              <w:right w:val="single" w:sz="4" w:space="0" w:color="auto"/>
            </w:tcBorders>
            <w:shd w:val="clear" w:color="000000" w:fill="D9D9D9"/>
            <w:vAlign w:val="center"/>
            <w:hideMark/>
          </w:tcPr>
          <w:p w14:paraId="5FEF088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211,311,738</w:t>
            </w:r>
          </w:p>
        </w:tc>
        <w:tc>
          <w:tcPr>
            <w:tcW w:w="228" w:type="dxa"/>
            <w:tcBorders>
              <w:top w:val="nil"/>
              <w:left w:val="nil"/>
              <w:bottom w:val="single" w:sz="4" w:space="0" w:color="auto"/>
              <w:right w:val="single" w:sz="4" w:space="0" w:color="auto"/>
            </w:tcBorders>
            <w:shd w:val="clear" w:color="000000" w:fill="D9D9D9"/>
            <w:vAlign w:val="center"/>
            <w:hideMark/>
          </w:tcPr>
          <w:p w14:paraId="5FEF088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8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211,311,738</w:t>
            </w:r>
          </w:p>
        </w:tc>
        <w:tc>
          <w:tcPr>
            <w:tcW w:w="345" w:type="dxa"/>
            <w:tcBorders>
              <w:top w:val="nil"/>
              <w:left w:val="nil"/>
              <w:bottom w:val="single" w:sz="4" w:space="0" w:color="auto"/>
              <w:right w:val="single" w:sz="4" w:space="0" w:color="auto"/>
            </w:tcBorders>
            <w:shd w:val="clear" w:color="000000" w:fill="D9D9D9"/>
            <w:vAlign w:val="center"/>
            <w:hideMark/>
          </w:tcPr>
          <w:p w14:paraId="5FEF088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634,935,215</w:t>
            </w:r>
          </w:p>
        </w:tc>
        <w:tc>
          <w:tcPr>
            <w:tcW w:w="228" w:type="dxa"/>
            <w:tcBorders>
              <w:top w:val="nil"/>
              <w:left w:val="nil"/>
              <w:bottom w:val="single" w:sz="4" w:space="0" w:color="auto"/>
              <w:right w:val="single" w:sz="4" w:space="0" w:color="auto"/>
            </w:tcBorders>
            <w:shd w:val="clear" w:color="000000" w:fill="D9D9D9"/>
            <w:vAlign w:val="center"/>
            <w:hideMark/>
          </w:tcPr>
          <w:p w14:paraId="5FEF088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88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634,935,215</w:t>
            </w:r>
          </w:p>
        </w:tc>
        <w:tc>
          <w:tcPr>
            <w:tcW w:w="345" w:type="dxa"/>
            <w:tcBorders>
              <w:top w:val="nil"/>
              <w:left w:val="nil"/>
              <w:bottom w:val="single" w:sz="4" w:space="0" w:color="auto"/>
              <w:right w:val="single" w:sz="4" w:space="0" w:color="auto"/>
            </w:tcBorders>
            <w:shd w:val="clear" w:color="000000" w:fill="D9D9D9"/>
            <w:vAlign w:val="center"/>
            <w:hideMark/>
          </w:tcPr>
          <w:p w14:paraId="5FEF088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634,935,215</w:t>
            </w:r>
          </w:p>
        </w:tc>
        <w:tc>
          <w:tcPr>
            <w:tcW w:w="228" w:type="dxa"/>
            <w:tcBorders>
              <w:top w:val="nil"/>
              <w:left w:val="nil"/>
              <w:bottom w:val="single" w:sz="4" w:space="0" w:color="auto"/>
              <w:right w:val="single" w:sz="4" w:space="0" w:color="auto"/>
            </w:tcBorders>
            <w:shd w:val="clear" w:color="000000" w:fill="D9D9D9"/>
            <w:vAlign w:val="center"/>
            <w:hideMark/>
          </w:tcPr>
          <w:p w14:paraId="5FEF088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88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634,935,215</w:t>
            </w:r>
          </w:p>
        </w:tc>
        <w:tc>
          <w:tcPr>
            <w:tcW w:w="218" w:type="dxa"/>
            <w:tcBorders>
              <w:top w:val="nil"/>
              <w:left w:val="nil"/>
              <w:bottom w:val="single" w:sz="4" w:space="0" w:color="auto"/>
              <w:right w:val="single" w:sz="4" w:space="0" w:color="auto"/>
            </w:tcBorders>
            <w:shd w:val="clear" w:color="000000" w:fill="D9D9D9"/>
            <w:vAlign w:val="center"/>
            <w:hideMark/>
          </w:tcPr>
          <w:p w14:paraId="5FEF088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88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88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88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89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89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892"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89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894" w14:textId="2C7D1C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I.1 QASJA HETIMORE: HETIMI I VEPRAVE TË TERRORIZMIT, ZBULIMI DHE GODITJA E</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TERRORISTËVE/GRUPEVE TERRORISTE DUKE ELEMINUAR KËRCËNIMET E TERRORIZMIT</w:t>
            </w:r>
          </w:p>
        </w:tc>
      </w:tr>
      <w:tr w:rsidR="00D845EC" w:rsidRPr="00795698" w14:paraId="5FEF0897"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896"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7:PËRMIRËSIMI I SISTEMEVE TË MBLEDHJES, RUAJTJES, ANALIZIMIT DHE SHPËRNDARJES SË INFORMACIONIT</w:t>
            </w:r>
          </w:p>
        </w:tc>
      </w:tr>
      <w:tr w:rsidR="00D845EC" w:rsidRPr="00795698" w14:paraId="5FEF0899"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898" w14:textId="4E1778F6"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 Policia e Shtetit, Kodi i Programit 03140; Programi Buxhetor: Mbështetja e Luftimit, Kodi i Programit:02150;</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Programi Buxhetor:Veprimtari Informative Shtetërore, Kodi i Programit:03520; Programi Buxhetor</w:t>
            </w:r>
            <w:r w:rsidR="00D10A07" w:rsidRPr="00795698">
              <w:rPr>
                <w:rFonts w:ascii="Arial" w:hAnsi="Arial" w:cs="Arial"/>
                <w:b/>
                <w:bCs/>
                <w:sz w:val="10"/>
                <w:szCs w:val="6"/>
                <w:lang w:eastAsia="sq-AL"/>
              </w:rPr>
              <w:t>:</w:t>
            </w:r>
            <w:r w:rsidRPr="00795698">
              <w:rPr>
                <w:rFonts w:ascii="Arial" w:hAnsi="Arial" w:cs="Arial"/>
                <w:b/>
                <w:bCs/>
                <w:sz w:val="10"/>
                <w:szCs w:val="6"/>
                <w:lang w:eastAsia="sq-AL"/>
              </w:rPr>
              <w:t xml:space="preserve"> Mbështetja e Luftimit, Kodi i Programit: 02150;</w:t>
            </w:r>
          </w:p>
        </w:tc>
      </w:tr>
      <w:tr w:rsidR="00D845EC" w:rsidRPr="00795698" w14:paraId="5FEF08B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89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7.1</w:t>
            </w:r>
          </w:p>
        </w:tc>
        <w:tc>
          <w:tcPr>
            <w:tcW w:w="814" w:type="dxa"/>
            <w:tcBorders>
              <w:top w:val="nil"/>
              <w:left w:val="nil"/>
              <w:bottom w:val="single" w:sz="4" w:space="0" w:color="auto"/>
              <w:right w:val="single" w:sz="4" w:space="0" w:color="auto"/>
            </w:tcBorders>
            <w:shd w:val="clear" w:color="auto" w:fill="auto"/>
            <w:vAlign w:val="center"/>
            <w:hideMark/>
          </w:tcPr>
          <w:p w14:paraId="5FEF089B" w14:textId="472B6D8C"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I. OBJEKTIVI SPECIFIK: KRIJIMI I NJË SISTEMI TË </w:t>
            </w:r>
            <w:r w:rsidR="006249E3" w:rsidRPr="00795698">
              <w:rPr>
                <w:rFonts w:ascii="Arial" w:hAnsi="Arial" w:cs="Arial"/>
                <w:b/>
                <w:bCs/>
                <w:color w:val="000000"/>
                <w:sz w:val="6"/>
                <w:szCs w:val="6"/>
                <w:lang w:eastAsia="sq-AL"/>
              </w:rPr>
              <w:t>SIGURT</w:t>
            </w:r>
            <w:r w:rsidRPr="00795698">
              <w:rPr>
                <w:rFonts w:ascii="Arial" w:hAnsi="Arial" w:cs="Arial"/>
                <w:b/>
                <w:bCs/>
                <w:color w:val="000000"/>
                <w:sz w:val="6"/>
                <w:szCs w:val="6"/>
                <w:lang w:eastAsia="sq-AL"/>
              </w:rPr>
              <w:t xml:space="preserve"> TË KOMUNIKIMIT PËR TRANSMETIMIN E INFORMACIONIT NDËRMJET STRUKTURAVE TË PËRFSHIRA NË LUFTËN KUNDËR TERRORIZMIT</w:t>
            </w:r>
          </w:p>
        </w:tc>
        <w:tc>
          <w:tcPr>
            <w:tcW w:w="350" w:type="dxa"/>
            <w:tcBorders>
              <w:top w:val="nil"/>
              <w:left w:val="nil"/>
              <w:bottom w:val="single" w:sz="4" w:space="0" w:color="auto"/>
              <w:right w:val="single" w:sz="4" w:space="0" w:color="auto"/>
            </w:tcBorders>
            <w:shd w:val="clear" w:color="auto" w:fill="auto"/>
            <w:vAlign w:val="center"/>
            <w:hideMark/>
          </w:tcPr>
          <w:p w14:paraId="5FEF08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8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8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8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8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8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8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8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8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8D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8B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8B7"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8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8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8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8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8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8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8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8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8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8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8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8E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8D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7.1.1</w:t>
            </w:r>
          </w:p>
        </w:tc>
        <w:tc>
          <w:tcPr>
            <w:tcW w:w="814" w:type="dxa"/>
            <w:tcBorders>
              <w:top w:val="nil"/>
              <w:left w:val="nil"/>
              <w:bottom w:val="single" w:sz="4" w:space="0" w:color="auto"/>
              <w:right w:val="single" w:sz="4" w:space="0" w:color="auto"/>
            </w:tcBorders>
            <w:shd w:val="clear" w:color="auto" w:fill="auto"/>
            <w:vAlign w:val="center"/>
            <w:hideMark/>
          </w:tcPr>
          <w:p w14:paraId="5FEF08D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Përmirësimi i standarteve të sigurisë (fizike, informacionit dhe sigurisë së rrjeteve të komunikimit dhe shkëmbimit të informacionit)</w:t>
            </w:r>
          </w:p>
        </w:tc>
        <w:tc>
          <w:tcPr>
            <w:tcW w:w="350" w:type="dxa"/>
            <w:tcBorders>
              <w:top w:val="nil"/>
              <w:left w:val="nil"/>
              <w:bottom w:val="single" w:sz="4" w:space="0" w:color="auto"/>
              <w:right w:val="single" w:sz="4" w:space="0" w:color="auto"/>
            </w:tcBorders>
            <w:shd w:val="clear" w:color="000000" w:fill="FFFFFF"/>
            <w:vAlign w:val="center"/>
            <w:hideMark/>
          </w:tcPr>
          <w:p w14:paraId="5FEF08D4" w14:textId="09F46EB0"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auto" w:fill="auto"/>
            <w:vAlign w:val="center"/>
            <w:hideMark/>
          </w:tcPr>
          <w:p w14:paraId="5FEF08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AISM</w:t>
            </w:r>
          </w:p>
        </w:tc>
        <w:tc>
          <w:tcPr>
            <w:tcW w:w="1442" w:type="dxa"/>
            <w:tcBorders>
              <w:top w:val="nil"/>
              <w:left w:val="nil"/>
              <w:bottom w:val="single" w:sz="4" w:space="0" w:color="auto"/>
              <w:right w:val="single" w:sz="4" w:space="0" w:color="auto"/>
            </w:tcBorders>
            <w:shd w:val="clear" w:color="auto" w:fill="auto"/>
            <w:vAlign w:val="center"/>
            <w:hideMark/>
          </w:tcPr>
          <w:p w14:paraId="5FEF08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8D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8D8"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8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228" w:type="dxa"/>
            <w:tcBorders>
              <w:top w:val="nil"/>
              <w:left w:val="nil"/>
              <w:bottom w:val="single" w:sz="4" w:space="0" w:color="auto"/>
              <w:right w:val="single" w:sz="4" w:space="0" w:color="auto"/>
            </w:tcBorders>
            <w:shd w:val="clear" w:color="auto" w:fill="auto"/>
            <w:noWrap/>
            <w:vAlign w:val="center"/>
            <w:hideMark/>
          </w:tcPr>
          <w:p w14:paraId="5FEF08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303" w:type="dxa"/>
            <w:tcBorders>
              <w:top w:val="nil"/>
              <w:left w:val="nil"/>
              <w:bottom w:val="single" w:sz="4" w:space="0" w:color="auto"/>
              <w:right w:val="single" w:sz="4" w:space="0" w:color="auto"/>
            </w:tcBorders>
            <w:shd w:val="clear" w:color="auto" w:fill="auto"/>
            <w:noWrap/>
            <w:vAlign w:val="center"/>
            <w:hideMark/>
          </w:tcPr>
          <w:p w14:paraId="5FEF08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228" w:type="dxa"/>
            <w:tcBorders>
              <w:top w:val="nil"/>
              <w:left w:val="nil"/>
              <w:bottom w:val="single" w:sz="4" w:space="0" w:color="auto"/>
              <w:right w:val="single" w:sz="4" w:space="0" w:color="auto"/>
            </w:tcBorders>
            <w:shd w:val="clear" w:color="auto" w:fill="auto"/>
            <w:noWrap/>
            <w:vAlign w:val="center"/>
            <w:hideMark/>
          </w:tcPr>
          <w:p w14:paraId="5FEF08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303" w:type="dxa"/>
            <w:tcBorders>
              <w:top w:val="nil"/>
              <w:left w:val="nil"/>
              <w:bottom w:val="single" w:sz="4" w:space="0" w:color="auto"/>
              <w:right w:val="single" w:sz="4" w:space="0" w:color="auto"/>
            </w:tcBorders>
            <w:shd w:val="clear" w:color="auto" w:fill="auto"/>
            <w:noWrap/>
            <w:vAlign w:val="center"/>
            <w:hideMark/>
          </w:tcPr>
          <w:p w14:paraId="5FEF08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228" w:type="dxa"/>
            <w:tcBorders>
              <w:top w:val="nil"/>
              <w:left w:val="nil"/>
              <w:bottom w:val="single" w:sz="4" w:space="0" w:color="auto"/>
              <w:right w:val="single" w:sz="4" w:space="0" w:color="auto"/>
            </w:tcBorders>
            <w:shd w:val="clear" w:color="auto" w:fill="auto"/>
            <w:noWrap/>
            <w:vAlign w:val="center"/>
            <w:hideMark/>
          </w:tcPr>
          <w:p w14:paraId="5FEF08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8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345" w:type="dxa"/>
            <w:tcBorders>
              <w:top w:val="nil"/>
              <w:left w:val="nil"/>
              <w:bottom w:val="single" w:sz="4" w:space="0" w:color="auto"/>
              <w:right w:val="single" w:sz="4" w:space="0" w:color="auto"/>
            </w:tcBorders>
            <w:shd w:val="clear" w:color="000000" w:fill="FFFFFF"/>
            <w:vAlign w:val="center"/>
            <w:hideMark/>
          </w:tcPr>
          <w:p w14:paraId="5FEF08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228" w:type="dxa"/>
            <w:tcBorders>
              <w:top w:val="nil"/>
              <w:left w:val="nil"/>
              <w:bottom w:val="single" w:sz="4" w:space="0" w:color="auto"/>
              <w:right w:val="single" w:sz="4" w:space="0" w:color="auto"/>
            </w:tcBorders>
            <w:shd w:val="clear" w:color="000000" w:fill="FFFFFF"/>
            <w:vAlign w:val="center"/>
            <w:hideMark/>
          </w:tcPr>
          <w:p w14:paraId="5FEF08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8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345" w:type="dxa"/>
            <w:tcBorders>
              <w:top w:val="nil"/>
              <w:left w:val="nil"/>
              <w:bottom w:val="single" w:sz="4" w:space="0" w:color="auto"/>
              <w:right w:val="single" w:sz="4" w:space="0" w:color="auto"/>
            </w:tcBorders>
            <w:shd w:val="clear" w:color="000000" w:fill="FFFFFF"/>
            <w:vAlign w:val="center"/>
            <w:hideMark/>
          </w:tcPr>
          <w:p w14:paraId="5FEF08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228" w:type="dxa"/>
            <w:tcBorders>
              <w:top w:val="nil"/>
              <w:left w:val="nil"/>
              <w:bottom w:val="single" w:sz="4" w:space="0" w:color="auto"/>
              <w:right w:val="single" w:sz="4" w:space="0" w:color="auto"/>
            </w:tcBorders>
            <w:shd w:val="clear" w:color="000000" w:fill="FFFFFF"/>
            <w:vAlign w:val="center"/>
            <w:hideMark/>
          </w:tcPr>
          <w:p w14:paraId="5FEF08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8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218" w:type="dxa"/>
            <w:tcBorders>
              <w:top w:val="nil"/>
              <w:left w:val="nil"/>
              <w:bottom w:val="single" w:sz="4" w:space="0" w:color="auto"/>
              <w:right w:val="single" w:sz="4" w:space="0" w:color="auto"/>
            </w:tcBorders>
            <w:shd w:val="clear" w:color="000000" w:fill="FFFFFF"/>
            <w:vAlign w:val="center"/>
            <w:hideMark/>
          </w:tcPr>
          <w:p w14:paraId="5FEF08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8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8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8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8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90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8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8EF"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7.1</w:t>
            </w:r>
          </w:p>
        </w:tc>
        <w:tc>
          <w:tcPr>
            <w:tcW w:w="350" w:type="dxa"/>
            <w:tcBorders>
              <w:top w:val="nil"/>
              <w:left w:val="nil"/>
              <w:bottom w:val="single" w:sz="4" w:space="0" w:color="auto"/>
              <w:right w:val="single" w:sz="4" w:space="0" w:color="auto"/>
            </w:tcBorders>
            <w:shd w:val="clear" w:color="000000" w:fill="D9D9D9"/>
            <w:vAlign w:val="center"/>
            <w:hideMark/>
          </w:tcPr>
          <w:p w14:paraId="5FEF08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8F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8F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8F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8F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8F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884,000</w:t>
            </w:r>
          </w:p>
        </w:tc>
        <w:tc>
          <w:tcPr>
            <w:tcW w:w="228" w:type="dxa"/>
            <w:tcBorders>
              <w:top w:val="nil"/>
              <w:left w:val="nil"/>
              <w:bottom w:val="single" w:sz="4" w:space="0" w:color="auto"/>
              <w:right w:val="single" w:sz="4" w:space="0" w:color="auto"/>
            </w:tcBorders>
            <w:shd w:val="clear" w:color="000000" w:fill="D9D9D9"/>
            <w:vAlign w:val="center"/>
            <w:hideMark/>
          </w:tcPr>
          <w:p w14:paraId="5FEF08F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F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884,000</w:t>
            </w:r>
          </w:p>
        </w:tc>
        <w:tc>
          <w:tcPr>
            <w:tcW w:w="303" w:type="dxa"/>
            <w:tcBorders>
              <w:top w:val="nil"/>
              <w:left w:val="nil"/>
              <w:bottom w:val="single" w:sz="4" w:space="0" w:color="auto"/>
              <w:right w:val="single" w:sz="4" w:space="0" w:color="auto"/>
            </w:tcBorders>
            <w:shd w:val="clear" w:color="000000" w:fill="D9D9D9"/>
            <w:vAlign w:val="center"/>
            <w:hideMark/>
          </w:tcPr>
          <w:p w14:paraId="5FEF08F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884,000</w:t>
            </w:r>
          </w:p>
        </w:tc>
        <w:tc>
          <w:tcPr>
            <w:tcW w:w="228" w:type="dxa"/>
            <w:tcBorders>
              <w:top w:val="nil"/>
              <w:left w:val="nil"/>
              <w:bottom w:val="single" w:sz="4" w:space="0" w:color="auto"/>
              <w:right w:val="single" w:sz="4" w:space="0" w:color="auto"/>
            </w:tcBorders>
            <w:shd w:val="clear" w:color="000000" w:fill="D9D9D9"/>
            <w:vAlign w:val="center"/>
            <w:hideMark/>
          </w:tcPr>
          <w:p w14:paraId="5FEF08F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F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884,000</w:t>
            </w:r>
          </w:p>
        </w:tc>
        <w:tc>
          <w:tcPr>
            <w:tcW w:w="303" w:type="dxa"/>
            <w:tcBorders>
              <w:top w:val="nil"/>
              <w:left w:val="nil"/>
              <w:bottom w:val="single" w:sz="4" w:space="0" w:color="auto"/>
              <w:right w:val="single" w:sz="4" w:space="0" w:color="auto"/>
            </w:tcBorders>
            <w:shd w:val="clear" w:color="000000" w:fill="D9D9D9"/>
            <w:vAlign w:val="center"/>
            <w:hideMark/>
          </w:tcPr>
          <w:p w14:paraId="5FEF08F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884,000</w:t>
            </w:r>
          </w:p>
        </w:tc>
        <w:tc>
          <w:tcPr>
            <w:tcW w:w="228" w:type="dxa"/>
            <w:tcBorders>
              <w:top w:val="nil"/>
              <w:left w:val="nil"/>
              <w:bottom w:val="single" w:sz="4" w:space="0" w:color="auto"/>
              <w:right w:val="single" w:sz="4" w:space="0" w:color="auto"/>
            </w:tcBorders>
            <w:shd w:val="clear" w:color="000000" w:fill="D9D9D9"/>
            <w:vAlign w:val="center"/>
            <w:hideMark/>
          </w:tcPr>
          <w:p w14:paraId="5FEF08F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8F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884,000</w:t>
            </w:r>
          </w:p>
        </w:tc>
        <w:tc>
          <w:tcPr>
            <w:tcW w:w="345" w:type="dxa"/>
            <w:tcBorders>
              <w:top w:val="nil"/>
              <w:left w:val="nil"/>
              <w:bottom w:val="single" w:sz="4" w:space="0" w:color="auto"/>
              <w:right w:val="single" w:sz="4" w:space="0" w:color="auto"/>
            </w:tcBorders>
            <w:shd w:val="clear" w:color="000000" w:fill="D9D9D9"/>
            <w:vAlign w:val="center"/>
            <w:hideMark/>
          </w:tcPr>
          <w:p w14:paraId="5FEF08F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2,652,000</w:t>
            </w:r>
          </w:p>
        </w:tc>
        <w:tc>
          <w:tcPr>
            <w:tcW w:w="228" w:type="dxa"/>
            <w:tcBorders>
              <w:top w:val="nil"/>
              <w:left w:val="nil"/>
              <w:bottom w:val="single" w:sz="4" w:space="0" w:color="auto"/>
              <w:right w:val="single" w:sz="4" w:space="0" w:color="auto"/>
            </w:tcBorders>
            <w:shd w:val="clear" w:color="000000" w:fill="D9D9D9"/>
            <w:vAlign w:val="center"/>
            <w:hideMark/>
          </w:tcPr>
          <w:p w14:paraId="5FEF08F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90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2,652,000</w:t>
            </w:r>
          </w:p>
        </w:tc>
        <w:tc>
          <w:tcPr>
            <w:tcW w:w="345" w:type="dxa"/>
            <w:tcBorders>
              <w:top w:val="nil"/>
              <w:left w:val="nil"/>
              <w:bottom w:val="single" w:sz="4" w:space="0" w:color="auto"/>
              <w:right w:val="single" w:sz="4" w:space="0" w:color="auto"/>
            </w:tcBorders>
            <w:shd w:val="clear" w:color="000000" w:fill="D9D9D9"/>
            <w:vAlign w:val="center"/>
            <w:hideMark/>
          </w:tcPr>
          <w:p w14:paraId="5FEF090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2,652,000</w:t>
            </w:r>
          </w:p>
        </w:tc>
        <w:tc>
          <w:tcPr>
            <w:tcW w:w="228" w:type="dxa"/>
            <w:tcBorders>
              <w:top w:val="nil"/>
              <w:left w:val="nil"/>
              <w:bottom w:val="single" w:sz="4" w:space="0" w:color="auto"/>
              <w:right w:val="single" w:sz="4" w:space="0" w:color="auto"/>
            </w:tcBorders>
            <w:shd w:val="clear" w:color="000000" w:fill="D9D9D9"/>
            <w:vAlign w:val="center"/>
            <w:hideMark/>
          </w:tcPr>
          <w:p w14:paraId="5FEF090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90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2,652,000</w:t>
            </w:r>
          </w:p>
        </w:tc>
        <w:tc>
          <w:tcPr>
            <w:tcW w:w="218" w:type="dxa"/>
            <w:tcBorders>
              <w:top w:val="nil"/>
              <w:left w:val="nil"/>
              <w:bottom w:val="single" w:sz="4" w:space="0" w:color="auto"/>
              <w:right w:val="single" w:sz="4" w:space="0" w:color="auto"/>
            </w:tcBorders>
            <w:shd w:val="clear" w:color="000000" w:fill="D9D9D9"/>
            <w:vAlign w:val="center"/>
            <w:hideMark/>
          </w:tcPr>
          <w:p w14:paraId="5FEF090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90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90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90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8" w:space="0" w:color="auto"/>
            </w:tcBorders>
            <w:shd w:val="clear" w:color="000000" w:fill="D9D9D9"/>
            <w:vAlign w:val="center"/>
            <w:hideMark/>
          </w:tcPr>
          <w:p w14:paraId="5FEF090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92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90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7.2</w:t>
            </w:r>
          </w:p>
        </w:tc>
        <w:tc>
          <w:tcPr>
            <w:tcW w:w="814" w:type="dxa"/>
            <w:tcBorders>
              <w:top w:val="nil"/>
              <w:left w:val="nil"/>
              <w:bottom w:val="single" w:sz="4" w:space="0" w:color="auto"/>
              <w:right w:val="single" w:sz="4" w:space="0" w:color="auto"/>
            </w:tcBorders>
            <w:shd w:val="clear" w:color="auto" w:fill="auto"/>
            <w:vAlign w:val="center"/>
            <w:hideMark/>
          </w:tcPr>
          <w:p w14:paraId="5FEF090B"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VLERËSIMI PERIODIK I NIVELIT TË RREZIKUT /KËRCËNIMIT TË FAKTORËVE DHE FENOMENEVE QË PRODHOJNË RADIKALIZËM APO EKSTREMIZËM</w:t>
            </w:r>
          </w:p>
        </w:tc>
        <w:tc>
          <w:tcPr>
            <w:tcW w:w="350" w:type="dxa"/>
            <w:tcBorders>
              <w:top w:val="nil"/>
              <w:left w:val="nil"/>
              <w:bottom w:val="single" w:sz="4" w:space="0" w:color="auto"/>
              <w:right w:val="single" w:sz="4" w:space="0" w:color="auto"/>
            </w:tcBorders>
            <w:shd w:val="clear" w:color="auto" w:fill="auto"/>
            <w:vAlign w:val="center"/>
            <w:hideMark/>
          </w:tcPr>
          <w:p w14:paraId="5FEF09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9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9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9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9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9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9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9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9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94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92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927"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9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9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9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9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9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9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9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9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9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95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94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7.2.1</w:t>
            </w:r>
          </w:p>
        </w:tc>
        <w:tc>
          <w:tcPr>
            <w:tcW w:w="814" w:type="dxa"/>
            <w:tcBorders>
              <w:top w:val="nil"/>
              <w:left w:val="nil"/>
              <w:bottom w:val="single" w:sz="4" w:space="0" w:color="auto"/>
              <w:right w:val="single" w:sz="4" w:space="0" w:color="auto"/>
            </w:tcBorders>
            <w:shd w:val="clear" w:color="auto" w:fill="auto"/>
            <w:vAlign w:val="bottom"/>
            <w:hideMark/>
          </w:tcPr>
          <w:p w14:paraId="5FEF094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Hartimi i raporteve periodike të vlerësimit të nivelit të rrezikut /kërcënimit të faktorëve dhe fenomeneve që prodhojnë radikalizëm apo ekstremizëm, si derivate të terrorizmit</w:t>
            </w:r>
          </w:p>
        </w:tc>
        <w:tc>
          <w:tcPr>
            <w:tcW w:w="350" w:type="dxa"/>
            <w:tcBorders>
              <w:top w:val="nil"/>
              <w:left w:val="nil"/>
              <w:bottom w:val="single" w:sz="4" w:space="0" w:color="auto"/>
              <w:right w:val="single" w:sz="4" w:space="0" w:color="auto"/>
            </w:tcBorders>
            <w:shd w:val="clear" w:color="auto" w:fill="auto"/>
            <w:vAlign w:val="center"/>
            <w:hideMark/>
          </w:tcPr>
          <w:p w14:paraId="5FEF0944" w14:textId="7ED9920B" w:rsidR="00D845EC" w:rsidRPr="00795698" w:rsidRDefault="007C064A"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w:t>
            </w:r>
            <w:r w:rsidR="00D845EC" w:rsidRPr="00795698">
              <w:rPr>
                <w:rFonts w:ascii="Arial" w:hAnsi="Arial" w:cs="Arial"/>
                <w:color w:val="000000"/>
                <w:sz w:val="6"/>
                <w:szCs w:val="6"/>
                <w:lang w:eastAsia="sq-AL"/>
              </w:rPr>
              <w:t>03520 Veprimtari Informative Shtetërore</w:t>
            </w:r>
            <w:r w:rsidR="00D845EC" w:rsidRPr="00795698">
              <w:rPr>
                <w:rFonts w:ascii="Arial" w:hAnsi="Arial" w:cs="Arial"/>
                <w:color w:val="000000"/>
                <w:sz w:val="6"/>
                <w:szCs w:val="6"/>
                <w:lang w:eastAsia="sq-AL"/>
              </w:rPr>
              <w:br/>
              <w:t>91801AA</w:t>
            </w:r>
          </w:p>
        </w:tc>
        <w:tc>
          <w:tcPr>
            <w:tcW w:w="458" w:type="dxa"/>
            <w:tcBorders>
              <w:top w:val="nil"/>
              <w:left w:val="nil"/>
              <w:bottom w:val="single" w:sz="4" w:space="0" w:color="auto"/>
              <w:right w:val="single" w:sz="4" w:space="0" w:color="auto"/>
            </w:tcBorders>
            <w:shd w:val="clear" w:color="auto" w:fill="auto"/>
            <w:vAlign w:val="center"/>
            <w:hideMark/>
          </w:tcPr>
          <w:p w14:paraId="5FEF09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w:t>
            </w:r>
          </w:p>
        </w:tc>
        <w:tc>
          <w:tcPr>
            <w:tcW w:w="1442" w:type="dxa"/>
            <w:tcBorders>
              <w:top w:val="nil"/>
              <w:left w:val="nil"/>
              <w:bottom w:val="single" w:sz="4" w:space="0" w:color="auto"/>
              <w:right w:val="single" w:sz="4" w:space="0" w:color="auto"/>
            </w:tcBorders>
            <w:shd w:val="clear" w:color="auto" w:fill="auto"/>
            <w:vAlign w:val="center"/>
            <w:hideMark/>
          </w:tcPr>
          <w:p w14:paraId="5FEF09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MD/AKSHI/DPPSH</w:t>
            </w:r>
          </w:p>
        </w:tc>
        <w:tc>
          <w:tcPr>
            <w:tcW w:w="201" w:type="dxa"/>
            <w:tcBorders>
              <w:top w:val="nil"/>
              <w:left w:val="nil"/>
              <w:bottom w:val="single" w:sz="4" w:space="0" w:color="auto"/>
              <w:right w:val="single" w:sz="4" w:space="0" w:color="auto"/>
            </w:tcBorders>
            <w:shd w:val="clear" w:color="auto" w:fill="auto"/>
            <w:vAlign w:val="center"/>
            <w:hideMark/>
          </w:tcPr>
          <w:p w14:paraId="5FEF094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948"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9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1,606,000</w:t>
            </w:r>
          </w:p>
        </w:tc>
        <w:tc>
          <w:tcPr>
            <w:tcW w:w="228" w:type="dxa"/>
            <w:tcBorders>
              <w:top w:val="nil"/>
              <w:left w:val="nil"/>
              <w:bottom w:val="single" w:sz="4" w:space="0" w:color="auto"/>
              <w:right w:val="single" w:sz="4" w:space="0" w:color="auto"/>
            </w:tcBorders>
            <w:shd w:val="clear" w:color="000000" w:fill="FFFFFF"/>
            <w:vAlign w:val="center"/>
            <w:hideMark/>
          </w:tcPr>
          <w:p w14:paraId="5FEF09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1,606,000</w:t>
            </w:r>
          </w:p>
        </w:tc>
        <w:tc>
          <w:tcPr>
            <w:tcW w:w="303" w:type="dxa"/>
            <w:tcBorders>
              <w:top w:val="nil"/>
              <w:left w:val="nil"/>
              <w:bottom w:val="single" w:sz="4" w:space="0" w:color="auto"/>
              <w:right w:val="single" w:sz="4" w:space="0" w:color="auto"/>
            </w:tcBorders>
            <w:shd w:val="clear" w:color="000000" w:fill="FFFFFF"/>
            <w:vAlign w:val="center"/>
            <w:hideMark/>
          </w:tcPr>
          <w:p w14:paraId="5FEF09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1,606,000</w:t>
            </w:r>
          </w:p>
        </w:tc>
        <w:tc>
          <w:tcPr>
            <w:tcW w:w="228" w:type="dxa"/>
            <w:tcBorders>
              <w:top w:val="nil"/>
              <w:left w:val="nil"/>
              <w:bottom w:val="single" w:sz="4" w:space="0" w:color="auto"/>
              <w:right w:val="single" w:sz="4" w:space="0" w:color="auto"/>
            </w:tcBorders>
            <w:shd w:val="clear" w:color="000000" w:fill="FFFFFF"/>
            <w:vAlign w:val="center"/>
            <w:hideMark/>
          </w:tcPr>
          <w:p w14:paraId="5FEF09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1,606,000</w:t>
            </w:r>
          </w:p>
        </w:tc>
        <w:tc>
          <w:tcPr>
            <w:tcW w:w="303" w:type="dxa"/>
            <w:tcBorders>
              <w:top w:val="nil"/>
              <w:left w:val="nil"/>
              <w:bottom w:val="single" w:sz="4" w:space="0" w:color="auto"/>
              <w:right w:val="single" w:sz="4" w:space="0" w:color="auto"/>
            </w:tcBorders>
            <w:shd w:val="clear" w:color="000000" w:fill="FFFFFF"/>
            <w:vAlign w:val="center"/>
            <w:hideMark/>
          </w:tcPr>
          <w:p w14:paraId="5FEF09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1,606,000</w:t>
            </w:r>
          </w:p>
        </w:tc>
        <w:tc>
          <w:tcPr>
            <w:tcW w:w="228" w:type="dxa"/>
            <w:tcBorders>
              <w:top w:val="nil"/>
              <w:left w:val="nil"/>
              <w:bottom w:val="single" w:sz="4" w:space="0" w:color="auto"/>
              <w:right w:val="single" w:sz="4" w:space="0" w:color="auto"/>
            </w:tcBorders>
            <w:shd w:val="clear" w:color="000000" w:fill="FFFFFF"/>
            <w:vAlign w:val="center"/>
            <w:hideMark/>
          </w:tcPr>
          <w:p w14:paraId="5FEF09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1,606,000</w:t>
            </w:r>
          </w:p>
        </w:tc>
        <w:tc>
          <w:tcPr>
            <w:tcW w:w="345" w:type="dxa"/>
            <w:tcBorders>
              <w:top w:val="nil"/>
              <w:left w:val="nil"/>
              <w:bottom w:val="single" w:sz="4" w:space="0" w:color="auto"/>
              <w:right w:val="single" w:sz="4" w:space="0" w:color="auto"/>
            </w:tcBorders>
            <w:shd w:val="clear" w:color="000000" w:fill="FFFFFF"/>
            <w:vAlign w:val="center"/>
            <w:hideMark/>
          </w:tcPr>
          <w:p w14:paraId="5FEF09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4,818,000</w:t>
            </w:r>
          </w:p>
        </w:tc>
        <w:tc>
          <w:tcPr>
            <w:tcW w:w="228" w:type="dxa"/>
            <w:tcBorders>
              <w:top w:val="nil"/>
              <w:left w:val="nil"/>
              <w:bottom w:val="single" w:sz="4" w:space="0" w:color="auto"/>
              <w:right w:val="single" w:sz="4" w:space="0" w:color="auto"/>
            </w:tcBorders>
            <w:shd w:val="clear" w:color="000000" w:fill="FFFFFF"/>
            <w:vAlign w:val="center"/>
            <w:hideMark/>
          </w:tcPr>
          <w:p w14:paraId="5FEF09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4,818,000</w:t>
            </w:r>
          </w:p>
        </w:tc>
        <w:tc>
          <w:tcPr>
            <w:tcW w:w="345" w:type="dxa"/>
            <w:tcBorders>
              <w:top w:val="nil"/>
              <w:left w:val="nil"/>
              <w:bottom w:val="single" w:sz="4" w:space="0" w:color="auto"/>
              <w:right w:val="single" w:sz="4" w:space="0" w:color="auto"/>
            </w:tcBorders>
            <w:shd w:val="clear" w:color="000000" w:fill="FFFFFF"/>
            <w:vAlign w:val="center"/>
            <w:hideMark/>
          </w:tcPr>
          <w:p w14:paraId="5FEF09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4,818,000</w:t>
            </w:r>
          </w:p>
        </w:tc>
        <w:tc>
          <w:tcPr>
            <w:tcW w:w="228" w:type="dxa"/>
            <w:tcBorders>
              <w:top w:val="nil"/>
              <w:left w:val="nil"/>
              <w:bottom w:val="single" w:sz="4" w:space="0" w:color="auto"/>
              <w:right w:val="single" w:sz="4" w:space="0" w:color="auto"/>
            </w:tcBorders>
            <w:shd w:val="clear" w:color="000000" w:fill="FFFFFF"/>
            <w:vAlign w:val="center"/>
            <w:hideMark/>
          </w:tcPr>
          <w:p w14:paraId="5FEF09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4,818,000</w:t>
            </w:r>
          </w:p>
        </w:tc>
        <w:tc>
          <w:tcPr>
            <w:tcW w:w="218" w:type="dxa"/>
            <w:tcBorders>
              <w:top w:val="nil"/>
              <w:left w:val="nil"/>
              <w:bottom w:val="single" w:sz="4" w:space="0" w:color="auto"/>
              <w:right w:val="single" w:sz="4" w:space="0" w:color="auto"/>
            </w:tcBorders>
            <w:shd w:val="clear" w:color="000000" w:fill="FFFFFF"/>
            <w:vAlign w:val="center"/>
            <w:hideMark/>
          </w:tcPr>
          <w:p w14:paraId="5FEF09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9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9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9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9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97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95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7.2.2</w:t>
            </w:r>
          </w:p>
        </w:tc>
        <w:tc>
          <w:tcPr>
            <w:tcW w:w="814" w:type="dxa"/>
            <w:tcBorders>
              <w:top w:val="nil"/>
              <w:left w:val="nil"/>
              <w:bottom w:val="single" w:sz="4" w:space="0" w:color="auto"/>
              <w:right w:val="single" w:sz="4" w:space="0" w:color="auto"/>
            </w:tcBorders>
            <w:shd w:val="clear" w:color="000000" w:fill="FFFFFF"/>
            <w:vAlign w:val="center"/>
            <w:hideMark/>
          </w:tcPr>
          <w:p w14:paraId="5FEF095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Vënia në funksion të sistemit të përbashkët të të dhënave dhe gjenerimi i raporteve me vlerë vendimarrëse</w:t>
            </w:r>
          </w:p>
        </w:tc>
        <w:tc>
          <w:tcPr>
            <w:tcW w:w="350" w:type="dxa"/>
            <w:tcBorders>
              <w:top w:val="nil"/>
              <w:left w:val="nil"/>
              <w:bottom w:val="single" w:sz="4" w:space="0" w:color="auto"/>
              <w:right w:val="single" w:sz="4" w:space="0" w:color="auto"/>
            </w:tcBorders>
            <w:shd w:val="clear" w:color="000000" w:fill="FFFFFF"/>
            <w:vAlign w:val="center"/>
            <w:hideMark/>
          </w:tcPr>
          <w:p w14:paraId="5FEF09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Administrim Menaxhim Planifikimi 01110</w:t>
            </w:r>
            <w:r w:rsidRPr="00795698">
              <w:rPr>
                <w:rFonts w:ascii="Arial" w:hAnsi="Arial" w:cs="Arial"/>
                <w:color w:val="000000"/>
                <w:sz w:val="6"/>
                <w:szCs w:val="6"/>
                <w:lang w:eastAsia="sq-AL"/>
              </w:rPr>
              <w:br/>
              <w:t>91401A</w:t>
            </w:r>
          </w:p>
        </w:tc>
        <w:tc>
          <w:tcPr>
            <w:tcW w:w="458" w:type="dxa"/>
            <w:tcBorders>
              <w:top w:val="nil"/>
              <w:left w:val="nil"/>
              <w:bottom w:val="single" w:sz="4" w:space="0" w:color="auto"/>
              <w:right w:val="single" w:sz="4" w:space="0" w:color="auto"/>
            </w:tcBorders>
            <w:shd w:val="clear" w:color="000000" w:fill="FFFFFF"/>
            <w:vAlign w:val="center"/>
            <w:hideMark/>
          </w:tcPr>
          <w:p w14:paraId="5FEF09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MD</w:t>
            </w:r>
          </w:p>
        </w:tc>
        <w:tc>
          <w:tcPr>
            <w:tcW w:w="1442" w:type="dxa"/>
            <w:tcBorders>
              <w:top w:val="nil"/>
              <w:left w:val="nil"/>
              <w:bottom w:val="single" w:sz="4" w:space="0" w:color="auto"/>
              <w:right w:val="single" w:sz="4" w:space="0" w:color="auto"/>
            </w:tcBorders>
            <w:shd w:val="clear" w:color="000000" w:fill="FFFFFF"/>
            <w:vAlign w:val="center"/>
            <w:hideMark/>
          </w:tcPr>
          <w:p w14:paraId="5FEF09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AKSHI/DPPSH</w:t>
            </w:r>
            <w:r w:rsidRPr="00795698">
              <w:rPr>
                <w:rFonts w:ascii="Arial" w:hAnsi="Arial" w:cs="Arial"/>
                <w:color w:val="000000"/>
                <w:sz w:val="6"/>
                <w:szCs w:val="6"/>
                <w:lang w:eastAsia="sq-AL"/>
              </w:rPr>
              <w:br/>
              <w:t>/SHISH</w:t>
            </w:r>
          </w:p>
        </w:tc>
        <w:tc>
          <w:tcPr>
            <w:tcW w:w="201" w:type="dxa"/>
            <w:tcBorders>
              <w:top w:val="nil"/>
              <w:left w:val="nil"/>
              <w:bottom w:val="single" w:sz="4" w:space="0" w:color="auto"/>
              <w:right w:val="single" w:sz="4" w:space="0" w:color="auto"/>
            </w:tcBorders>
            <w:shd w:val="clear" w:color="auto" w:fill="auto"/>
            <w:vAlign w:val="center"/>
            <w:hideMark/>
          </w:tcPr>
          <w:p w14:paraId="5FEF096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96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9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7,837,500</w:t>
            </w:r>
          </w:p>
        </w:tc>
        <w:tc>
          <w:tcPr>
            <w:tcW w:w="228" w:type="dxa"/>
            <w:tcBorders>
              <w:top w:val="nil"/>
              <w:left w:val="nil"/>
              <w:bottom w:val="single" w:sz="4" w:space="0" w:color="auto"/>
              <w:right w:val="single" w:sz="4" w:space="0" w:color="auto"/>
            </w:tcBorders>
            <w:shd w:val="clear" w:color="000000" w:fill="FFFFFF"/>
            <w:vAlign w:val="center"/>
            <w:hideMark/>
          </w:tcPr>
          <w:p w14:paraId="5FEF09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7,837,500</w:t>
            </w:r>
          </w:p>
        </w:tc>
        <w:tc>
          <w:tcPr>
            <w:tcW w:w="303" w:type="dxa"/>
            <w:tcBorders>
              <w:top w:val="nil"/>
              <w:left w:val="nil"/>
              <w:bottom w:val="single" w:sz="4" w:space="0" w:color="auto"/>
              <w:right w:val="single" w:sz="4" w:space="0" w:color="auto"/>
            </w:tcBorders>
            <w:shd w:val="clear" w:color="000000" w:fill="FFFFFF"/>
            <w:vAlign w:val="center"/>
            <w:hideMark/>
          </w:tcPr>
          <w:p w14:paraId="5FEF09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7,837,500</w:t>
            </w:r>
          </w:p>
        </w:tc>
        <w:tc>
          <w:tcPr>
            <w:tcW w:w="228" w:type="dxa"/>
            <w:tcBorders>
              <w:top w:val="nil"/>
              <w:left w:val="nil"/>
              <w:bottom w:val="single" w:sz="4" w:space="0" w:color="auto"/>
              <w:right w:val="single" w:sz="4" w:space="0" w:color="auto"/>
            </w:tcBorders>
            <w:shd w:val="clear" w:color="000000" w:fill="FFFFFF"/>
            <w:vAlign w:val="center"/>
            <w:hideMark/>
          </w:tcPr>
          <w:p w14:paraId="5FEF09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7,837,500</w:t>
            </w:r>
          </w:p>
        </w:tc>
        <w:tc>
          <w:tcPr>
            <w:tcW w:w="303" w:type="dxa"/>
            <w:tcBorders>
              <w:top w:val="nil"/>
              <w:left w:val="nil"/>
              <w:bottom w:val="single" w:sz="4" w:space="0" w:color="auto"/>
              <w:right w:val="single" w:sz="4" w:space="0" w:color="auto"/>
            </w:tcBorders>
            <w:shd w:val="clear" w:color="000000" w:fill="FFFFFF"/>
            <w:vAlign w:val="center"/>
            <w:hideMark/>
          </w:tcPr>
          <w:p w14:paraId="5FEF09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7,837,500</w:t>
            </w:r>
          </w:p>
        </w:tc>
        <w:tc>
          <w:tcPr>
            <w:tcW w:w="228" w:type="dxa"/>
            <w:tcBorders>
              <w:top w:val="nil"/>
              <w:left w:val="nil"/>
              <w:bottom w:val="single" w:sz="4" w:space="0" w:color="auto"/>
              <w:right w:val="single" w:sz="4" w:space="0" w:color="auto"/>
            </w:tcBorders>
            <w:shd w:val="clear" w:color="000000" w:fill="FFFFFF"/>
            <w:vAlign w:val="center"/>
            <w:hideMark/>
          </w:tcPr>
          <w:p w14:paraId="5FEF09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7,837,500</w:t>
            </w:r>
          </w:p>
        </w:tc>
        <w:tc>
          <w:tcPr>
            <w:tcW w:w="345" w:type="dxa"/>
            <w:tcBorders>
              <w:top w:val="nil"/>
              <w:left w:val="nil"/>
              <w:bottom w:val="single" w:sz="4" w:space="0" w:color="auto"/>
              <w:right w:val="single" w:sz="4" w:space="0" w:color="auto"/>
            </w:tcBorders>
            <w:shd w:val="clear" w:color="000000" w:fill="FFFFFF"/>
            <w:vAlign w:val="center"/>
            <w:hideMark/>
          </w:tcPr>
          <w:p w14:paraId="5FEF09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23,512,500</w:t>
            </w:r>
          </w:p>
        </w:tc>
        <w:tc>
          <w:tcPr>
            <w:tcW w:w="228" w:type="dxa"/>
            <w:tcBorders>
              <w:top w:val="nil"/>
              <w:left w:val="nil"/>
              <w:bottom w:val="single" w:sz="4" w:space="0" w:color="auto"/>
              <w:right w:val="single" w:sz="4" w:space="0" w:color="auto"/>
            </w:tcBorders>
            <w:shd w:val="clear" w:color="000000" w:fill="FFFFFF"/>
            <w:vAlign w:val="center"/>
            <w:hideMark/>
          </w:tcPr>
          <w:p w14:paraId="5FEF09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23,512,500</w:t>
            </w:r>
          </w:p>
        </w:tc>
        <w:tc>
          <w:tcPr>
            <w:tcW w:w="345" w:type="dxa"/>
            <w:tcBorders>
              <w:top w:val="nil"/>
              <w:left w:val="nil"/>
              <w:bottom w:val="single" w:sz="4" w:space="0" w:color="auto"/>
              <w:right w:val="single" w:sz="4" w:space="0" w:color="auto"/>
            </w:tcBorders>
            <w:shd w:val="clear" w:color="000000" w:fill="FFFFFF"/>
            <w:vAlign w:val="center"/>
            <w:hideMark/>
          </w:tcPr>
          <w:p w14:paraId="5FEF09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23,512,500</w:t>
            </w:r>
          </w:p>
        </w:tc>
        <w:tc>
          <w:tcPr>
            <w:tcW w:w="228" w:type="dxa"/>
            <w:tcBorders>
              <w:top w:val="nil"/>
              <w:left w:val="nil"/>
              <w:bottom w:val="single" w:sz="4" w:space="0" w:color="auto"/>
              <w:right w:val="single" w:sz="4" w:space="0" w:color="auto"/>
            </w:tcBorders>
            <w:shd w:val="clear" w:color="000000" w:fill="FFFFFF"/>
            <w:vAlign w:val="center"/>
            <w:hideMark/>
          </w:tcPr>
          <w:p w14:paraId="5FEF09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23,512,500</w:t>
            </w:r>
          </w:p>
        </w:tc>
        <w:tc>
          <w:tcPr>
            <w:tcW w:w="218" w:type="dxa"/>
            <w:tcBorders>
              <w:top w:val="nil"/>
              <w:left w:val="nil"/>
              <w:bottom w:val="single" w:sz="4" w:space="0" w:color="auto"/>
              <w:right w:val="single" w:sz="4" w:space="0" w:color="auto"/>
            </w:tcBorders>
            <w:shd w:val="clear" w:color="000000" w:fill="FFFFFF"/>
            <w:vAlign w:val="center"/>
            <w:hideMark/>
          </w:tcPr>
          <w:p w14:paraId="5FEF09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9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9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9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9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99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97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97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7.2</w:t>
            </w:r>
          </w:p>
        </w:tc>
        <w:tc>
          <w:tcPr>
            <w:tcW w:w="350" w:type="dxa"/>
            <w:tcBorders>
              <w:top w:val="nil"/>
              <w:left w:val="nil"/>
              <w:bottom w:val="single" w:sz="4" w:space="0" w:color="auto"/>
              <w:right w:val="single" w:sz="4" w:space="0" w:color="auto"/>
            </w:tcBorders>
            <w:shd w:val="clear" w:color="000000" w:fill="D9D9D9"/>
            <w:vAlign w:val="center"/>
            <w:hideMark/>
          </w:tcPr>
          <w:p w14:paraId="5FEF09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97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97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97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98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98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9,443,500</w:t>
            </w:r>
          </w:p>
        </w:tc>
        <w:tc>
          <w:tcPr>
            <w:tcW w:w="228" w:type="dxa"/>
            <w:tcBorders>
              <w:top w:val="nil"/>
              <w:left w:val="nil"/>
              <w:bottom w:val="single" w:sz="4" w:space="0" w:color="auto"/>
              <w:right w:val="single" w:sz="4" w:space="0" w:color="auto"/>
            </w:tcBorders>
            <w:shd w:val="clear" w:color="000000" w:fill="D9D9D9"/>
            <w:vAlign w:val="center"/>
            <w:hideMark/>
          </w:tcPr>
          <w:p w14:paraId="5FEF098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98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9,443,500</w:t>
            </w:r>
          </w:p>
        </w:tc>
        <w:tc>
          <w:tcPr>
            <w:tcW w:w="303" w:type="dxa"/>
            <w:tcBorders>
              <w:top w:val="nil"/>
              <w:left w:val="nil"/>
              <w:bottom w:val="single" w:sz="4" w:space="0" w:color="auto"/>
              <w:right w:val="single" w:sz="4" w:space="0" w:color="auto"/>
            </w:tcBorders>
            <w:shd w:val="clear" w:color="000000" w:fill="D9D9D9"/>
            <w:vAlign w:val="center"/>
            <w:hideMark/>
          </w:tcPr>
          <w:p w14:paraId="5FEF098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9,443,500</w:t>
            </w:r>
          </w:p>
        </w:tc>
        <w:tc>
          <w:tcPr>
            <w:tcW w:w="228" w:type="dxa"/>
            <w:tcBorders>
              <w:top w:val="nil"/>
              <w:left w:val="nil"/>
              <w:bottom w:val="single" w:sz="4" w:space="0" w:color="auto"/>
              <w:right w:val="single" w:sz="4" w:space="0" w:color="auto"/>
            </w:tcBorders>
            <w:shd w:val="clear" w:color="000000" w:fill="D9D9D9"/>
            <w:vAlign w:val="center"/>
            <w:hideMark/>
          </w:tcPr>
          <w:p w14:paraId="5FEF098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98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9,443,500</w:t>
            </w:r>
          </w:p>
        </w:tc>
        <w:tc>
          <w:tcPr>
            <w:tcW w:w="303" w:type="dxa"/>
            <w:tcBorders>
              <w:top w:val="nil"/>
              <w:left w:val="nil"/>
              <w:bottom w:val="single" w:sz="4" w:space="0" w:color="auto"/>
              <w:right w:val="single" w:sz="4" w:space="0" w:color="auto"/>
            </w:tcBorders>
            <w:shd w:val="clear" w:color="000000" w:fill="D9D9D9"/>
            <w:vAlign w:val="center"/>
            <w:hideMark/>
          </w:tcPr>
          <w:p w14:paraId="5FEF098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9,443,500</w:t>
            </w:r>
          </w:p>
        </w:tc>
        <w:tc>
          <w:tcPr>
            <w:tcW w:w="228" w:type="dxa"/>
            <w:tcBorders>
              <w:top w:val="nil"/>
              <w:left w:val="nil"/>
              <w:bottom w:val="single" w:sz="4" w:space="0" w:color="auto"/>
              <w:right w:val="single" w:sz="4" w:space="0" w:color="auto"/>
            </w:tcBorders>
            <w:shd w:val="clear" w:color="000000" w:fill="D9D9D9"/>
            <w:vAlign w:val="center"/>
            <w:hideMark/>
          </w:tcPr>
          <w:p w14:paraId="5FEF098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98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9,443,500</w:t>
            </w:r>
          </w:p>
        </w:tc>
        <w:tc>
          <w:tcPr>
            <w:tcW w:w="345" w:type="dxa"/>
            <w:tcBorders>
              <w:top w:val="nil"/>
              <w:left w:val="nil"/>
              <w:bottom w:val="single" w:sz="4" w:space="0" w:color="auto"/>
              <w:right w:val="single" w:sz="4" w:space="0" w:color="auto"/>
            </w:tcBorders>
            <w:shd w:val="clear" w:color="000000" w:fill="D9D9D9"/>
            <w:vAlign w:val="center"/>
            <w:hideMark/>
          </w:tcPr>
          <w:p w14:paraId="5FEF098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28,330,500</w:t>
            </w:r>
          </w:p>
        </w:tc>
        <w:tc>
          <w:tcPr>
            <w:tcW w:w="228" w:type="dxa"/>
            <w:tcBorders>
              <w:top w:val="nil"/>
              <w:left w:val="nil"/>
              <w:bottom w:val="single" w:sz="4" w:space="0" w:color="auto"/>
              <w:right w:val="single" w:sz="4" w:space="0" w:color="auto"/>
            </w:tcBorders>
            <w:shd w:val="clear" w:color="000000" w:fill="D9D9D9"/>
            <w:vAlign w:val="center"/>
            <w:hideMark/>
          </w:tcPr>
          <w:p w14:paraId="5FEF098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98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28,330,500</w:t>
            </w:r>
          </w:p>
        </w:tc>
        <w:tc>
          <w:tcPr>
            <w:tcW w:w="345" w:type="dxa"/>
            <w:tcBorders>
              <w:top w:val="nil"/>
              <w:left w:val="nil"/>
              <w:bottom w:val="single" w:sz="4" w:space="0" w:color="auto"/>
              <w:right w:val="single" w:sz="4" w:space="0" w:color="auto"/>
            </w:tcBorders>
            <w:shd w:val="clear" w:color="000000" w:fill="D9D9D9"/>
            <w:vAlign w:val="center"/>
            <w:hideMark/>
          </w:tcPr>
          <w:p w14:paraId="5FEF098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28,330,500</w:t>
            </w:r>
          </w:p>
        </w:tc>
        <w:tc>
          <w:tcPr>
            <w:tcW w:w="228" w:type="dxa"/>
            <w:tcBorders>
              <w:top w:val="nil"/>
              <w:left w:val="nil"/>
              <w:bottom w:val="single" w:sz="4" w:space="0" w:color="auto"/>
              <w:right w:val="single" w:sz="4" w:space="0" w:color="auto"/>
            </w:tcBorders>
            <w:shd w:val="clear" w:color="000000" w:fill="D9D9D9"/>
            <w:vAlign w:val="center"/>
            <w:hideMark/>
          </w:tcPr>
          <w:p w14:paraId="5FEF098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98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28,330,500</w:t>
            </w:r>
          </w:p>
        </w:tc>
        <w:tc>
          <w:tcPr>
            <w:tcW w:w="218" w:type="dxa"/>
            <w:tcBorders>
              <w:top w:val="nil"/>
              <w:left w:val="nil"/>
              <w:bottom w:val="single" w:sz="4" w:space="0" w:color="auto"/>
              <w:right w:val="single" w:sz="4" w:space="0" w:color="auto"/>
            </w:tcBorders>
            <w:shd w:val="clear" w:color="000000" w:fill="D9D9D9"/>
            <w:vAlign w:val="center"/>
            <w:hideMark/>
          </w:tcPr>
          <w:p w14:paraId="5FEF099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99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99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99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99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9B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99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7.3</w:t>
            </w:r>
          </w:p>
        </w:tc>
        <w:tc>
          <w:tcPr>
            <w:tcW w:w="814" w:type="dxa"/>
            <w:tcBorders>
              <w:top w:val="nil"/>
              <w:left w:val="nil"/>
              <w:bottom w:val="single" w:sz="4" w:space="0" w:color="auto"/>
              <w:right w:val="single" w:sz="4" w:space="0" w:color="auto"/>
            </w:tcBorders>
            <w:shd w:val="clear" w:color="auto" w:fill="auto"/>
            <w:vAlign w:val="center"/>
            <w:hideMark/>
          </w:tcPr>
          <w:p w14:paraId="5FEF0997"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SPECIFIK:BASHKËPUNIMI DHE SHKËMBIMI I INFORMACIONIT ME AGJENCITË INTELIGJENTE DHE LIGJZBATUESE NË VEND DHE ATO TË HUAJA ME PËRGJEGJËSI NË LUFTËN KUNDËR TERRORIZMIT PËR PËRCAKTIMIN E NIVELIT TË KËRCËNIMIT TERRORIST NË RRAFSHIN NDËRKOMBËTAR MODUS OPERANDI DHE NDIKIMIT TË TIJ NË SHQIPËRI</w:t>
            </w:r>
          </w:p>
        </w:tc>
        <w:tc>
          <w:tcPr>
            <w:tcW w:w="350" w:type="dxa"/>
            <w:tcBorders>
              <w:top w:val="nil"/>
              <w:left w:val="nil"/>
              <w:bottom w:val="single" w:sz="4" w:space="0" w:color="auto"/>
              <w:right w:val="single" w:sz="4" w:space="0" w:color="auto"/>
            </w:tcBorders>
            <w:shd w:val="clear" w:color="auto" w:fill="auto"/>
            <w:vAlign w:val="center"/>
            <w:hideMark/>
          </w:tcPr>
          <w:p w14:paraId="5FEF09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9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9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9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9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9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9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9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9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9C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9B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 </w:t>
            </w:r>
          </w:p>
        </w:tc>
        <w:tc>
          <w:tcPr>
            <w:tcW w:w="814" w:type="dxa"/>
            <w:tcBorders>
              <w:top w:val="nil"/>
              <w:left w:val="nil"/>
              <w:bottom w:val="single" w:sz="4" w:space="0" w:color="auto"/>
              <w:right w:val="single" w:sz="4" w:space="0" w:color="auto"/>
            </w:tcBorders>
            <w:shd w:val="clear" w:color="auto" w:fill="auto"/>
            <w:vAlign w:val="center"/>
            <w:hideMark/>
          </w:tcPr>
          <w:p w14:paraId="5FEF09B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9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9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9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9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9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9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9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9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9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9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9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9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9E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9C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7.3.1</w:t>
            </w:r>
          </w:p>
        </w:tc>
        <w:tc>
          <w:tcPr>
            <w:tcW w:w="814" w:type="dxa"/>
            <w:tcBorders>
              <w:top w:val="nil"/>
              <w:left w:val="nil"/>
              <w:bottom w:val="single" w:sz="4" w:space="0" w:color="auto"/>
              <w:right w:val="single" w:sz="4" w:space="0" w:color="auto"/>
            </w:tcBorders>
            <w:shd w:val="clear" w:color="000000" w:fill="FFFFFF"/>
            <w:vAlign w:val="bottom"/>
            <w:hideMark/>
          </w:tcPr>
          <w:p w14:paraId="5FEF09C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Shkëmbimi i ndërsjelltë i informacioneve me agjencitë homologe ndërkombëtare mbi modus operandi të terroristëve dhe grupeve terroriste</w:t>
            </w:r>
          </w:p>
        </w:tc>
        <w:tc>
          <w:tcPr>
            <w:tcW w:w="350" w:type="dxa"/>
            <w:tcBorders>
              <w:top w:val="nil"/>
              <w:left w:val="nil"/>
              <w:bottom w:val="single" w:sz="4" w:space="0" w:color="auto"/>
              <w:right w:val="single" w:sz="4" w:space="0" w:color="auto"/>
            </w:tcBorders>
            <w:shd w:val="clear" w:color="000000" w:fill="FFFFFF"/>
            <w:vAlign w:val="center"/>
            <w:hideMark/>
          </w:tcPr>
          <w:p w14:paraId="5FEF09D0" w14:textId="4526B500" w:rsidR="00D845EC" w:rsidRPr="00795698" w:rsidRDefault="007C064A"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w:t>
            </w:r>
            <w:r w:rsidR="00D845EC" w:rsidRPr="00795698">
              <w:rPr>
                <w:rFonts w:ascii="Arial" w:hAnsi="Arial" w:cs="Arial"/>
                <w:color w:val="000000"/>
                <w:sz w:val="6"/>
                <w:szCs w:val="6"/>
                <w:lang w:eastAsia="sq-AL"/>
              </w:rPr>
              <w:t>03520 Veprimtari Informative Shtetërore</w:t>
            </w:r>
            <w:r w:rsidR="00D845EC" w:rsidRPr="00795698">
              <w:rPr>
                <w:rFonts w:ascii="Arial" w:hAnsi="Arial" w:cs="Arial"/>
                <w:color w:val="000000"/>
                <w:sz w:val="6"/>
                <w:szCs w:val="6"/>
                <w:lang w:eastAsia="sq-AL"/>
              </w:rPr>
              <w:br/>
              <w:t>91801AA</w:t>
            </w:r>
          </w:p>
        </w:tc>
        <w:tc>
          <w:tcPr>
            <w:tcW w:w="458" w:type="dxa"/>
            <w:tcBorders>
              <w:top w:val="nil"/>
              <w:left w:val="nil"/>
              <w:bottom w:val="single" w:sz="4" w:space="0" w:color="auto"/>
              <w:right w:val="single" w:sz="4" w:space="0" w:color="auto"/>
            </w:tcBorders>
            <w:shd w:val="clear" w:color="000000" w:fill="FFFFFF"/>
            <w:vAlign w:val="center"/>
            <w:hideMark/>
          </w:tcPr>
          <w:p w14:paraId="5FEF09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w:t>
            </w:r>
          </w:p>
        </w:tc>
        <w:tc>
          <w:tcPr>
            <w:tcW w:w="1442" w:type="dxa"/>
            <w:tcBorders>
              <w:top w:val="nil"/>
              <w:left w:val="nil"/>
              <w:bottom w:val="single" w:sz="4" w:space="0" w:color="auto"/>
              <w:right w:val="single" w:sz="4" w:space="0" w:color="auto"/>
            </w:tcBorders>
            <w:shd w:val="clear" w:color="000000" w:fill="FFFFFF"/>
            <w:vAlign w:val="center"/>
            <w:hideMark/>
          </w:tcPr>
          <w:p w14:paraId="5FEF09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MD/AKSHI/DPPSH</w:t>
            </w:r>
          </w:p>
        </w:tc>
        <w:tc>
          <w:tcPr>
            <w:tcW w:w="201" w:type="dxa"/>
            <w:tcBorders>
              <w:top w:val="nil"/>
              <w:left w:val="nil"/>
              <w:bottom w:val="single" w:sz="4" w:space="0" w:color="auto"/>
              <w:right w:val="single" w:sz="4" w:space="0" w:color="auto"/>
            </w:tcBorders>
            <w:shd w:val="clear" w:color="auto" w:fill="auto"/>
            <w:vAlign w:val="center"/>
            <w:hideMark/>
          </w:tcPr>
          <w:p w14:paraId="5FEF09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9D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9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228" w:type="dxa"/>
            <w:tcBorders>
              <w:top w:val="nil"/>
              <w:left w:val="nil"/>
              <w:bottom w:val="single" w:sz="4" w:space="0" w:color="auto"/>
              <w:right w:val="single" w:sz="4" w:space="0" w:color="auto"/>
            </w:tcBorders>
            <w:shd w:val="clear" w:color="000000" w:fill="FFFFFF"/>
            <w:vAlign w:val="center"/>
            <w:hideMark/>
          </w:tcPr>
          <w:p w14:paraId="5FEF09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303" w:type="dxa"/>
            <w:tcBorders>
              <w:top w:val="nil"/>
              <w:left w:val="nil"/>
              <w:bottom w:val="single" w:sz="4" w:space="0" w:color="auto"/>
              <w:right w:val="single" w:sz="4" w:space="0" w:color="auto"/>
            </w:tcBorders>
            <w:shd w:val="clear" w:color="000000" w:fill="FFFFFF"/>
            <w:vAlign w:val="center"/>
            <w:hideMark/>
          </w:tcPr>
          <w:p w14:paraId="5FEF09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228" w:type="dxa"/>
            <w:tcBorders>
              <w:top w:val="nil"/>
              <w:left w:val="nil"/>
              <w:bottom w:val="single" w:sz="4" w:space="0" w:color="auto"/>
              <w:right w:val="single" w:sz="4" w:space="0" w:color="auto"/>
            </w:tcBorders>
            <w:shd w:val="clear" w:color="000000" w:fill="FFFFFF"/>
            <w:vAlign w:val="center"/>
            <w:hideMark/>
          </w:tcPr>
          <w:p w14:paraId="5FEF09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303" w:type="dxa"/>
            <w:tcBorders>
              <w:top w:val="nil"/>
              <w:left w:val="nil"/>
              <w:bottom w:val="single" w:sz="4" w:space="0" w:color="auto"/>
              <w:right w:val="single" w:sz="4" w:space="0" w:color="auto"/>
            </w:tcBorders>
            <w:shd w:val="clear" w:color="000000" w:fill="FFFFFF"/>
            <w:vAlign w:val="center"/>
            <w:hideMark/>
          </w:tcPr>
          <w:p w14:paraId="5FEF09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228" w:type="dxa"/>
            <w:tcBorders>
              <w:top w:val="nil"/>
              <w:left w:val="nil"/>
              <w:bottom w:val="single" w:sz="4" w:space="0" w:color="auto"/>
              <w:right w:val="single" w:sz="4" w:space="0" w:color="auto"/>
            </w:tcBorders>
            <w:shd w:val="clear" w:color="000000" w:fill="FFFFFF"/>
            <w:vAlign w:val="center"/>
            <w:hideMark/>
          </w:tcPr>
          <w:p w14:paraId="5FEF09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345" w:type="dxa"/>
            <w:tcBorders>
              <w:top w:val="nil"/>
              <w:left w:val="nil"/>
              <w:bottom w:val="single" w:sz="4" w:space="0" w:color="auto"/>
              <w:right w:val="single" w:sz="4" w:space="0" w:color="auto"/>
            </w:tcBorders>
            <w:shd w:val="clear" w:color="000000" w:fill="FFFFFF"/>
            <w:vAlign w:val="center"/>
            <w:hideMark/>
          </w:tcPr>
          <w:p w14:paraId="5FEF09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4,140,000</w:t>
            </w:r>
          </w:p>
        </w:tc>
        <w:tc>
          <w:tcPr>
            <w:tcW w:w="228" w:type="dxa"/>
            <w:tcBorders>
              <w:top w:val="nil"/>
              <w:left w:val="nil"/>
              <w:bottom w:val="single" w:sz="4" w:space="0" w:color="auto"/>
              <w:right w:val="single" w:sz="4" w:space="0" w:color="auto"/>
            </w:tcBorders>
            <w:shd w:val="clear" w:color="000000" w:fill="FFFFFF"/>
            <w:vAlign w:val="center"/>
            <w:hideMark/>
          </w:tcPr>
          <w:p w14:paraId="5FEF09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4,140,000</w:t>
            </w:r>
          </w:p>
        </w:tc>
        <w:tc>
          <w:tcPr>
            <w:tcW w:w="345" w:type="dxa"/>
            <w:tcBorders>
              <w:top w:val="nil"/>
              <w:left w:val="nil"/>
              <w:bottom w:val="single" w:sz="4" w:space="0" w:color="auto"/>
              <w:right w:val="single" w:sz="4" w:space="0" w:color="auto"/>
            </w:tcBorders>
            <w:shd w:val="clear" w:color="000000" w:fill="FFFFFF"/>
            <w:vAlign w:val="center"/>
            <w:hideMark/>
          </w:tcPr>
          <w:p w14:paraId="5FEF09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4,140,000</w:t>
            </w:r>
          </w:p>
        </w:tc>
        <w:tc>
          <w:tcPr>
            <w:tcW w:w="228" w:type="dxa"/>
            <w:tcBorders>
              <w:top w:val="nil"/>
              <w:left w:val="nil"/>
              <w:bottom w:val="single" w:sz="4" w:space="0" w:color="auto"/>
              <w:right w:val="single" w:sz="4" w:space="0" w:color="auto"/>
            </w:tcBorders>
            <w:shd w:val="clear" w:color="000000" w:fill="FFFFFF"/>
            <w:vAlign w:val="center"/>
            <w:hideMark/>
          </w:tcPr>
          <w:p w14:paraId="5FEF09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4,140,000</w:t>
            </w:r>
          </w:p>
        </w:tc>
        <w:tc>
          <w:tcPr>
            <w:tcW w:w="218" w:type="dxa"/>
            <w:tcBorders>
              <w:top w:val="nil"/>
              <w:left w:val="nil"/>
              <w:bottom w:val="single" w:sz="4" w:space="0" w:color="auto"/>
              <w:right w:val="single" w:sz="4" w:space="0" w:color="auto"/>
            </w:tcBorders>
            <w:shd w:val="clear" w:color="000000" w:fill="FFFFFF"/>
            <w:vAlign w:val="center"/>
            <w:hideMark/>
          </w:tcPr>
          <w:p w14:paraId="5FEF09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9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9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9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9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A0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9E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7.3.2</w:t>
            </w:r>
          </w:p>
        </w:tc>
        <w:tc>
          <w:tcPr>
            <w:tcW w:w="814" w:type="dxa"/>
            <w:tcBorders>
              <w:top w:val="nil"/>
              <w:left w:val="nil"/>
              <w:bottom w:val="single" w:sz="4" w:space="0" w:color="auto"/>
              <w:right w:val="single" w:sz="4" w:space="0" w:color="auto"/>
            </w:tcBorders>
            <w:shd w:val="clear" w:color="000000" w:fill="FFFFFF"/>
            <w:vAlign w:val="bottom"/>
            <w:hideMark/>
          </w:tcPr>
          <w:p w14:paraId="5FEF09E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Mundësimi i aksesit në raporte apo studime të vendeve të rajonit apo ndërkombëtare për zhvillimet e terrorizmit mbi bazën e marrëveshjeve të bashkëpunimit</w:t>
            </w:r>
          </w:p>
        </w:tc>
        <w:tc>
          <w:tcPr>
            <w:tcW w:w="350" w:type="dxa"/>
            <w:tcBorders>
              <w:top w:val="nil"/>
              <w:left w:val="nil"/>
              <w:bottom w:val="single" w:sz="4" w:space="0" w:color="auto"/>
              <w:right w:val="single" w:sz="4" w:space="0" w:color="auto"/>
            </w:tcBorders>
            <w:shd w:val="clear" w:color="000000" w:fill="FFFFFF"/>
            <w:vAlign w:val="center"/>
            <w:hideMark/>
          </w:tcPr>
          <w:p w14:paraId="5FEF09EC" w14:textId="3F5E0F6F" w:rsidR="00D845EC" w:rsidRPr="00795698" w:rsidRDefault="007C064A"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w:t>
            </w:r>
            <w:r w:rsidR="00D845EC" w:rsidRPr="00795698">
              <w:rPr>
                <w:rFonts w:ascii="Arial" w:hAnsi="Arial" w:cs="Arial"/>
                <w:color w:val="000000"/>
                <w:sz w:val="6"/>
                <w:szCs w:val="6"/>
                <w:lang w:eastAsia="sq-AL"/>
              </w:rPr>
              <w:t>03521 Veprimtari Informative Shtetërore</w:t>
            </w:r>
            <w:r w:rsidR="00D845EC" w:rsidRPr="00795698">
              <w:rPr>
                <w:rFonts w:ascii="Arial" w:hAnsi="Arial" w:cs="Arial"/>
                <w:color w:val="000000"/>
                <w:sz w:val="6"/>
                <w:szCs w:val="6"/>
                <w:lang w:eastAsia="sq-AL"/>
              </w:rPr>
              <w:br/>
              <w:t>91801AA</w:t>
            </w:r>
          </w:p>
        </w:tc>
        <w:tc>
          <w:tcPr>
            <w:tcW w:w="458" w:type="dxa"/>
            <w:tcBorders>
              <w:top w:val="nil"/>
              <w:left w:val="nil"/>
              <w:bottom w:val="single" w:sz="4" w:space="0" w:color="auto"/>
              <w:right w:val="single" w:sz="4" w:space="0" w:color="auto"/>
            </w:tcBorders>
            <w:shd w:val="clear" w:color="000000" w:fill="FFFFFF"/>
            <w:vAlign w:val="center"/>
            <w:hideMark/>
          </w:tcPr>
          <w:p w14:paraId="5FEF09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SHISH</w:t>
            </w:r>
          </w:p>
        </w:tc>
        <w:tc>
          <w:tcPr>
            <w:tcW w:w="1442" w:type="dxa"/>
            <w:tcBorders>
              <w:top w:val="nil"/>
              <w:left w:val="nil"/>
              <w:bottom w:val="single" w:sz="4" w:space="0" w:color="auto"/>
              <w:right w:val="single" w:sz="4" w:space="0" w:color="auto"/>
            </w:tcBorders>
            <w:shd w:val="clear" w:color="000000" w:fill="FFFFFF"/>
            <w:vAlign w:val="center"/>
            <w:hideMark/>
          </w:tcPr>
          <w:p w14:paraId="5FEF09EE" w14:textId="39F55AB9"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MD/AKSHI/DPPSH/</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SHISH</w:t>
            </w:r>
          </w:p>
        </w:tc>
        <w:tc>
          <w:tcPr>
            <w:tcW w:w="201" w:type="dxa"/>
            <w:tcBorders>
              <w:top w:val="nil"/>
              <w:left w:val="nil"/>
              <w:bottom w:val="single" w:sz="4" w:space="0" w:color="auto"/>
              <w:right w:val="single" w:sz="4" w:space="0" w:color="auto"/>
            </w:tcBorders>
            <w:shd w:val="clear" w:color="auto" w:fill="auto"/>
            <w:vAlign w:val="center"/>
            <w:hideMark/>
          </w:tcPr>
          <w:p w14:paraId="5FEF09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9F0"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9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2,293,000</w:t>
            </w:r>
          </w:p>
        </w:tc>
        <w:tc>
          <w:tcPr>
            <w:tcW w:w="228" w:type="dxa"/>
            <w:tcBorders>
              <w:top w:val="nil"/>
              <w:left w:val="nil"/>
              <w:bottom w:val="single" w:sz="4" w:space="0" w:color="auto"/>
              <w:right w:val="single" w:sz="4" w:space="0" w:color="auto"/>
            </w:tcBorders>
            <w:shd w:val="clear" w:color="000000" w:fill="FFFFFF"/>
            <w:vAlign w:val="center"/>
            <w:hideMark/>
          </w:tcPr>
          <w:p w14:paraId="5FEF09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2,293,000</w:t>
            </w:r>
          </w:p>
        </w:tc>
        <w:tc>
          <w:tcPr>
            <w:tcW w:w="303" w:type="dxa"/>
            <w:tcBorders>
              <w:top w:val="nil"/>
              <w:left w:val="nil"/>
              <w:bottom w:val="single" w:sz="4" w:space="0" w:color="auto"/>
              <w:right w:val="single" w:sz="4" w:space="0" w:color="auto"/>
            </w:tcBorders>
            <w:shd w:val="clear" w:color="000000" w:fill="FFFFFF"/>
            <w:vAlign w:val="center"/>
            <w:hideMark/>
          </w:tcPr>
          <w:p w14:paraId="5FEF09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2,293,000</w:t>
            </w:r>
          </w:p>
        </w:tc>
        <w:tc>
          <w:tcPr>
            <w:tcW w:w="228" w:type="dxa"/>
            <w:tcBorders>
              <w:top w:val="nil"/>
              <w:left w:val="nil"/>
              <w:bottom w:val="single" w:sz="4" w:space="0" w:color="auto"/>
              <w:right w:val="single" w:sz="4" w:space="0" w:color="auto"/>
            </w:tcBorders>
            <w:shd w:val="clear" w:color="000000" w:fill="FFFFFF"/>
            <w:vAlign w:val="center"/>
            <w:hideMark/>
          </w:tcPr>
          <w:p w14:paraId="5FEF09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2,293,000</w:t>
            </w:r>
          </w:p>
        </w:tc>
        <w:tc>
          <w:tcPr>
            <w:tcW w:w="303" w:type="dxa"/>
            <w:tcBorders>
              <w:top w:val="nil"/>
              <w:left w:val="nil"/>
              <w:bottom w:val="single" w:sz="4" w:space="0" w:color="auto"/>
              <w:right w:val="single" w:sz="4" w:space="0" w:color="auto"/>
            </w:tcBorders>
            <w:shd w:val="clear" w:color="000000" w:fill="FFFFFF"/>
            <w:vAlign w:val="center"/>
            <w:hideMark/>
          </w:tcPr>
          <w:p w14:paraId="5FEF09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2,293,000</w:t>
            </w:r>
          </w:p>
        </w:tc>
        <w:tc>
          <w:tcPr>
            <w:tcW w:w="228" w:type="dxa"/>
            <w:tcBorders>
              <w:top w:val="nil"/>
              <w:left w:val="nil"/>
              <w:bottom w:val="single" w:sz="4" w:space="0" w:color="auto"/>
              <w:right w:val="single" w:sz="4" w:space="0" w:color="auto"/>
            </w:tcBorders>
            <w:shd w:val="clear" w:color="000000" w:fill="FFFFFF"/>
            <w:vAlign w:val="center"/>
            <w:hideMark/>
          </w:tcPr>
          <w:p w14:paraId="5FEF09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9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2,293,000</w:t>
            </w:r>
          </w:p>
        </w:tc>
        <w:tc>
          <w:tcPr>
            <w:tcW w:w="345" w:type="dxa"/>
            <w:tcBorders>
              <w:top w:val="nil"/>
              <w:left w:val="nil"/>
              <w:bottom w:val="single" w:sz="4" w:space="0" w:color="auto"/>
              <w:right w:val="single" w:sz="4" w:space="0" w:color="auto"/>
            </w:tcBorders>
            <w:shd w:val="clear" w:color="000000" w:fill="FFFFFF"/>
            <w:vAlign w:val="center"/>
            <w:hideMark/>
          </w:tcPr>
          <w:p w14:paraId="5FEF09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6,879,000</w:t>
            </w:r>
          </w:p>
        </w:tc>
        <w:tc>
          <w:tcPr>
            <w:tcW w:w="228" w:type="dxa"/>
            <w:tcBorders>
              <w:top w:val="nil"/>
              <w:left w:val="nil"/>
              <w:bottom w:val="single" w:sz="4" w:space="0" w:color="auto"/>
              <w:right w:val="single" w:sz="4" w:space="0" w:color="auto"/>
            </w:tcBorders>
            <w:shd w:val="clear" w:color="000000" w:fill="FFFFFF"/>
            <w:vAlign w:val="center"/>
            <w:hideMark/>
          </w:tcPr>
          <w:p w14:paraId="5FEF09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6,879,000</w:t>
            </w:r>
          </w:p>
        </w:tc>
        <w:tc>
          <w:tcPr>
            <w:tcW w:w="345" w:type="dxa"/>
            <w:tcBorders>
              <w:top w:val="nil"/>
              <w:left w:val="nil"/>
              <w:bottom w:val="single" w:sz="4" w:space="0" w:color="auto"/>
              <w:right w:val="single" w:sz="4" w:space="0" w:color="auto"/>
            </w:tcBorders>
            <w:shd w:val="clear" w:color="000000" w:fill="FFFFFF"/>
            <w:vAlign w:val="center"/>
            <w:hideMark/>
          </w:tcPr>
          <w:p w14:paraId="5FEF09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6,879,000</w:t>
            </w:r>
          </w:p>
        </w:tc>
        <w:tc>
          <w:tcPr>
            <w:tcW w:w="228" w:type="dxa"/>
            <w:tcBorders>
              <w:top w:val="nil"/>
              <w:left w:val="nil"/>
              <w:bottom w:val="single" w:sz="4" w:space="0" w:color="auto"/>
              <w:right w:val="single" w:sz="4" w:space="0" w:color="auto"/>
            </w:tcBorders>
            <w:shd w:val="clear" w:color="000000" w:fill="FFFFFF"/>
            <w:vAlign w:val="center"/>
            <w:hideMark/>
          </w:tcPr>
          <w:p w14:paraId="5FEF09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9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6,879,000</w:t>
            </w:r>
          </w:p>
        </w:tc>
        <w:tc>
          <w:tcPr>
            <w:tcW w:w="218" w:type="dxa"/>
            <w:tcBorders>
              <w:top w:val="nil"/>
              <w:left w:val="nil"/>
              <w:bottom w:val="single" w:sz="4" w:space="0" w:color="auto"/>
              <w:right w:val="single" w:sz="4" w:space="0" w:color="auto"/>
            </w:tcBorders>
            <w:shd w:val="clear" w:color="000000" w:fill="FFFFFF"/>
            <w:vAlign w:val="center"/>
            <w:hideMark/>
          </w:tcPr>
          <w:p w14:paraId="5FEF0A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A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A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A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A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A2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A0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7.3.3</w:t>
            </w:r>
          </w:p>
        </w:tc>
        <w:tc>
          <w:tcPr>
            <w:tcW w:w="814" w:type="dxa"/>
            <w:tcBorders>
              <w:top w:val="nil"/>
              <w:left w:val="nil"/>
              <w:bottom w:val="single" w:sz="4" w:space="0" w:color="auto"/>
              <w:right w:val="single" w:sz="4" w:space="0" w:color="auto"/>
            </w:tcBorders>
            <w:shd w:val="clear" w:color="auto" w:fill="auto"/>
            <w:vAlign w:val="bottom"/>
            <w:hideMark/>
          </w:tcPr>
          <w:p w14:paraId="5FEF0A07"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Pjesëmarrje në takime, konferenca ose vizita studimore mbi dinamikat dhe format e reja të kërcënimeve terroriste.</w:t>
            </w:r>
          </w:p>
        </w:tc>
        <w:tc>
          <w:tcPr>
            <w:tcW w:w="350" w:type="dxa"/>
            <w:tcBorders>
              <w:top w:val="nil"/>
              <w:left w:val="nil"/>
              <w:bottom w:val="single" w:sz="4" w:space="0" w:color="auto"/>
              <w:right w:val="single" w:sz="4" w:space="0" w:color="auto"/>
            </w:tcBorders>
            <w:shd w:val="clear" w:color="auto" w:fill="auto"/>
            <w:vAlign w:val="center"/>
            <w:hideMark/>
          </w:tcPr>
          <w:p w14:paraId="5FEF0A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center"/>
            <w:hideMark/>
          </w:tcPr>
          <w:p w14:paraId="5FEF0A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w:t>
            </w:r>
          </w:p>
        </w:tc>
        <w:tc>
          <w:tcPr>
            <w:tcW w:w="1442" w:type="dxa"/>
            <w:tcBorders>
              <w:top w:val="nil"/>
              <w:left w:val="nil"/>
              <w:bottom w:val="single" w:sz="4" w:space="0" w:color="auto"/>
              <w:right w:val="single" w:sz="4" w:space="0" w:color="auto"/>
            </w:tcBorders>
            <w:shd w:val="clear" w:color="auto" w:fill="auto"/>
            <w:vAlign w:val="center"/>
            <w:hideMark/>
          </w:tcPr>
          <w:p w14:paraId="5FEF0A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MD/AKSHI/SHISH</w:t>
            </w:r>
          </w:p>
        </w:tc>
        <w:tc>
          <w:tcPr>
            <w:tcW w:w="201" w:type="dxa"/>
            <w:tcBorders>
              <w:top w:val="nil"/>
              <w:left w:val="nil"/>
              <w:bottom w:val="single" w:sz="4" w:space="0" w:color="auto"/>
              <w:right w:val="single" w:sz="4" w:space="0" w:color="auto"/>
            </w:tcBorders>
            <w:shd w:val="clear" w:color="auto" w:fill="auto"/>
            <w:vAlign w:val="center"/>
            <w:hideMark/>
          </w:tcPr>
          <w:p w14:paraId="5FEF0A0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A0C"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A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228" w:type="dxa"/>
            <w:tcBorders>
              <w:top w:val="nil"/>
              <w:left w:val="nil"/>
              <w:bottom w:val="single" w:sz="4" w:space="0" w:color="auto"/>
              <w:right w:val="single" w:sz="4" w:space="0" w:color="auto"/>
            </w:tcBorders>
            <w:shd w:val="clear" w:color="000000" w:fill="FFFFFF"/>
            <w:vAlign w:val="center"/>
            <w:hideMark/>
          </w:tcPr>
          <w:p w14:paraId="5FEF0A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A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303" w:type="dxa"/>
            <w:tcBorders>
              <w:top w:val="nil"/>
              <w:left w:val="nil"/>
              <w:bottom w:val="single" w:sz="4" w:space="0" w:color="auto"/>
              <w:right w:val="single" w:sz="4" w:space="0" w:color="auto"/>
            </w:tcBorders>
            <w:shd w:val="clear" w:color="000000" w:fill="FFFFFF"/>
            <w:vAlign w:val="center"/>
            <w:hideMark/>
          </w:tcPr>
          <w:p w14:paraId="5FEF0A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228" w:type="dxa"/>
            <w:tcBorders>
              <w:top w:val="nil"/>
              <w:left w:val="nil"/>
              <w:bottom w:val="single" w:sz="4" w:space="0" w:color="auto"/>
              <w:right w:val="single" w:sz="4" w:space="0" w:color="auto"/>
            </w:tcBorders>
            <w:shd w:val="clear" w:color="000000" w:fill="FFFFFF"/>
            <w:vAlign w:val="center"/>
            <w:hideMark/>
          </w:tcPr>
          <w:p w14:paraId="5FEF0A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A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303" w:type="dxa"/>
            <w:tcBorders>
              <w:top w:val="nil"/>
              <w:left w:val="nil"/>
              <w:bottom w:val="single" w:sz="4" w:space="0" w:color="auto"/>
              <w:right w:val="single" w:sz="4" w:space="0" w:color="auto"/>
            </w:tcBorders>
            <w:shd w:val="clear" w:color="000000" w:fill="FFFFFF"/>
            <w:vAlign w:val="center"/>
            <w:hideMark/>
          </w:tcPr>
          <w:p w14:paraId="5FEF0A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228" w:type="dxa"/>
            <w:tcBorders>
              <w:top w:val="nil"/>
              <w:left w:val="nil"/>
              <w:bottom w:val="single" w:sz="4" w:space="0" w:color="auto"/>
              <w:right w:val="single" w:sz="4" w:space="0" w:color="auto"/>
            </w:tcBorders>
            <w:shd w:val="clear" w:color="000000" w:fill="FFFFFF"/>
            <w:vAlign w:val="center"/>
            <w:hideMark/>
          </w:tcPr>
          <w:p w14:paraId="5FEF0A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A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345" w:type="dxa"/>
            <w:tcBorders>
              <w:top w:val="nil"/>
              <w:left w:val="nil"/>
              <w:bottom w:val="single" w:sz="4" w:space="0" w:color="auto"/>
              <w:right w:val="single" w:sz="4" w:space="0" w:color="auto"/>
            </w:tcBorders>
            <w:shd w:val="clear" w:color="000000" w:fill="FFFFFF"/>
            <w:vAlign w:val="center"/>
            <w:hideMark/>
          </w:tcPr>
          <w:p w14:paraId="5FEF0A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w:t>
            </w:r>
          </w:p>
        </w:tc>
        <w:tc>
          <w:tcPr>
            <w:tcW w:w="228" w:type="dxa"/>
            <w:tcBorders>
              <w:top w:val="nil"/>
              <w:left w:val="nil"/>
              <w:bottom w:val="single" w:sz="4" w:space="0" w:color="auto"/>
              <w:right w:val="single" w:sz="4" w:space="0" w:color="auto"/>
            </w:tcBorders>
            <w:shd w:val="clear" w:color="000000" w:fill="FFFFFF"/>
            <w:vAlign w:val="center"/>
            <w:hideMark/>
          </w:tcPr>
          <w:p w14:paraId="5FEF0A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w:t>
            </w:r>
          </w:p>
        </w:tc>
        <w:tc>
          <w:tcPr>
            <w:tcW w:w="345" w:type="dxa"/>
            <w:tcBorders>
              <w:top w:val="nil"/>
              <w:left w:val="nil"/>
              <w:bottom w:val="single" w:sz="4" w:space="0" w:color="auto"/>
              <w:right w:val="single" w:sz="4" w:space="0" w:color="auto"/>
            </w:tcBorders>
            <w:shd w:val="clear" w:color="000000" w:fill="FFFFFF"/>
            <w:vAlign w:val="center"/>
            <w:hideMark/>
          </w:tcPr>
          <w:p w14:paraId="5FEF0A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w:t>
            </w:r>
          </w:p>
        </w:tc>
        <w:tc>
          <w:tcPr>
            <w:tcW w:w="228" w:type="dxa"/>
            <w:tcBorders>
              <w:top w:val="nil"/>
              <w:left w:val="nil"/>
              <w:bottom w:val="single" w:sz="4" w:space="0" w:color="auto"/>
              <w:right w:val="single" w:sz="4" w:space="0" w:color="auto"/>
            </w:tcBorders>
            <w:shd w:val="clear" w:color="000000" w:fill="FFFFFF"/>
            <w:vAlign w:val="center"/>
            <w:hideMark/>
          </w:tcPr>
          <w:p w14:paraId="5FEF0A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1,200,000</w:t>
            </w:r>
          </w:p>
        </w:tc>
        <w:tc>
          <w:tcPr>
            <w:tcW w:w="218" w:type="dxa"/>
            <w:tcBorders>
              <w:top w:val="nil"/>
              <w:left w:val="nil"/>
              <w:bottom w:val="single" w:sz="4" w:space="0" w:color="auto"/>
              <w:right w:val="single" w:sz="4" w:space="0" w:color="auto"/>
            </w:tcBorders>
            <w:shd w:val="clear" w:color="000000" w:fill="FFFFFF"/>
            <w:vAlign w:val="center"/>
            <w:hideMark/>
          </w:tcPr>
          <w:p w14:paraId="5FEF0A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A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A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A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A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A3D"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A2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A23"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7.3</w:t>
            </w:r>
          </w:p>
        </w:tc>
        <w:tc>
          <w:tcPr>
            <w:tcW w:w="350" w:type="dxa"/>
            <w:tcBorders>
              <w:top w:val="nil"/>
              <w:left w:val="nil"/>
              <w:bottom w:val="single" w:sz="4" w:space="0" w:color="auto"/>
              <w:right w:val="single" w:sz="4" w:space="0" w:color="auto"/>
            </w:tcBorders>
            <w:shd w:val="clear" w:color="000000" w:fill="D9D9D9"/>
            <w:vAlign w:val="center"/>
            <w:hideMark/>
          </w:tcPr>
          <w:p w14:paraId="5FEF0A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A2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A2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A2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A2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A2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4,073,000</w:t>
            </w:r>
          </w:p>
        </w:tc>
        <w:tc>
          <w:tcPr>
            <w:tcW w:w="228" w:type="dxa"/>
            <w:tcBorders>
              <w:top w:val="nil"/>
              <w:left w:val="nil"/>
              <w:bottom w:val="single" w:sz="4" w:space="0" w:color="auto"/>
              <w:right w:val="single" w:sz="4" w:space="0" w:color="auto"/>
            </w:tcBorders>
            <w:shd w:val="clear" w:color="000000" w:fill="D9D9D9"/>
            <w:vAlign w:val="center"/>
            <w:hideMark/>
          </w:tcPr>
          <w:p w14:paraId="5FEF0A2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A2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4,073,000</w:t>
            </w:r>
          </w:p>
        </w:tc>
        <w:tc>
          <w:tcPr>
            <w:tcW w:w="303" w:type="dxa"/>
            <w:tcBorders>
              <w:top w:val="nil"/>
              <w:left w:val="nil"/>
              <w:bottom w:val="single" w:sz="4" w:space="0" w:color="auto"/>
              <w:right w:val="single" w:sz="4" w:space="0" w:color="auto"/>
            </w:tcBorders>
            <w:shd w:val="clear" w:color="000000" w:fill="D9D9D9"/>
            <w:vAlign w:val="center"/>
            <w:hideMark/>
          </w:tcPr>
          <w:p w14:paraId="5FEF0A2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4,073,000</w:t>
            </w:r>
          </w:p>
        </w:tc>
        <w:tc>
          <w:tcPr>
            <w:tcW w:w="228" w:type="dxa"/>
            <w:tcBorders>
              <w:top w:val="nil"/>
              <w:left w:val="nil"/>
              <w:bottom w:val="single" w:sz="4" w:space="0" w:color="auto"/>
              <w:right w:val="single" w:sz="4" w:space="0" w:color="auto"/>
            </w:tcBorders>
            <w:shd w:val="clear" w:color="000000" w:fill="D9D9D9"/>
            <w:vAlign w:val="center"/>
            <w:hideMark/>
          </w:tcPr>
          <w:p w14:paraId="5FEF0A2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A2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4,073,000</w:t>
            </w:r>
          </w:p>
        </w:tc>
        <w:tc>
          <w:tcPr>
            <w:tcW w:w="303" w:type="dxa"/>
            <w:tcBorders>
              <w:top w:val="nil"/>
              <w:left w:val="nil"/>
              <w:bottom w:val="single" w:sz="4" w:space="0" w:color="auto"/>
              <w:right w:val="single" w:sz="4" w:space="0" w:color="auto"/>
            </w:tcBorders>
            <w:shd w:val="clear" w:color="000000" w:fill="D9D9D9"/>
            <w:vAlign w:val="center"/>
            <w:hideMark/>
          </w:tcPr>
          <w:p w14:paraId="5FEF0A2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4,073,000</w:t>
            </w:r>
          </w:p>
        </w:tc>
        <w:tc>
          <w:tcPr>
            <w:tcW w:w="228" w:type="dxa"/>
            <w:tcBorders>
              <w:top w:val="nil"/>
              <w:left w:val="nil"/>
              <w:bottom w:val="single" w:sz="4" w:space="0" w:color="auto"/>
              <w:right w:val="single" w:sz="4" w:space="0" w:color="auto"/>
            </w:tcBorders>
            <w:shd w:val="clear" w:color="000000" w:fill="D9D9D9"/>
            <w:vAlign w:val="center"/>
            <w:hideMark/>
          </w:tcPr>
          <w:p w14:paraId="5FEF0A3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A3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4,073,000</w:t>
            </w:r>
          </w:p>
        </w:tc>
        <w:tc>
          <w:tcPr>
            <w:tcW w:w="345" w:type="dxa"/>
            <w:tcBorders>
              <w:top w:val="nil"/>
              <w:left w:val="nil"/>
              <w:bottom w:val="single" w:sz="4" w:space="0" w:color="auto"/>
              <w:right w:val="single" w:sz="4" w:space="0" w:color="auto"/>
            </w:tcBorders>
            <w:shd w:val="clear" w:color="000000" w:fill="D9D9D9"/>
            <w:vAlign w:val="center"/>
            <w:hideMark/>
          </w:tcPr>
          <w:p w14:paraId="5FEF0A3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12,219,000</w:t>
            </w:r>
          </w:p>
        </w:tc>
        <w:tc>
          <w:tcPr>
            <w:tcW w:w="228" w:type="dxa"/>
            <w:tcBorders>
              <w:top w:val="nil"/>
              <w:left w:val="nil"/>
              <w:bottom w:val="single" w:sz="4" w:space="0" w:color="auto"/>
              <w:right w:val="single" w:sz="4" w:space="0" w:color="auto"/>
            </w:tcBorders>
            <w:shd w:val="clear" w:color="000000" w:fill="D9D9D9"/>
            <w:vAlign w:val="center"/>
            <w:hideMark/>
          </w:tcPr>
          <w:p w14:paraId="5FEF0A3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A3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12,219,000</w:t>
            </w:r>
          </w:p>
        </w:tc>
        <w:tc>
          <w:tcPr>
            <w:tcW w:w="345" w:type="dxa"/>
            <w:tcBorders>
              <w:top w:val="nil"/>
              <w:left w:val="nil"/>
              <w:bottom w:val="single" w:sz="4" w:space="0" w:color="auto"/>
              <w:right w:val="single" w:sz="4" w:space="0" w:color="auto"/>
            </w:tcBorders>
            <w:shd w:val="clear" w:color="000000" w:fill="D9D9D9"/>
            <w:vAlign w:val="center"/>
            <w:hideMark/>
          </w:tcPr>
          <w:p w14:paraId="5FEF0A3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12,219,000</w:t>
            </w:r>
          </w:p>
        </w:tc>
        <w:tc>
          <w:tcPr>
            <w:tcW w:w="228" w:type="dxa"/>
            <w:tcBorders>
              <w:top w:val="nil"/>
              <w:left w:val="nil"/>
              <w:bottom w:val="single" w:sz="4" w:space="0" w:color="auto"/>
              <w:right w:val="single" w:sz="4" w:space="0" w:color="auto"/>
            </w:tcBorders>
            <w:shd w:val="clear" w:color="000000" w:fill="D9D9D9"/>
            <w:vAlign w:val="center"/>
            <w:hideMark/>
          </w:tcPr>
          <w:p w14:paraId="5FEF0A3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A3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12,219,000</w:t>
            </w:r>
          </w:p>
        </w:tc>
        <w:tc>
          <w:tcPr>
            <w:tcW w:w="218" w:type="dxa"/>
            <w:tcBorders>
              <w:top w:val="nil"/>
              <w:left w:val="nil"/>
              <w:bottom w:val="single" w:sz="4" w:space="0" w:color="auto"/>
              <w:right w:val="single" w:sz="4" w:space="0" w:color="auto"/>
            </w:tcBorders>
            <w:shd w:val="clear" w:color="000000" w:fill="D9D9D9"/>
            <w:vAlign w:val="center"/>
            <w:hideMark/>
          </w:tcPr>
          <w:p w14:paraId="5FEF0A3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A3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A3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A3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8" w:space="0" w:color="auto"/>
            </w:tcBorders>
            <w:shd w:val="clear" w:color="000000" w:fill="D9D9D9"/>
            <w:vAlign w:val="center"/>
            <w:hideMark/>
          </w:tcPr>
          <w:p w14:paraId="5FEF0A3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A5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A3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7.4</w:t>
            </w:r>
          </w:p>
        </w:tc>
        <w:tc>
          <w:tcPr>
            <w:tcW w:w="814" w:type="dxa"/>
            <w:tcBorders>
              <w:top w:val="nil"/>
              <w:left w:val="nil"/>
              <w:bottom w:val="single" w:sz="4" w:space="0" w:color="auto"/>
              <w:right w:val="single" w:sz="4" w:space="0" w:color="auto"/>
            </w:tcBorders>
            <w:shd w:val="clear" w:color="auto" w:fill="auto"/>
            <w:vAlign w:val="center"/>
            <w:hideMark/>
          </w:tcPr>
          <w:p w14:paraId="5FEF0A3F"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SIGURIMI I INFORMACIONIT DHE INFORMIMI I INSTITUCIONEVE VENDIMARRËSE, POLITIKËBËRËSE, INSTITUCIONEVE DHE STRUKTURAVE TË TJERA KOMPETENTE/PËRGJEGJËSE SHTETËRORE DHE TË ZBATIMIT TË LIGJIT</w:t>
            </w:r>
          </w:p>
        </w:tc>
        <w:tc>
          <w:tcPr>
            <w:tcW w:w="350" w:type="dxa"/>
            <w:tcBorders>
              <w:top w:val="nil"/>
              <w:left w:val="nil"/>
              <w:bottom w:val="single" w:sz="4" w:space="0" w:color="auto"/>
              <w:right w:val="single" w:sz="4" w:space="0" w:color="auto"/>
            </w:tcBorders>
            <w:shd w:val="clear" w:color="auto" w:fill="auto"/>
            <w:vAlign w:val="center"/>
            <w:hideMark/>
          </w:tcPr>
          <w:p w14:paraId="5FEF0A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A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A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A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A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A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A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A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A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A7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A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A5B"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A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A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A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A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A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A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A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A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A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A9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A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7.4.1</w:t>
            </w:r>
          </w:p>
        </w:tc>
        <w:tc>
          <w:tcPr>
            <w:tcW w:w="814" w:type="dxa"/>
            <w:tcBorders>
              <w:top w:val="nil"/>
              <w:left w:val="nil"/>
              <w:bottom w:val="single" w:sz="4" w:space="0" w:color="auto"/>
              <w:right w:val="single" w:sz="4" w:space="0" w:color="auto"/>
            </w:tcBorders>
            <w:shd w:val="clear" w:color="auto" w:fill="auto"/>
            <w:vAlign w:val="bottom"/>
            <w:hideMark/>
          </w:tcPr>
          <w:p w14:paraId="5FEF0A77"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Shkëmbimi i informacionit, përdorimi i burimeve dhe programeve të organizatave</w:t>
            </w:r>
            <w:r w:rsidRPr="00795698">
              <w:rPr>
                <w:rFonts w:ascii="Arial" w:hAnsi="Arial" w:cs="Arial"/>
                <w:color w:val="000000"/>
                <w:sz w:val="6"/>
                <w:szCs w:val="6"/>
                <w:lang w:eastAsia="sq-AL"/>
              </w:rPr>
              <w:br/>
              <w:t>ndërkombëtare për zbulimin terrorizmit, ekstremizmit të dhunshëm dhe radikalizimit, sabotazhit dhe trafikimit të Armëve e Dëmtimit në Masë</w:t>
            </w:r>
          </w:p>
        </w:tc>
        <w:tc>
          <w:tcPr>
            <w:tcW w:w="350" w:type="dxa"/>
            <w:tcBorders>
              <w:top w:val="nil"/>
              <w:left w:val="nil"/>
              <w:bottom w:val="single" w:sz="4" w:space="0" w:color="auto"/>
              <w:right w:val="single" w:sz="4" w:space="0" w:color="auto"/>
            </w:tcBorders>
            <w:shd w:val="clear" w:color="000000" w:fill="FFFFFF"/>
            <w:vAlign w:val="center"/>
            <w:hideMark/>
          </w:tcPr>
          <w:p w14:paraId="5FEF0A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auto" w:fill="auto"/>
            <w:vAlign w:val="center"/>
            <w:hideMark/>
          </w:tcPr>
          <w:p w14:paraId="5FEF0A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auto" w:fill="auto"/>
            <w:vAlign w:val="center"/>
            <w:hideMark/>
          </w:tcPr>
          <w:p w14:paraId="5FEF0A7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DPPSH/DAT/SHISH/QKEDH</w:t>
            </w:r>
          </w:p>
        </w:tc>
        <w:tc>
          <w:tcPr>
            <w:tcW w:w="201" w:type="dxa"/>
            <w:tcBorders>
              <w:top w:val="nil"/>
              <w:left w:val="nil"/>
              <w:bottom w:val="single" w:sz="4" w:space="0" w:color="auto"/>
              <w:right w:val="single" w:sz="4" w:space="0" w:color="auto"/>
            </w:tcBorders>
            <w:shd w:val="clear" w:color="auto" w:fill="auto"/>
            <w:vAlign w:val="center"/>
            <w:hideMark/>
          </w:tcPr>
          <w:p w14:paraId="5FEF0A7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A7C"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A7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A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303" w:type="dxa"/>
            <w:tcBorders>
              <w:top w:val="nil"/>
              <w:left w:val="nil"/>
              <w:bottom w:val="single" w:sz="4" w:space="0" w:color="auto"/>
              <w:right w:val="single" w:sz="4" w:space="0" w:color="auto"/>
            </w:tcBorders>
            <w:shd w:val="clear" w:color="000000" w:fill="FFFFFF"/>
            <w:vAlign w:val="center"/>
            <w:hideMark/>
          </w:tcPr>
          <w:p w14:paraId="5FEF0A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A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A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303" w:type="dxa"/>
            <w:tcBorders>
              <w:top w:val="nil"/>
              <w:left w:val="nil"/>
              <w:bottom w:val="single" w:sz="4" w:space="0" w:color="auto"/>
              <w:right w:val="single" w:sz="4" w:space="0" w:color="auto"/>
            </w:tcBorders>
            <w:shd w:val="clear" w:color="000000" w:fill="FFFFFF"/>
            <w:vAlign w:val="center"/>
            <w:hideMark/>
          </w:tcPr>
          <w:p w14:paraId="5FEF0A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A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A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884,000</w:t>
            </w:r>
          </w:p>
        </w:tc>
        <w:tc>
          <w:tcPr>
            <w:tcW w:w="345" w:type="dxa"/>
            <w:tcBorders>
              <w:top w:val="nil"/>
              <w:left w:val="nil"/>
              <w:bottom w:val="single" w:sz="4" w:space="0" w:color="auto"/>
              <w:right w:val="single" w:sz="4" w:space="0" w:color="auto"/>
            </w:tcBorders>
            <w:shd w:val="clear" w:color="000000" w:fill="FFFFFF"/>
            <w:vAlign w:val="center"/>
            <w:hideMark/>
          </w:tcPr>
          <w:p w14:paraId="5FEF0A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228" w:type="dxa"/>
            <w:tcBorders>
              <w:top w:val="nil"/>
              <w:left w:val="nil"/>
              <w:bottom w:val="single" w:sz="4" w:space="0" w:color="auto"/>
              <w:right w:val="single" w:sz="4" w:space="0" w:color="auto"/>
            </w:tcBorders>
            <w:shd w:val="clear" w:color="000000" w:fill="FFFFFF"/>
            <w:vAlign w:val="center"/>
            <w:hideMark/>
          </w:tcPr>
          <w:p w14:paraId="5FEF0A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345" w:type="dxa"/>
            <w:tcBorders>
              <w:top w:val="nil"/>
              <w:left w:val="nil"/>
              <w:bottom w:val="single" w:sz="4" w:space="0" w:color="auto"/>
              <w:right w:val="single" w:sz="4" w:space="0" w:color="auto"/>
            </w:tcBorders>
            <w:shd w:val="clear" w:color="000000" w:fill="FFFFFF"/>
            <w:vAlign w:val="center"/>
            <w:hideMark/>
          </w:tcPr>
          <w:p w14:paraId="5FEF0A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228" w:type="dxa"/>
            <w:tcBorders>
              <w:top w:val="nil"/>
              <w:left w:val="nil"/>
              <w:bottom w:val="single" w:sz="4" w:space="0" w:color="auto"/>
              <w:right w:val="single" w:sz="4" w:space="0" w:color="auto"/>
            </w:tcBorders>
            <w:shd w:val="clear" w:color="000000" w:fill="FFFFFF"/>
            <w:vAlign w:val="center"/>
            <w:hideMark/>
          </w:tcPr>
          <w:p w14:paraId="5FEF0A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2,652,000</w:t>
            </w:r>
          </w:p>
        </w:tc>
        <w:tc>
          <w:tcPr>
            <w:tcW w:w="218" w:type="dxa"/>
            <w:tcBorders>
              <w:top w:val="nil"/>
              <w:left w:val="nil"/>
              <w:bottom w:val="single" w:sz="4" w:space="0" w:color="auto"/>
              <w:right w:val="single" w:sz="4" w:space="0" w:color="auto"/>
            </w:tcBorders>
            <w:shd w:val="clear" w:color="000000" w:fill="FFFFFF"/>
            <w:vAlign w:val="center"/>
            <w:hideMark/>
          </w:tcPr>
          <w:p w14:paraId="5FEF0A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A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A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A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A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AAD"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A9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7.4.2</w:t>
            </w:r>
          </w:p>
        </w:tc>
        <w:tc>
          <w:tcPr>
            <w:tcW w:w="814" w:type="dxa"/>
            <w:tcBorders>
              <w:top w:val="nil"/>
              <w:left w:val="nil"/>
              <w:bottom w:val="single" w:sz="4" w:space="0" w:color="auto"/>
              <w:right w:val="single" w:sz="4" w:space="0" w:color="auto"/>
            </w:tcBorders>
            <w:shd w:val="clear" w:color="000000" w:fill="FFFFFF"/>
            <w:vAlign w:val="bottom"/>
            <w:hideMark/>
          </w:tcPr>
          <w:p w14:paraId="5FEF0A93" w14:textId="461618AD"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Informimi i strukturave vendimarrëse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mbi problematikat e raporteve të riskut ose zhvillimeve aktuale/të pritshme kombëtare ose të huaja në fushën e terrorizmit</w:t>
            </w:r>
          </w:p>
        </w:tc>
        <w:tc>
          <w:tcPr>
            <w:tcW w:w="350" w:type="dxa"/>
            <w:tcBorders>
              <w:top w:val="nil"/>
              <w:left w:val="nil"/>
              <w:bottom w:val="single" w:sz="4" w:space="0" w:color="auto"/>
              <w:right w:val="single" w:sz="4" w:space="0" w:color="auto"/>
            </w:tcBorders>
            <w:shd w:val="clear" w:color="000000" w:fill="FFFFFF"/>
            <w:vAlign w:val="center"/>
            <w:hideMark/>
          </w:tcPr>
          <w:p w14:paraId="5FEF0A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000000" w:fill="FFFFFF"/>
            <w:vAlign w:val="bottom"/>
            <w:hideMark/>
          </w:tcPr>
          <w:p w14:paraId="5FEF0A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000000" w:fill="FFFFFF"/>
            <w:noWrap/>
            <w:vAlign w:val="bottom"/>
            <w:hideMark/>
          </w:tcPr>
          <w:p w14:paraId="5FEF0A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DPPSH/DAT/SHISH</w:t>
            </w:r>
          </w:p>
        </w:tc>
        <w:tc>
          <w:tcPr>
            <w:tcW w:w="201" w:type="dxa"/>
            <w:tcBorders>
              <w:top w:val="nil"/>
              <w:left w:val="nil"/>
              <w:bottom w:val="single" w:sz="4" w:space="0" w:color="auto"/>
              <w:right w:val="single" w:sz="4" w:space="0" w:color="auto"/>
            </w:tcBorders>
            <w:shd w:val="clear" w:color="auto" w:fill="auto"/>
            <w:vAlign w:val="center"/>
            <w:hideMark/>
          </w:tcPr>
          <w:p w14:paraId="5FEF0A9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A98"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A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684,000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A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684,000</w:t>
            </w:r>
          </w:p>
        </w:tc>
        <w:tc>
          <w:tcPr>
            <w:tcW w:w="303" w:type="dxa"/>
            <w:tcBorders>
              <w:top w:val="nil"/>
              <w:left w:val="nil"/>
              <w:bottom w:val="single" w:sz="4" w:space="0" w:color="auto"/>
              <w:right w:val="single" w:sz="4" w:space="0" w:color="auto"/>
            </w:tcBorders>
            <w:shd w:val="clear" w:color="000000" w:fill="FFFFFF"/>
            <w:vAlign w:val="center"/>
            <w:hideMark/>
          </w:tcPr>
          <w:p w14:paraId="5FEF0A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684,000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A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684,000</w:t>
            </w:r>
          </w:p>
        </w:tc>
        <w:tc>
          <w:tcPr>
            <w:tcW w:w="303" w:type="dxa"/>
            <w:tcBorders>
              <w:top w:val="nil"/>
              <w:left w:val="nil"/>
              <w:bottom w:val="single" w:sz="4" w:space="0" w:color="auto"/>
              <w:right w:val="single" w:sz="4" w:space="0" w:color="auto"/>
            </w:tcBorders>
            <w:shd w:val="clear" w:color="000000" w:fill="FFFFFF"/>
            <w:vAlign w:val="center"/>
            <w:hideMark/>
          </w:tcPr>
          <w:p w14:paraId="5FEF0A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684,000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A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684,000</w:t>
            </w:r>
          </w:p>
        </w:tc>
        <w:tc>
          <w:tcPr>
            <w:tcW w:w="345" w:type="dxa"/>
            <w:tcBorders>
              <w:top w:val="nil"/>
              <w:left w:val="nil"/>
              <w:bottom w:val="single" w:sz="4" w:space="0" w:color="auto"/>
              <w:right w:val="single" w:sz="4" w:space="0" w:color="auto"/>
            </w:tcBorders>
            <w:shd w:val="clear" w:color="000000" w:fill="FFFFFF"/>
            <w:vAlign w:val="center"/>
            <w:hideMark/>
          </w:tcPr>
          <w:p w14:paraId="5FEF0A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2,052,000</w:t>
            </w:r>
          </w:p>
        </w:tc>
        <w:tc>
          <w:tcPr>
            <w:tcW w:w="228" w:type="dxa"/>
            <w:tcBorders>
              <w:top w:val="nil"/>
              <w:left w:val="nil"/>
              <w:bottom w:val="single" w:sz="4" w:space="0" w:color="auto"/>
              <w:right w:val="single" w:sz="4" w:space="0" w:color="auto"/>
            </w:tcBorders>
            <w:shd w:val="clear" w:color="000000" w:fill="FFFFFF"/>
            <w:vAlign w:val="center"/>
            <w:hideMark/>
          </w:tcPr>
          <w:p w14:paraId="5FEF0A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2,052,000</w:t>
            </w:r>
          </w:p>
        </w:tc>
        <w:tc>
          <w:tcPr>
            <w:tcW w:w="345" w:type="dxa"/>
            <w:tcBorders>
              <w:top w:val="nil"/>
              <w:left w:val="nil"/>
              <w:bottom w:val="single" w:sz="4" w:space="0" w:color="auto"/>
              <w:right w:val="single" w:sz="4" w:space="0" w:color="auto"/>
            </w:tcBorders>
            <w:shd w:val="clear" w:color="000000" w:fill="FFFFFF"/>
            <w:vAlign w:val="center"/>
            <w:hideMark/>
          </w:tcPr>
          <w:p w14:paraId="5FEF0A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2,052,000</w:t>
            </w:r>
          </w:p>
        </w:tc>
        <w:tc>
          <w:tcPr>
            <w:tcW w:w="228" w:type="dxa"/>
            <w:tcBorders>
              <w:top w:val="nil"/>
              <w:left w:val="nil"/>
              <w:bottom w:val="single" w:sz="4" w:space="0" w:color="auto"/>
              <w:right w:val="single" w:sz="4" w:space="0" w:color="auto"/>
            </w:tcBorders>
            <w:shd w:val="clear" w:color="000000" w:fill="FFFFFF"/>
            <w:vAlign w:val="center"/>
            <w:hideMark/>
          </w:tcPr>
          <w:p w14:paraId="5FEF0A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2,052,000</w:t>
            </w:r>
          </w:p>
        </w:tc>
        <w:tc>
          <w:tcPr>
            <w:tcW w:w="218" w:type="dxa"/>
            <w:tcBorders>
              <w:top w:val="nil"/>
              <w:left w:val="nil"/>
              <w:bottom w:val="single" w:sz="4" w:space="0" w:color="auto"/>
              <w:right w:val="single" w:sz="4" w:space="0" w:color="auto"/>
            </w:tcBorders>
            <w:shd w:val="clear" w:color="000000" w:fill="FFFFFF"/>
            <w:vAlign w:val="center"/>
            <w:hideMark/>
          </w:tcPr>
          <w:p w14:paraId="5FEF0A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A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A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A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A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AC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AA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7.4.3</w:t>
            </w:r>
          </w:p>
        </w:tc>
        <w:tc>
          <w:tcPr>
            <w:tcW w:w="814" w:type="dxa"/>
            <w:tcBorders>
              <w:top w:val="nil"/>
              <w:left w:val="nil"/>
              <w:bottom w:val="single" w:sz="4" w:space="0" w:color="auto"/>
              <w:right w:val="single" w:sz="4" w:space="0" w:color="auto"/>
            </w:tcBorders>
            <w:shd w:val="clear" w:color="000000" w:fill="FFFFFF"/>
            <w:vAlign w:val="bottom"/>
            <w:hideMark/>
          </w:tcPr>
          <w:p w14:paraId="5FEF0AA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Propozimi i zgjidhjeve dhe metodave bazuar në ekspertizën mbi zhvillimet dhe metodat bashkëhore të inteligjencës</w:t>
            </w:r>
          </w:p>
        </w:tc>
        <w:tc>
          <w:tcPr>
            <w:tcW w:w="350" w:type="dxa"/>
            <w:tcBorders>
              <w:top w:val="nil"/>
              <w:left w:val="nil"/>
              <w:bottom w:val="single" w:sz="4" w:space="0" w:color="auto"/>
              <w:right w:val="single" w:sz="4" w:space="0" w:color="auto"/>
            </w:tcBorders>
            <w:shd w:val="clear" w:color="000000" w:fill="FFFFFF"/>
            <w:vAlign w:val="center"/>
            <w:hideMark/>
          </w:tcPr>
          <w:p w14:paraId="5FEF0A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000000" w:fill="FFFFFF"/>
            <w:vAlign w:val="bottom"/>
            <w:hideMark/>
          </w:tcPr>
          <w:p w14:paraId="5FEF0A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000000" w:fill="FFFFFF"/>
            <w:noWrap/>
            <w:vAlign w:val="bottom"/>
            <w:hideMark/>
          </w:tcPr>
          <w:p w14:paraId="5FEF0A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DPPSH/DAT/SHISH</w:t>
            </w:r>
          </w:p>
        </w:tc>
        <w:tc>
          <w:tcPr>
            <w:tcW w:w="201" w:type="dxa"/>
            <w:tcBorders>
              <w:top w:val="nil"/>
              <w:left w:val="nil"/>
              <w:bottom w:val="single" w:sz="4" w:space="0" w:color="auto"/>
              <w:right w:val="single" w:sz="4" w:space="0" w:color="auto"/>
            </w:tcBorders>
            <w:shd w:val="clear" w:color="auto" w:fill="auto"/>
            <w:vAlign w:val="center"/>
            <w:hideMark/>
          </w:tcPr>
          <w:p w14:paraId="5FEF0AB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AB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A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460,000</w:t>
            </w:r>
          </w:p>
        </w:tc>
        <w:tc>
          <w:tcPr>
            <w:tcW w:w="228" w:type="dxa"/>
            <w:tcBorders>
              <w:top w:val="nil"/>
              <w:left w:val="nil"/>
              <w:bottom w:val="single" w:sz="4" w:space="0" w:color="auto"/>
              <w:right w:val="single" w:sz="4" w:space="0" w:color="auto"/>
            </w:tcBorders>
            <w:shd w:val="clear" w:color="000000" w:fill="FFFFFF"/>
            <w:vAlign w:val="center"/>
            <w:hideMark/>
          </w:tcPr>
          <w:p w14:paraId="5FEF0A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460,000</w:t>
            </w:r>
          </w:p>
        </w:tc>
        <w:tc>
          <w:tcPr>
            <w:tcW w:w="303" w:type="dxa"/>
            <w:tcBorders>
              <w:top w:val="nil"/>
              <w:left w:val="nil"/>
              <w:bottom w:val="single" w:sz="4" w:space="0" w:color="auto"/>
              <w:right w:val="single" w:sz="4" w:space="0" w:color="auto"/>
            </w:tcBorders>
            <w:shd w:val="clear" w:color="000000" w:fill="FFFFFF"/>
            <w:vAlign w:val="center"/>
            <w:hideMark/>
          </w:tcPr>
          <w:p w14:paraId="5FEF0A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460,000</w:t>
            </w:r>
          </w:p>
        </w:tc>
        <w:tc>
          <w:tcPr>
            <w:tcW w:w="228" w:type="dxa"/>
            <w:tcBorders>
              <w:top w:val="nil"/>
              <w:left w:val="nil"/>
              <w:bottom w:val="single" w:sz="4" w:space="0" w:color="auto"/>
              <w:right w:val="single" w:sz="4" w:space="0" w:color="auto"/>
            </w:tcBorders>
            <w:shd w:val="clear" w:color="000000" w:fill="FFFFFF"/>
            <w:vAlign w:val="center"/>
            <w:hideMark/>
          </w:tcPr>
          <w:p w14:paraId="5FEF0A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460,000</w:t>
            </w:r>
          </w:p>
        </w:tc>
        <w:tc>
          <w:tcPr>
            <w:tcW w:w="303" w:type="dxa"/>
            <w:tcBorders>
              <w:top w:val="nil"/>
              <w:left w:val="nil"/>
              <w:bottom w:val="single" w:sz="4" w:space="0" w:color="auto"/>
              <w:right w:val="single" w:sz="4" w:space="0" w:color="auto"/>
            </w:tcBorders>
            <w:shd w:val="clear" w:color="000000" w:fill="FFFFFF"/>
            <w:vAlign w:val="center"/>
            <w:hideMark/>
          </w:tcPr>
          <w:p w14:paraId="5FEF0A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460,000</w:t>
            </w:r>
          </w:p>
        </w:tc>
        <w:tc>
          <w:tcPr>
            <w:tcW w:w="228" w:type="dxa"/>
            <w:tcBorders>
              <w:top w:val="nil"/>
              <w:left w:val="nil"/>
              <w:bottom w:val="single" w:sz="4" w:space="0" w:color="auto"/>
              <w:right w:val="single" w:sz="4" w:space="0" w:color="auto"/>
            </w:tcBorders>
            <w:shd w:val="clear" w:color="000000" w:fill="FFFFFF"/>
            <w:vAlign w:val="center"/>
            <w:hideMark/>
          </w:tcPr>
          <w:p w14:paraId="5FEF0A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A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460,000</w:t>
            </w:r>
          </w:p>
        </w:tc>
        <w:tc>
          <w:tcPr>
            <w:tcW w:w="345" w:type="dxa"/>
            <w:tcBorders>
              <w:top w:val="nil"/>
              <w:left w:val="nil"/>
              <w:bottom w:val="single" w:sz="4" w:space="0" w:color="auto"/>
              <w:right w:val="single" w:sz="4" w:space="0" w:color="auto"/>
            </w:tcBorders>
            <w:shd w:val="clear" w:color="000000" w:fill="FFFFFF"/>
            <w:vAlign w:val="center"/>
            <w:hideMark/>
          </w:tcPr>
          <w:p w14:paraId="5FEF0A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228" w:type="dxa"/>
            <w:tcBorders>
              <w:top w:val="nil"/>
              <w:left w:val="nil"/>
              <w:bottom w:val="single" w:sz="4" w:space="0" w:color="auto"/>
              <w:right w:val="single" w:sz="4" w:space="0" w:color="auto"/>
            </w:tcBorders>
            <w:shd w:val="clear" w:color="000000" w:fill="FFFFFF"/>
            <w:vAlign w:val="center"/>
            <w:hideMark/>
          </w:tcPr>
          <w:p w14:paraId="5FEF0A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345" w:type="dxa"/>
            <w:tcBorders>
              <w:top w:val="nil"/>
              <w:left w:val="nil"/>
              <w:bottom w:val="single" w:sz="4" w:space="0" w:color="auto"/>
              <w:right w:val="single" w:sz="4" w:space="0" w:color="auto"/>
            </w:tcBorders>
            <w:shd w:val="clear" w:color="000000" w:fill="FFFFFF"/>
            <w:vAlign w:val="center"/>
            <w:hideMark/>
          </w:tcPr>
          <w:p w14:paraId="5FEF0A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228" w:type="dxa"/>
            <w:tcBorders>
              <w:top w:val="nil"/>
              <w:left w:val="nil"/>
              <w:bottom w:val="single" w:sz="4" w:space="0" w:color="auto"/>
              <w:right w:val="single" w:sz="4" w:space="0" w:color="auto"/>
            </w:tcBorders>
            <w:shd w:val="clear" w:color="000000" w:fill="FFFFFF"/>
            <w:vAlign w:val="center"/>
            <w:hideMark/>
          </w:tcPr>
          <w:p w14:paraId="5FEF0A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A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1,380,000</w:t>
            </w:r>
          </w:p>
        </w:tc>
        <w:tc>
          <w:tcPr>
            <w:tcW w:w="218" w:type="dxa"/>
            <w:tcBorders>
              <w:top w:val="nil"/>
              <w:left w:val="nil"/>
              <w:bottom w:val="single" w:sz="4" w:space="0" w:color="auto"/>
              <w:right w:val="single" w:sz="4" w:space="0" w:color="auto"/>
            </w:tcBorders>
            <w:shd w:val="clear" w:color="000000" w:fill="FFFFFF"/>
            <w:vAlign w:val="center"/>
            <w:hideMark/>
          </w:tcPr>
          <w:p w14:paraId="5FEF0A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A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A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A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A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AE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AC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AC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7.4</w:t>
            </w:r>
          </w:p>
        </w:tc>
        <w:tc>
          <w:tcPr>
            <w:tcW w:w="350" w:type="dxa"/>
            <w:tcBorders>
              <w:top w:val="nil"/>
              <w:left w:val="nil"/>
              <w:bottom w:val="single" w:sz="4" w:space="0" w:color="auto"/>
              <w:right w:val="single" w:sz="4" w:space="0" w:color="auto"/>
            </w:tcBorders>
            <w:shd w:val="clear" w:color="000000" w:fill="D9D9D9"/>
            <w:vAlign w:val="center"/>
            <w:hideMark/>
          </w:tcPr>
          <w:p w14:paraId="5FEF0A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AC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AC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AC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AD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AD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2,028,000</w:t>
            </w:r>
          </w:p>
        </w:tc>
        <w:tc>
          <w:tcPr>
            <w:tcW w:w="228" w:type="dxa"/>
            <w:tcBorders>
              <w:top w:val="nil"/>
              <w:left w:val="nil"/>
              <w:bottom w:val="single" w:sz="4" w:space="0" w:color="auto"/>
              <w:right w:val="single" w:sz="4" w:space="0" w:color="auto"/>
            </w:tcBorders>
            <w:shd w:val="clear" w:color="000000" w:fill="D9D9D9"/>
            <w:vAlign w:val="center"/>
            <w:hideMark/>
          </w:tcPr>
          <w:p w14:paraId="5FEF0AD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AD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2,028,000</w:t>
            </w:r>
          </w:p>
        </w:tc>
        <w:tc>
          <w:tcPr>
            <w:tcW w:w="303" w:type="dxa"/>
            <w:tcBorders>
              <w:top w:val="nil"/>
              <w:left w:val="nil"/>
              <w:bottom w:val="single" w:sz="4" w:space="0" w:color="auto"/>
              <w:right w:val="single" w:sz="4" w:space="0" w:color="auto"/>
            </w:tcBorders>
            <w:shd w:val="clear" w:color="000000" w:fill="D9D9D9"/>
            <w:vAlign w:val="center"/>
            <w:hideMark/>
          </w:tcPr>
          <w:p w14:paraId="5FEF0AD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2,028,000</w:t>
            </w:r>
          </w:p>
        </w:tc>
        <w:tc>
          <w:tcPr>
            <w:tcW w:w="228" w:type="dxa"/>
            <w:tcBorders>
              <w:top w:val="nil"/>
              <w:left w:val="nil"/>
              <w:bottom w:val="single" w:sz="4" w:space="0" w:color="auto"/>
              <w:right w:val="single" w:sz="4" w:space="0" w:color="auto"/>
            </w:tcBorders>
            <w:shd w:val="clear" w:color="000000" w:fill="D9D9D9"/>
            <w:vAlign w:val="center"/>
            <w:hideMark/>
          </w:tcPr>
          <w:p w14:paraId="5FEF0AD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AD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2,028,000</w:t>
            </w:r>
          </w:p>
        </w:tc>
        <w:tc>
          <w:tcPr>
            <w:tcW w:w="303" w:type="dxa"/>
            <w:tcBorders>
              <w:top w:val="nil"/>
              <w:left w:val="nil"/>
              <w:bottom w:val="single" w:sz="4" w:space="0" w:color="auto"/>
              <w:right w:val="single" w:sz="4" w:space="0" w:color="auto"/>
            </w:tcBorders>
            <w:shd w:val="clear" w:color="000000" w:fill="D9D9D9"/>
            <w:vAlign w:val="center"/>
            <w:hideMark/>
          </w:tcPr>
          <w:p w14:paraId="5FEF0AD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2,028,000</w:t>
            </w:r>
          </w:p>
        </w:tc>
        <w:tc>
          <w:tcPr>
            <w:tcW w:w="228" w:type="dxa"/>
            <w:tcBorders>
              <w:top w:val="nil"/>
              <w:left w:val="nil"/>
              <w:bottom w:val="single" w:sz="4" w:space="0" w:color="auto"/>
              <w:right w:val="single" w:sz="4" w:space="0" w:color="auto"/>
            </w:tcBorders>
            <w:shd w:val="clear" w:color="000000" w:fill="D9D9D9"/>
            <w:vAlign w:val="center"/>
            <w:hideMark/>
          </w:tcPr>
          <w:p w14:paraId="5FEF0AD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AD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2,028,000</w:t>
            </w:r>
          </w:p>
        </w:tc>
        <w:tc>
          <w:tcPr>
            <w:tcW w:w="345" w:type="dxa"/>
            <w:tcBorders>
              <w:top w:val="nil"/>
              <w:left w:val="nil"/>
              <w:bottom w:val="single" w:sz="4" w:space="0" w:color="auto"/>
              <w:right w:val="single" w:sz="4" w:space="0" w:color="auto"/>
            </w:tcBorders>
            <w:shd w:val="clear" w:color="000000" w:fill="D9D9D9"/>
            <w:vAlign w:val="center"/>
            <w:hideMark/>
          </w:tcPr>
          <w:p w14:paraId="5FEF0AD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6,084,000</w:t>
            </w:r>
          </w:p>
        </w:tc>
        <w:tc>
          <w:tcPr>
            <w:tcW w:w="228" w:type="dxa"/>
            <w:tcBorders>
              <w:top w:val="nil"/>
              <w:left w:val="nil"/>
              <w:bottom w:val="single" w:sz="4" w:space="0" w:color="auto"/>
              <w:right w:val="single" w:sz="4" w:space="0" w:color="auto"/>
            </w:tcBorders>
            <w:shd w:val="clear" w:color="000000" w:fill="D9D9D9"/>
            <w:vAlign w:val="center"/>
            <w:hideMark/>
          </w:tcPr>
          <w:p w14:paraId="5FEF0AD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AD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6,084,000</w:t>
            </w:r>
          </w:p>
        </w:tc>
        <w:tc>
          <w:tcPr>
            <w:tcW w:w="345" w:type="dxa"/>
            <w:tcBorders>
              <w:top w:val="nil"/>
              <w:left w:val="nil"/>
              <w:bottom w:val="single" w:sz="4" w:space="0" w:color="auto"/>
              <w:right w:val="single" w:sz="4" w:space="0" w:color="auto"/>
            </w:tcBorders>
            <w:shd w:val="clear" w:color="000000" w:fill="D9D9D9"/>
            <w:vAlign w:val="center"/>
            <w:hideMark/>
          </w:tcPr>
          <w:p w14:paraId="5FEF0AD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6,084,000</w:t>
            </w:r>
          </w:p>
        </w:tc>
        <w:tc>
          <w:tcPr>
            <w:tcW w:w="228" w:type="dxa"/>
            <w:tcBorders>
              <w:top w:val="nil"/>
              <w:left w:val="nil"/>
              <w:bottom w:val="single" w:sz="4" w:space="0" w:color="auto"/>
              <w:right w:val="single" w:sz="4" w:space="0" w:color="auto"/>
            </w:tcBorders>
            <w:shd w:val="clear" w:color="000000" w:fill="D9D9D9"/>
            <w:vAlign w:val="center"/>
            <w:hideMark/>
          </w:tcPr>
          <w:p w14:paraId="5FEF0AD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AD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6,084,000</w:t>
            </w:r>
          </w:p>
        </w:tc>
        <w:tc>
          <w:tcPr>
            <w:tcW w:w="218" w:type="dxa"/>
            <w:tcBorders>
              <w:top w:val="nil"/>
              <w:left w:val="nil"/>
              <w:bottom w:val="single" w:sz="4" w:space="0" w:color="auto"/>
              <w:right w:val="single" w:sz="4" w:space="0" w:color="auto"/>
            </w:tcBorders>
            <w:shd w:val="clear" w:color="000000" w:fill="D9D9D9"/>
            <w:vAlign w:val="center"/>
            <w:hideMark/>
          </w:tcPr>
          <w:p w14:paraId="5FEF0AE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AE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AE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AE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AE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B0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AE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7.5</w:t>
            </w:r>
          </w:p>
        </w:tc>
        <w:tc>
          <w:tcPr>
            <w:tcW w:w="814" w:type="dxa"/>
            <w:tcBorders>
              <w:top w:val="nil"/>
              <w:left w:val="nil"/>
              <w:bottom w:val="single" w:sz="4" w:space="0" w:color="auto"/>
              <w:right w:val="single" w:sz="4" w:space="0" w:color="auto"/>
            </w:tcBorders>
            <w:shd w:val="clear" w:color="auto" w:fill="auto"/>
            <w:vAlign w:val="center"/>
            <w:hideMark/>
          </w:tcPr>
          <w:p w14:paraId="5FEF0AE7"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KONSOLIDIMI DHE FORCIMI I BASHKËPUNIMIT ME: STRUKTURAT E SPECIALIZUARA TË POLICISË SË SHTETIT; INSTITUCIONET E SISTEMIT TË SIGURISË KOMBËTARE; SHËRBIMET INTELIGJENTE TË VENDEVE ALEATE DHE PARTNERE</w:t>
            </w:r>
          </w:p>
        </w:tc>
        <w:tc>
          <w:tcPr>
            <w:tcW w:w="350" w:type="dxa"/>
            <w:tcBorders>
              <w:top w:val="nil"/>
              <w:left w:val="nil"/>
              <w:bottom w:val="single" w:sz="4" w:space="0" w:color="auto"/>
              <w:right w:val="single" w:sz="4" w:space="0" w:color="auto"/>
            </w:tcBorders>
            <w:shd w:val="clear" w:color="auto" w:fill="auto"/>
            <w:vAlign w:val="center"/>
            <w:hideMark/>
          </w:tcPr>
          <w:p w14:paraId="5FEF0A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A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A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A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A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A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A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A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A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A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A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B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B1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B0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B0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B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B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B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B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B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B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B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B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B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B3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B1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7.5.1</w:t>
            </w:r>
          </w:p>
        </w:tc>
        <w:tc>
          <w:tcPr>
            <w:tcW w:w="814" w:type="dxa"/>
            <w:tcBorders>
              <w:top w:val="nil"/>
              <w:left w:val="nil"/>
              <w:bottom w:val="single" w:sz="4" w:space="0" w:color="auto"/>
              <w:right w:val="single" w:sz="4" w:space="0" w:color="auto"/>
            </w:tcBorders>
            <w:shd w:val="clear" w:color="auto" w:fill="auto"/>
            <w:vAlign w:val="bottom"/>
            <w:hideMark/>
          </w:tcPr>
          <w:p w14:paraId="5FEF0B1F" w14:textId="7F868950"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Identifikimi i nevojave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për marrëveshje dy ose shumëpalëshe për rritjen e bashkëpunimit në fushën e hetimit</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të terrorizmit dhe financimit të tij </w:t>
            </w:r>
          </w:p>
        </w:tc>
        <w:tc>
          <w:tcPr>
            <w:tcW w:w="350" w:type="dxa"/>
            <w:tcBorders>
              <w:top w:val="nil"/>
              <w:left w:val="nil"/>
              <w:bottom w:val="single" w:sz="4" w:space="0" w:color="auto"/>
              <w:right w:val="single" w:sz="4" w:space="0" w:color="auto"/>
            </w:tcBorders>
            <w:shd w:val="clear" w:color="auto" w:fill="auto"/>
            <w:vAlign w:val="center"/>
            <w:hideMark/>
          </w:tcPr>
          <w:p w14:paraId="5FEF0B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auto" w:fill="auto"/>
            <w:vAlign w:val="bottom"/>
            <w:hideMark/>
          </w:tcPr>
          <w:p w14:paraId="5FEF0B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MB/DPPSH</w:t>
            </w:r>
            <w:r w:rsidRPr="00795698">
              <w:rPr>
                <w:rFonts w:ascii="Arial" w:hAnsi="Arial" w:cs="Arial"/>
                <w:color w:val="000000"/>
                <w:sz w:val="6"/>
                <w:szCs w:val="6"/>
                <w:lang w:eastAsia="sq-AL"/>
              </w:rPr>
              <w:br/>
              <w:t>/DAT</w:t>
            </w:r>
          </w:p>
        </w:tc>
        <w:tc>
          <w:tcPr>
            <w:tcW w:w="1442" w:type="dxa"/>
            <w:tcBorders>
              <w:top w:val="nil"/>
              <w:left w:val="nil"/>
              <w:bottom w:val="single" w:sz="4" w:space="0" w:color="auto"/>
              <w:right w:val="single" w:sz="4" w:space="0" w:color="auto"/>
            </w:tcBorders>
            <w:shd w:val="clear" w:color="auto" w:fill="auto"/>
            <w:vAlign w:val="bottom"/>
            <w:hideMark/>
          </w:tcPr>
          <w:p w14:paraId="5FEF0B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MM/AISM/SHISH/QKEDH/EUROPOL /INTERPOL /TSC</w:t>
            </w:r>
          </w:p>
        </w:tc>
        <w:tc>
          <w:tcPr>
            <w:tcW w:w="201" w:type="dxa"/>
            <w:tcBorders>
              <w:top w:val="nil"/>
              <w:left w:val="nil"/>
              <w:bottom w:val="single" w:sz="4" w:space="0" w:color="auto"/>
              <w:right w:val="single" w:sz="4" w:space="0" w:color="auto"/>
            </w:tcBorders>
            <w:shd w:val="clear" w:color="auto" w:fill="auto"/>
            <w:vAlign w:val="center"/>
            <w:hideMark/>
          </w:tcPr>
          <w:p w14:paraId="5FEF0B2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B24"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2024</w:t>
            </w:r>
          </w:p>
        </w:tc>
        <w:tc>
          <w:tcPr>
            <w:tcW w:w="303" w:type="dxa"/>
            <w:tcBorders>
              <w:top w:val="nil"/>
              <w:left w:val="nil"/>
              <w:bottom w:val="single" w:sz="4" w:space="0" w:color="auto"/>
              <w:right w:val="single" w:sz="4" w:space="0" w:color="auto"/>
            </w:tcBorders>
            <w:shd w:val="clear" w:color="000000" w:fill="FFFFFF"/>
            <w:vAlign w:val="center"/>
            <w:hideMark/>
          </w:tcPr>
          <w:p w14:paraId="5FEF0B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000000" w:fill="FFFFFF"/>
            <w:vAlign w:val="center"/>
            <w:hideMark/>
          </w:tcPr>
          <w:p w14:paraId="5FEF0B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B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000000" w:fill="FFFFFF"/>
            <w:vAlign w:val="center"/>
            <w:hideMark/>
          </w:tcPr>
          <w:p w14:paraId="5FEF0B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28" w:type="dxa"/>
            <w:tcBorders>
              <w:top w:val="nil"/>
              <w:left w:val="nil"/>
              <w:bottom w:val="single" w:sz="4" w:space="0" w:color="auto"/>
              <w:right w:val="single" w:sz="4" w:space="0" w:color="auto"/>
            </w:tcBorders>
            <w:shd w:val="clear" w:color="000000" w:fill="FFFFFF"/>
            <w:vAlign w:val="center"/>
            <w:hideMark/>
          </w:tcPr>
          <w:p w14:paraId="5FEF0B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B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303" w:type="dxa"/>
            <w:tcBorders>
              <w:top w:val="nil"/>
              <w:left w:val="nil"/>
              <w:bottom w:val="single" w:sz="4" w:space="0" w:color="auto"/>
              <w:right w:val="single" w:sz="4" w:space="0" w:color="auto"/>
            </w:tcBorders>
            <w:shd w:val="clear" w:color="000000" w:fill="FFFFFF"/>
            <w:vAlign w:val="center"/>
            <w:hideMark/>
          </w:tcPr>
          <w:p w14:paraId="5FEF0B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28" w:type="dxa"/>
            <w:tcBorders>
              <w:top w:val="nil"/>
              <w:left w:val="nil"/>
              <w:bottom w:val="single" w:sz="4" w:space="0" w:color="auto"/>
              <w:right w:val="single" w:sz="4" w:space="0" w:color="auto"/>
            </w:tcBorders>
            <w:shd w:val="clear" w:color="000000" w:fill="FFFFFF"/>
            <w:vAlign w:val="center"/>
            <w:hideMark/>
          </w:tcPr>
          <w:p w14:paraId="5FEF0B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B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228" w:type="dxa"/>
            <w:tcBorders>
              <w:top w:val="nil"/>
              <w:left w:val="nil"/>
              <w:bottom w:val="single" w:sz="4" w:space="0" w:color="auto"/>
              <w:right w:val="single" w:sz="4" w:space="0" w:color="auto"/>
            </w:tcBorders>
            <w:shd w:val="clear" w:color="000000" w:fill="FFFFFF"/>
            <w:vAlign w:val="center"/>
            <w:hideMark/>
          </w:tcPr>
          <w:p w14:paraId="5FEF0B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345" w:type="dxa"/>
            <w:tcBorders>
              <w:top w:val="nil"/>
              <w:left w:val="nil"/>
              <w:bottom w:val="single" w:sz="4" w:space="0" w:color="auto"/>
              <w:right w:val="single" w:sz="4" w:space="0" w:color="auto"/>
            </w:tcBorders>
            <w:shd w:val="clear" w:color="000000" w:fill="FFFFFF"/>
            <w:vAlign w:val="center"/>
            <w:hideMark/>
          </w:tcPr>
          <w:p w14:paraId="5FEF0B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228" w:type="dxa"/>
            <w:tcBorders>
              <w:top w:val="nil"/>
              <w:left w:val="nil"/>
              <w:bottom w:val="single" w:sz="4" w:space="0" w:color="auto"/>
              <w:right w:val="single" w:sz="4" w:space="0" w:color="auto"/>
            </w:tcBorders>
            <w:shd w:val="clear" w:color="000000" w:fill="FFFFFF"/>
            <w:vAlign w:val="center"/>
            <w:hideMark/>
          </w:tcPr>
          <w:p w14:paraId="5FEF0B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400,000</w:t>
            </w:r>
          </w:p>
        </w:tc>
        <w:tc>
          <w:tcPr>
            <w:tcW w:w="218" w:type="dxa"/>
            <w:tcBorders>
              <w:top w:val="nil"/>
              <w:left w:val="nil"/>
              <w:bottom w:val="single" w:sz="4" w:space="0" w:color="auto"/>
              <w:right w:val="single" w:sz="4" w:space="0" w:color="auto"/>
            </w:tcBorders>
            <w:shd w:val="clear" w:color="000000" w:fill="FFFFFF"/>
            <w:vAlign w:val="center"/>
            <w:hideMark/>
          </w:tcPr>
          <w:p w14:paraId="5FEF0B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B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B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B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B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B5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B3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7.5.2</w:t>
            </w:r>
          </w:p>
        </w:tc>
        <w:tc>
          <w:tcPr>
            <w:tcW w:w="814" w:type="dxa"/>
            <w:tcBorders>
              <w:top w:val="nil"/>
              <w:left w:val="nil"/>
              <w:bottom w:val="single" w:sz="4" w:space="0" w:color="auto"/>
              <w:right w:val="single" w:sz="4" w:space="0" w:color="auto"/>
            </w:tcBorders>
            <w:shd w:val="clear" w:color="auto" w:fill="auto"/>
            <w:vAlign w:val="bottom"/>
            <w:hideMark/>
          </w:tcPr>
          <w:p w14:paraId="5FEF0B3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Krijimi i rrjetit të pikave të përbashkëta të kontaktit dhe sistemeve elektronike të sigurta për shkëmbime dinamike të informacionit në funksion të hetimeve kombëtare dhe ndërkombëtare për terrorizmin</w:t>
            </w:r>
          </w:p>
        </w:tc>
        <w:tc>
          <w:tcPr>
            <w:tcW w:w="350" w:type="dxa"/>
            <w:tcBorders>
              <w:top w:val="nil"/>
              <w:left w:val="nil"/>
              <w:bottom w:val="single" w:sz="4" w:space="0" w:color="auto"/>
              <w:right w:val="single" w:sz="4" w:space="0" w:color="auto"/>
            </w:tcBorders>
            <w:shd w:val="clear" w:color="000000" w:fill="FFFFFF"/>
            <w:vAlign w:val="center"/>
            <w:hideMark/>
          </w:tcPr>
          <w:p w14:paraId="5FEF0B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auto" w:fill="auto"/>
            <w:vAlign w:val="center"/>
            <w:hideMark/>
          </w:tcPr>
          <w:p w14:paraId="5FEF0B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auto" w:fill="auto"/>
            <w:vAlign w:val="center"/>
            <w:hideMark/>
          </w:tcPr>
          <w:p w14:paraId="5FEF0B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DPPSH/DAT/SHISH</w:t>
            </w:r>
          </w:p>
        </w:tc>
        <w:tc>
          <w:tcPr>
            <w:tcW w:w="201" w:type="dxa"/>
            <w:tcBorders>
              <w:top w:val="nil"/>
              <w:left w:val="nil"/>
              <w:bottom w:val="single" w:sz="4" w:space="0" w:color="auto"/>
              <w:right w:val="single" w:sz="4" w:space="0" w:color="auto"/>
            </w:tcBorders>
            <w:shd w:val="clear" w:color="auto" w:fill="auto"/>
            <w:vAlign w:val="center"/>
            <w:hideMark/>
          </w:tcPr>
          <w:p w14:paraId="5FEF0B3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B40"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B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B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B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B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B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B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B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B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B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5FEF0B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B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345" w:type="dxa"/>
            <w:tcBorders>
              <w:top w:val="nil"/>
              <w:left w:val="nil"/>
              <w:bottom w:val="single" w:sz="4" w:space="0" w:color="auto"/>
              <w:right w:val="single" w:sz="4" w:space="0" w:color="auto"/>
            </w:tcBorders>
            <w:shd w:val="clear" w:color="000000" w:fill="FFFFFF"/>
            <w:vAlign w:val="center"/>
            <w:hideMark/>
          </w:tcPr>
          <w:p w14:paraId="5FEF0B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28" w:type="dxa"/>
            <w:tcBorders>
              <w:top w:val="nil"/>
              <w:left w:val="nil"/>
              <w:bottom w:val="single" w:sz="4" w:space="0" w:color="auto"/>
              <w:right w:val="single" w:sz="4" w:space="0" w:color="auto"/>
            </w:tcBorders>
            <w:shd w:val="clear" w:color="000000" w:fill="FFFFFF"/>
            <w:vAlign w:val="center"/>
            <w:hideMark/>
          </w:tcPr>
          <w:p w14:paraId="5FEF0B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18" w:type="dxa"/>
            <w:tcBorders>
              <w:top w:val="nil"/>
              <w:left w:val="nil"/>
              <w:bottom w:val="single" w:sz="4" w:space="0" w:color="auto"/>
              <w:right w:val="single" w:sz="4" w:space="0" w:color="auto"/>
            </w:tcBorders>
            <w:shd w:val="clear" w:color="000000" w:fill="FFFFFF"/>
            <w:vAlign w:val="center"/>
            <w:hideMark/>
          </w:tcPr>
          <w:p w14:paraId="5FEF0B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B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B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B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B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B7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B5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B5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7.5</w:t>
            </w:r>
          </w:p>
        </w:tc>
        <w:tc>
          <w:tcPr>
            <w:tcW w:w="350" w:type="dxa"/>
            <w:tcBorders>
              <w:top w:val="nil"/>
              <w:left w:val="nil"/>
              <w:bottom w:val="single" w:sz="4" w:space="0" w:color="auto"/>
              <w:right w:val="single" w:sz="4" w:space="0" w:color="auto"/>
            </w:tcBorders>
            <w:shd w:val="clear" w:color="000000" w:fill="D9D9D9"/>
            <w:vAlign w:val="center"/>
            <w:hideMark/>
          </w:tcPr>
          <w:p w14:paraId="5FEF0B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B5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B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B5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B5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B5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700,000</w:t>
            </w:r>
          </w:p>
        </w:tc>
        <w:tc>
          <w:tcPr>
            <w:tcW w:w="228" w:type="dxa"/>
            <w:tcBorders>
              <w:top w:val="nil"/>
              <w:left w:val="nil"/>
              <w:bottom w:val="single" w:sz="4" w:space="0" w:color="auto"/>
              <w:right w:val="single" w:sz="4" w:space="0" w:color="auto"/>
            </w:tcBorders>
            <w:shd w:val="clear" w:color="000000" w:fill="D9D9D9"/>
            <w:vAlign w:val="center"/>
            <w:hideMark/>
          </w:tcPr>
          <w:p w14:paraId="5FEF0B5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5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700,000</w:t>
            </w:r>
          </w:p>
        </w:tc>
        <w:tc>
          <w:tcPr>
            <w:tcW w:w="303" w:type="dxa"/>
            <w:tcBorders>
              <w:top w:val="nil"/>
              <w:left w:val="nil"/>
              <w:bottom w:val="single" w:sz="4" w:space="0" w:color="auto"/>
              <w:right w:val="single" w:sz="4" w:space="0" w:color="auto"/>
            </w:tcBorders>
            <w:shd w:val="clear" w:color="000000" w:fill="D9D9D9"/>
            <w:vAlign w:val="center"/>
            <w:hideMark/>
          </w:tcPr>
          <w:p w14:paraId="5FEF0B6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700,000</w:t>
            </w:r>
          </w:p>
        </w:tc>
        <w:tc>
          <w:tcPr>
            <w:tcW w:w="228" w:type="dxa"/>
            <w:tcBorders>
              <w:top w:val="nil"/>
              <w:left w:val="nil"/>
              <w:bottom w:val="single" w:sz="4" w:space="0" w:color="auto"/>
              <w:right w:val="single" w:sz="4" w:space="0" w:color="auto"/>
            </w:tcBorders>
            <w:shd w:val="clear" w:color="000000" w:fill="D9D9D9"/>
            <w:vAlign w:val="center"/>
            <w:hideMark/>
          </w:tcPr>
          <w:p w14:paraId="5FEF0B6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6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700,000</w:t>
            </w:r>
          </w:p>
        </w:tc>
        <w:tc>
          <w:tcPr>
            <w:tcW w:w="303" w:type="dxa"/>
            <w:tcBorders>
              <w:top w:val="nil"/>
              <w:left w:val="nil"/>
              <w:bottom w:val="single" w:sz="4" w:space="0" w:color="auto"/>
              <w:right w:val="single" w:sz="4" w:space="0" w:color="auto"/>
            </w:tcBorders>
            <w:shd w:val="clear" w:color="000000" w:fill="D9D9D9"/>
            <w:vAlign w:val="center"/>
            <w:hideMark/>
          </w:tcPr>
          <w:p w14:paraId="5FEF0B6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228" w:type="dxa"/>
            <w:tcBorders>
              <w:top w:val="nil"/>
              <w:left w:val="nil"/>
              <w:bottom w:val="single" w:sz="4" w:space="0" w:color="auto"/>
              <w:right w:val="single" w:sz="4" w:space="0" w:color="auto"/>
            </w:tcBorders>
            <w:shd w:val="clear" w:color="000000" w:fill="D9D9D9"/>
            <w:vAlign w:val="center"/>
            <w:hideMark/>
          </w:tcPr>
          <w:p w14:paraId="5FEF0B6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6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45" w:type="dxa"/>
            <w:tcBorders>
              <w:top w:val="nil"/>
              <w:left w:val="nil"/>
              <w:bottom w:val="single" w:sz="4" w:space="0" w:color="auto"/>
              <w:right w:val="single" w:sz="4" w:space="0" w:color="auto"/>
            </w:tcBorders>
            <w:shd w:val="clear" w:color="000000" w:fill="D9D9D9"/>
            <w:vAlign w:val="center"/>
            <w:hideMark/>
          </w:tcPr>
          <w:p w14:paraId="5FEF0B6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1,900,000</w:t>
            </w:r>
          </w:p>
        </w:tc>
        <w:tc>
          <w:tcPr>
            <w:tcW w:w="228" w:type="dxa"/>
            <w:tcBorders>
              <w:top w:val="nil"/>
              <w:left w:val="nil"/>
              <w:bottom w:val="single" w:sz="4" w:space="0" w:color="auto"/>
              <w:right w:val="single" w:sz="4" w:space="0" w:color="auto"/>
            </w:tcBorders>
            <w:shd w:val="clear" w:color="000000" w:fill="D9D9D9"/>
            <w:vAlign w:val="center"/>
            <w:hideMark/>
          </w:tcPr>
          <w:p w14:paraId="5FEF0B6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B6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1,900,000</w:t>
            </w:r>
          </w:p>
        </w:tc>
        <w:tc>
          <w:tcPr>
            <w:tcW w:w="345" w:type="dxa"/>
            <w:tcBorders>
              <w:top w:val="nil"/>
              <w:left w:val="nil"/>
              <w:bottom w:val="single" w:sz="4" w:space="0" w:color="auto"/>
              <w:right w:val="single" w:sz="4" w:space="0" w:color="auto"/>
            </w:tcBorders>
            <w:shd w:val="clear" w:color="000000" w:fill="D9D9D9"/>
            <w:vAlign w:val="center"/>
            <w:hideMark/>
          </w:tcPr>
          <w:p w14:paraId="5FEF0B6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1,900,000</w:t>
            </w:r>
          </w:p>
        </w:tc>
        <w:tc>
          <w:tcPr>
            <w:tcW w:w="228" w:type="dxa"/>
            <w:tcBorders>
              <w:top w:val="nil"/>
              <w:left w:val="nil"/>
              <w:bottom w:val="single" w:sz="4" w:space="0" w:color="auto"/>
              <w:right w:val="single" w:sz="4" w:space="0" w:color="auto"/>
            </w:tcBorders>
            <w:shd w:val="clear" w:color="000000" w:fill="D9D9D9"/>
            <w:vAlign w:val="center"/>
            <w:hideMark/>
          </w:tcPr>
          <w:p w14:paraId="5FEF0B6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B6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1,900,000</w:t>
            </w:r>
          </w:p>
        </w:tc>
        <w:tc>
          <w:tcPr>
            <w:tcW w:w="218" w:type="dxa"/>
            <w:tcBorders>
              <w:top w:val="nil"/>
              <w:left w:val="nil"/>
              <w:bottom w:val="single" w:sz="4" w:space="0" w:color="auto"/>
              <w:right w:val="single" w:sz="4" w:space="0" w:color="auto"/>
            </w:tcBorders>
            <w:shd w:val="clear" w:color="000000" w:fill="D9D9D9"/>
            <w:vAlign w:val="center"/>
            <w:hideMark/>
          </w:tcPr>
          <w:p w14:paraId="5FEF0B6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B6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B6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B6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8" w:space="0" w:color="auto"/>
            </w:tcBorders>
            <w:shd w:val="clear" w:color="000000" w:fill="D9D9D9"/>
            <w:vAlign w:val="center"/>
            <w:hideMark/>
          </w:tcPr>
          <w:p w14:paraId="5FEF0B7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B8D"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B7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B73"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7</w:t>
            </w:r>
          </w:p>
        </w:tc>
        <w:tc>
          <w:tcPr>
            <w:tcW w:w="350" w:type="dxa"/>
            <w:tcBorders>
              <w:top w:val="nil"/>
              <w:left w:val="nil"/>
              <w:bottom w:val="single" w:sz="4" w:space="0" w:color="auto"/>
              <w:right w:val="single" w:sz="4" w:space="0" w:color="auto"/>
            </w:tcBorders>
            <w:shd w:val="clear" w:color="000000" w:fill="D9D9D9"/>
            <w:vAlign w:val="center"/>
            <w:hideMark/>
          </w:tcPr>
          <w:p w14:paraId="5FEF0B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B7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B7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B7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B7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B7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17,128,500</w:t>
            </w:r>
          </w:p>
        </w:tc>
        <w:tc>
          <w:tcPr>
            <w:tcW w:w="228" w:type="dxa"/>
            <w:tcBorders>
              <w:top w:val="nil"/>
              <w:left w:val="nil"/>
              <w:bottom w:val="single" w:sz="4" w:space="0" w:color="auto"/>
              <w:right w:val="single" w:sz="4" w:space="0" w:color="auto"/>
            </w:tcBorders>
            <w:shd w:val="clear" w:color="000000" w:fill="D9D9D9"/>
            <w:vAlign w:val="center"/>
            <w:hideMark/>
          </w:tcPr>
          <w:p w14:paraId="5FEF0B7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7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17,128,500</w:t>
            </w:r>
          </w:p>
        </w:tc>
        <w:tc>
          <w:tcPr>
            <w:tcW w:w="303" w:type="dxa"/>
            <w:tcBorders>
              <w:top w:val="nil"/>
              <w:left w:val="nil"/>
              <w:bottom w:val="single" w:sz="4" w:space="0" w:color="auto"/>
              <w:right w:val="single" w:sz="4" w:space="0" w:color="auto"/>
            </w:tcBorders>
            <w:shd w:val="clear" w:color="000000" w:fill="D9D9D9"/>
            <w:vAlign w:val="center"/>
            <w:hideMark/>
          </w:tcPr>
          <w:p w14:paraId="5FEF0B7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17,128,500</w:t>
            </w:r>
          </w:p>
        </w:tc>
        <w:tc>
          <w:tcPr>
            <w:tcW w:w="228" w:type="dxa"/>
            <w:tcBorders>
              <w:top w:val="nil"/>
              <w:left w:val="nil"/>
              <w:bottom w:val="single" w:sz="4" w:space="0" w:color="auto"/>
              <w:right w:val="single" w:sz="4" w:space="0" w:color="auto"/>
            </w:tcBorders>
            <w:shd w:val="clear" w:color="000000" w:fill="D9D9D9"/>
            <w:vAlign w:val="center"/>
            <w:hideMark/>
          </w:tcPr>
          <w:p w14:paraId="5FEF0B7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7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17,128,500</w:t>
            </w:r>
          </w:p>
        </w:tc>
        <w:tc>
          <w:tcPr>
            <w:tcW w:w="303" w:type="dxa"/>
            <w:tcBorders>
              <w:top w:val="nil"/>
              <w:left w:val="nil"/>
              <w:bottom w:val="single" w:sz="4" w:space="0" w:color="auto"/>
              <w:right w:val="single" w:sz="4" w:space="0" w:color="auto"/>
            </w:tcBorders>
            <w:shd w:val="clear" w:color="000000" w:fill="D9D9D9"/>
            <w:vAlign w:val="center"/>
            <w:hideMark/>
          </w:tcPr>
          <w:p w14:paraId="5FEF0B7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16,928,500</w:t>
            </w:r>
          </w:p>
        </w:tc>
        <w:tc>
          <w:tcPr>
            <w:tcW w:w="228" w:type="dxa"/>
            <w:tcBorders>
              <w:top w:val="nil"/>
              <w:left w:val="nil"/>
              <w:bottom w:val="single" w:sz="4" w:space="0" w:color="auto"/>
              <w:right w:val="single" w:sz="4" w:space="0" w:color="auto"/>
            </w:tcBorders>
            <w:shd w:val="clear" w:color="000000" w:fill="D9D9D9"/>
            <w:vAlign w:val="center"/>
            <w:hideMark/>
          </w:tcPr>
          <w:p w14:paraId="5FEF0B8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8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16,928,500</w:t>
            </w:r>
          </w:p>
        </w:tc>
        <w:tc>
          <w:tcPr>
            <w:tcW w:w="345" w:type="dxa"/>
            <w:tcBorders>
              <w:top w:val="nil"/>
              <w:left w:val="nil"/>
              <w:bottom w:val="single" w:sz="4" w:space="0" w:color="auto"/>
              <w:right w:val="single" w:sz="4" w:space="0" w:color="auto"/>
            </w:tcBorders>
            <w:shd w:val="clear" w:color="000000" w:fill="D9D9D9"/>
            <w:vAlign w:val="center"/>
            <w:hideMark/>
          </w:tcPr>
          <w:p w14:paraId="5FEF0B8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51,185,500</w:t>
            </w:r>
          </w:p>
        </w:tc>
        <w:tc>
          <w:tcPr>
            <w:tcW w:w="228" w:type="dxa"/>
            <w:tcBorders>
              <w:top w:val="nil"/>
              <w:left w:val="nil"/>
              <w:bottom w:val="single" w:sz="4" w:space="0" w:color="auto"/>
              <w:right w:val="single" w:sz="4" w:space="0" w:color="auto"/>
            </w:tcBorders>
            <w:shd w:val="clear" w:color="000000" w:fill="D9D9D9"/>
            <w:vAlign w:val="center"/>
            <w:hideMark/>
          </w:tcPr>
          <w:p w14:paraId="5FEF0B8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B8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51,185,500</w:t>
            </w:r>
          </w:p>
        </w:tc>
        <w:tc>
          <w:tcPr>
            <w:tcW w:w="345" w:type="dxa"/>
            <w:tcBorders>
              <w:top w:val="nil"/>
              <w:left w:val="nil"/>
              <w:bottom w:val="single" w:sz="4" w:space="0" w:color="auto"/>
              <w:right w:val="single" w:sz="4" w:space="0" w:color="auto"/>
            </w:tcBorders>
            <w:shd w:val="clear" w:color="000000" w:fill="D9D9D9"/>
            <w:vAlign w:val="center"/>
            <w:hideMark/>
          </w:tcPr>
          <w:p w14:paraId="5FEF0B8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51,185,500</w:t>
            </w:r>
          </w:p>
        </w:tc>
        <w:tc>
          <w:tcPr>
            <w:tcW w:w="228" w:type="dxa"/>
            <w:tcBorders>
              <w:top w:val="nil"/>
              <w:left w:val="nil"/>
              <w:bottom w:val="single" w:sz="4" w:space="0" w:color="auto"/>
              <w:right w:val="single" w:sz="4" w:space="0" w:color="auto"/>
            </w:tcBorders>
            <w:shd w:val="clear" w:color="000000" w:fill="D9D9D9"/>
            <w:vAlign w:val="center"/>
            <w:hideMark/>
          </w:tcPr>
          <w:p w14:paraId="5FEF0B8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B8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51,185,500</w:t>
            </w:r>
          </w:p>
        </w:tc>
        <w:tc>
          <w:tcPr>
            <w:tcW w:w="218" w:type="dxa"/>
            <w:tcBorders>
              <w:top w:val="nil"/>
              <w:left w:val="nil"/>
              <w:bottom w:val="single" w:sz="4" w:space="0" w:color="auto"/>
              <w:right w:val="single" w:sz="4" w:space="0" w:color="auto"/>
            </w:tcBorders>
            <w:shd w:val="clear" w:color="000000" w:fill="D9D9D9"/>
            <w:vAlign w:val="center"/>
            <w:hideMark/>
          </w:tcPr>
          <w:p w14:paraId="5FEF0B8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B8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B8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B8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B8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B8F"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B8E"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B91"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B90"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I.3 QASJA REAGUESE, REHABILITUESE DHE RIINTEGRUESE</w:t>
            </w:r>
          </w:p>
        </w:tc>
      </w:tr>
      <w:tr w:rsidR="00D845EC" w:rsidRPr="00795698" w14:paraId="5FEF0B9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B92" w14:textId="717E7618"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8:REAGIM NËPËRMJET FORCIMIT TË KAPACITETEVE TË INSTITUCIONEVE PËRKATËSE PËR T</w:t>
            </w:r>
            <w:r w:rsidR="0041767D" w:rsidRPr="00795698">
              <w:rPr>
                <w:rFonts w:ascii="Arial" w:hAnsi="Arial" w:cs="Arial"/>
                <w:b/>
                <w:bCs/>
                <w:sz w:val="10"/>
                <w:szCs w:val="6"/>
                <w:lang w:eastAsia="sq-AL"/>
              </w:rPr>
              <w:t>’</w:t>
            </w:r>
            <w:r w:rsidRPr="00795698">
              <w:rPr>
                <w:rFonts w:ascii="Arial" w:hAnsi="Arial" w:cs="Arial"/>
                <w:b/>
                <w:bCs/>
                <w:sz w:val="10"/>
                <w:szCs w:val="6"/>
                <w:lang w:eastAsia="sq-AL"/>
              </w:rPr>
              <w:t>IU PËRGJIGJUR SULMEVE TERRORISTE.</w:t>
            </w:r>
          </w:p>
        </w:tc>
      </w:tr>
      <w:tr w:rsidR="00D845EC" w:rsidRPr="00795698" w14:paraId="5FEF0B9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B9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 xml:space="preserve">III. PROGRAMI/ET BUXHETORE </w:t>
            </w:r>
          </w:p>
        </w:tc>
      </w:tr>
      <w:tr w:rsidR="00D845EC" w:rsidRPr="00795698" w14:paraId="5FEF0BB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B9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8.1</w:t>
            </w:r>
          </w:p>
        </w:tc>
        <w:tc>
          <w:tcPr>
            <w:tcW w:w="814" w:type="dxa"/>
            <w:tcBorders>
              <w:top w:val="nil"/>
              <w:left w:val="nil"/>
              <w:bottom w:val="single" w:sz="4" w:space="0" w:color="auto"/>
              <w:right w:val="single" w:sz="4" w:space="0" w:color="auto"/>
            </w:tcBorders>
            <w:shd w:val="clear" w:color="auto" w:fill="auto"/>
            <w:vAlign w:val="center"/>
            <w:hideMark/>
          </w:tcPr>
          <w:p w14:paraId="5FEF0B97"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I. OBJEKTIVI SPECIFIK: KONSOLIDIMI I KAPACITETEVE TË INSTITUCIONEVE ME QËLLIM ULJEN E IMPAKTIT TË SULMEVE TERRORISTE, NË MËNYRË QË TË ZBUTEN HUMBJET NJERËZORE EKONOMIKE TË SHKAKTUARA NGA KËTO SULME</w:t>
            </w:r>
          </w:p>
        </w:tc>
        <w:tc>
          <w:tcPr>
            <w:tcW w:w="350" w:type="dxa"/>
            <w:tcBorders>
              <w:top w:val="nil"/>
              <w:left w:val="nil"/>
              <w:bottom w:val="single" w:sz="4" w:space="0" w:color="auto"/>
              <w:right w:val="single" w:sz="4" w:space="0" w:color="auto"/>
            </w:tcBorders>
            <w:shd w:val="clear" w:color="auto" w:fill="auto"/>
            <w:vAlign w:val="center"/>
            <w:hideMark/>
          </w:tcPr>
          <w:p w14:paraId="5FEF0B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B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B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B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B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B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B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B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B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BC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BB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BB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B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B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B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B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B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BC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C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C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B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B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B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B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B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B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BE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vAlign w:val="center"/>
            <w:hideMark/>
          </w:tcPr>
          <w:p w14:paraId="5FEF0BC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8.1.1</w:t>
            </w:r>
          </w:p>
        </w:tc>
        <w:tc>
          <w:tcPr>
            <w:tcW w:w="814" w:type="dxa"/>
            <w:tcBorders>
              <w:top w:val="nil"/>
              <w:left w:val="nil"/>
              <w:bottom w:val="single" w:sz="4" w:space="0" w:color="auto"/>
              <w:right w:val="single" w:sz="4" w:space="0" w:color="auto"/>
            </w:tcBorders>
            <w:shd w:val="clear" w:color="000000" w:fill="FFFFFF"/>
            <w:vAlign w:val="bottom"/>
            <w:hideMark/>
          </w:tcPr>
          <w:p w14:paraId="5FEF0BC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Krijimi i kapaciteteve për përballimin e akteve terroriste brenda Republikës së Shqipërisë përmes trajnimeve në nivel kombëtar dhe ndërkombëtar të personelit të Forcave të Armatosura</w:t>
            </w:r>
          </w:p>
        </w:tc>
        <w:tc>
          <w:tcPr>
            <w:tcW w:w="350" w:type="dxa"/>
            <w:tcBorders>
              <w:top w:val="nil"/>
              <w:left w:val="nil"/>
              <w:bottom w:val="single" w:sz="4" w:space="0" w:color="auto"/>
              <w:right w:val="single" w:sz="4" w:space="0" w:color="auto"/>
            </w:tcBorders>
            <w:shd w:val="clear" w:color="000000" w:fill="FFFFFF"/>
            <w:vAlign w:val="center"/>
            <w:hideMark/>
          </w:tcPr>
          <w:p w14:paraId="5FEF0B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1017001 AL</w:t>
            </w:r>
          </w:p>
        </w:tc>
        <w:tc>
          <w:tcPr>
            <w:tcW w:w="458" w:type="dxa"/>
            <w:tcBorders>
              <w:top w:val="nil"/>
              <w:left w:val="nil"/>
              <w:bottom w:val="single" w:sz="4" w:space="0" w:color="auto"/>
              <w:right w:val="single" w:sz="4" w:space="0" w:color="auto"/>
            </w:tcBorders>
            <w:shd w:val="clear" w:color="000000" w:fill="FFFFFF"/>
            <w:vAlign w:val="center"/>
            <w:hideMark/>
          </w:tcPr>
          <w:p w14:paraId="5FEF0B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MM/SHPFA</w:t>
            </w:r>
          </w:p>
        </w:tc>
        <w:tc>
          <w:tcPr>
            <w:tcW w:w="1442" w:type="dxa"/>
            <w:tcBorders>
              <w:top w:val="nil"/>
              <w:left w:val="nil"/>
              <w:bottom w:val="single" w:sz="4" w:space="0" w:color="auto"/>
              <w:right w:val="single" w:sz="4" w:space="0" w:color="auto"/>
            </w:tcBorders>
            <w:shd w:val="clear" w:color="000000" w:fill="FFFFFF"/>
            <w:noWrap/>
            <w:vAlign w:val="center"/>
            <w:hideMark/>
          </w:tcPr>
          <w:p w14:paraId="5FEF0B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w:t>
            </w:r>
          </w:p>
        </w:tc>
        <w:tc>
          <w:tcPr>
            <w:tcW w:w="201" w:type="dxa"/>
            <w:tcBorders>
              <w:top w:val="nil"/>
              <w:left w:val="nil"/>
              <w:bottom w:val="single" w:sz="4" w:space="0" w:color="auto"/>
              <w:right w:val="single" w:sz="4" w:space="0" w:color="auto"/>
            </w:tcBorders>
            <w:shd w:val="clear" w:color="auto" w:fill="auto"/>
            <w:vAlign w:val="center"/>
            <w:hideMark/>
          </w:tcPr>
          <w:p w14:paraId="5FEF0BD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BD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B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4,260,000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B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B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4,260,000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B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4,260,000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B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B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4,260,000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B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4,260,000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B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B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4,260,000</w:t>
            </w:r>
          </w:p>
        </w:tc>
        <w:tc>
          <w:tcPr>
            <w:tcW w:w="345" w:type="dxa"/>
            <w:tcBorders>
              <w:top w:val="nil"/>
              <w:left w:val="nil"/>
              <w:bottom w:val="single" w:sz="4" w:space="0" w:color="auto"/>
              <w:right w:val="single" w:sz="4" w:space="0" w:color="auto"/>
            </w:tcBorders>
            <w:shd w:val="clear" w:color="000000" w:fill="FFFFFF"/>
            <w:vAlign w:val="center"/>
            <w:hideMark/>
          </w:tcPr>
          <w:p w14:paraId="5FEF0B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12,780,000</w:t>
            </w:r>
          </w:p>
        </w:tc>
        <w:tc>
          <w:tcPr>
            <w:tcW w:w="228" w:type="dxa"/>
            <w:tcBorders>
              <w:top w:val="nil"/>
              <w:left w:val="nil"/>
              <w:bottom w:val="single" w:sz="4" w:space="0" w:color="auto"/>
              <w:right w:val="single" w:sz="4" w:space="0" w:color="auto"/>
            </w:tcBorders>
            <w:shd w:val="clear" w:color="000000" w:fill="FFFFFF"/>
            <w:vAlign w:val="center"/>
            <w:hideMark/>
          </w:tcPr>
          <w:p w14:paraId="5FEF0B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12,780,000</w:t>
            </w:r>
          </w:p>
        </w:tc>
        <w:tc>
          <w:tcPr>
            <w:tcW w:w="345" w:type="dxa"/>
            <w:tcBorders>
              <w:top w:val="nil"/>
              <w:left w:val="nil"/>
              <w:bottom w:val="single" w:sz="4" w:space="0" w:color="auto"/>
              <w:right w:val="single" w:sz="4" w:space="0" w:color="auto"/>
            </w:tcBorders>
            <w:shd w:val="clear" w:color="000000" w:fill="FFFFFF"/>
            <w:vAlign w:val="center"/>
            <w:hideMark/>
          </w:tcPr>
          <w:p w14:paraId="5FEF0B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12,780,000</w:t>
            </w:r>
          </w:p>
        </w:tc>
        <w:tc>
          <w:tcPr>
            <w:tcW w:w="228" w:type="dxa"/>
            <w:tcBorders>
              <w:top w:val="nil"/>
              <w:left w:val="nil"/>
              <w:bottom w:val="single" w:sz="4" w:space="0" w:color="auto"/>
              <w:right w:val="single" w:sz="4" w:space="0" w:color="auto"/>
            </w:tcBorders>
            <w:shd w:val="clear" w:color="000000" w:fill="FFFFFF"/>
            <w:vAlign w:val="center"/>
            <w:hideMark/>
          </w:tcPr>
          <w:p w14:paraId="5FEF0B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B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12,780,000</w:t>
            </w:r>
          </w:p>
        </w:tc>
        <w:tc>
          <w:tcPr>
            <w:tcW w:w="218" w:type="dxa"/>
            <w:tcBorders>
              <w:top w:val="nil"/>
              <w:left w:val="nil"/>
              <w:bottom w:val="single" w:sz="4" w:space="0" w:color="auto"/>
              <w:right w:val="single" w:sz="4" w:space="0" w:color="auto"/>
            </w:tcBorders>
            <w:shd w:val="clear" w:color="000000" w:fill="FFFFFF"/>
            <w:vAlign w:val="center"/>
            <w:hideMark/>
          </w:tcPr>
          <w:p w14:paraId="5FEF0B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B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B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B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B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C0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BE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BE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8.1</w:t>
            </w:r>
          </w:p>
        </w:tc>
        <w:tc>
          <w:tcPr>
            <w:tcW w:w="350" w:type="dxa"/>
            <w:tcBorders>
              <w:top w:val="nil"/>
              <w:left w:val="nil"/>
              <w:bottom w:val="single" w:sz="4" w:space="0" w:color="auto"/>
              <w:right w:val="single" w:sz="4" w:space="0" w:color="auto"/>
            </w:tcBorders>
            <w:shd w:val="clear" w:color="000000" w:fill="D9D9D9"/>
            <w:vAlign w:val="center"/>
            <w:hideMark/>
          </w:tcPr>
          <w:p w14:paraId="5FEF0B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BE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BE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BE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BF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BF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228" w:type="dxa"/>
            <w:tcBorders>
              <w:top w:val="nil"/>
              <w:left w:val="nil"/>
              <w:bottom w:val="single" w:sz="4" w:space="0" w:color="auto"/>
              <w:right w:val="single" w:sz="4" w:space="0" w:color="auto"/>
            </w:tcBorders>
            <w:shd w:val="clear" w:color="000000" w:fill="D9D9D9"/>
            <w:vAlign w:val="center"/>
            <w:hideMark/>
          </w:tcPr>
          <w:p w14:paraId="5FEF0BF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F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303" w:type="dxa"/>
            <w:tcBorders>
              <w:top w:val="nil"/>
              <w:left w:val="nil"/>
              <w:bottom w:val="single" w:sz="4" w:space="0" w:color="auto"/>
              <w:right w:val="single" w:sz="4" w:space="0" w:color="auto"/>
            </w:tcBorders>
            <w:shd w:val="clear" w:color="000000" w:fill="D9D9D9"/>
            <w:vAlign w:val="center"/>
            <w:hideMark/>
          </w:tcPr>
          <w:p w14:paraId="5FEF0BF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228" w:type="dxa"/>
            <w:tcBorders>
              <w:top w:val="nil"/>
              <w:left w:val="nil"/>
              <w:bottom w:val="single" w:sz="4" w:space="0" w:color="auto"/>
              <w:right w:val="single" w:sz="4" w:space="0" w:color="auto"/>
            </w:tcBorders>
            <w:shd w:val="clear" w:color="000000" w:fill="D9D9D9"/>
            <w:vAlign w:val="center"/>
            <w:hideMark/>
          </w:tcPr>
          <w:p w14:paraId="5FEF0BF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F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303" w:type="dxa"/>
            <w:tcBorders>
              <w:top w:val="nil"/>
              <w:left w:val="nil"/>
              <w:bottom w:val="single" w:sz="4" w:space="0" w:color="auto"/>
              <w:right w:val="single" w:sz="4" w:space="0" w:color="auto"/>
            </w:tcBorders>
            <w:shd w:val="clear" w:color="000000" w:fill="D9D9D9"/>
            <w:vAlign w:val="center"/>
            <w:hideMark/>
          </w:tcPr>
          <w:p w14:paraId="5FEF0BF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228" w:type="dxa"/>
            <w:tcBorders>
              <w:top w:val="nil"/>
              <w:left w:val="nil"/>
              <w:bottom w:val="single" w:sz="4" w:space="0" w:color="auto"/>
              <w:right w:val="single" w:sz="4" w:space="0" w:color="auto"/>
            </w:tcBorders>
            <w:shd w:val="clear" w:color="000000" w:fill="D9D9D9"/>
            <w:vAlign w:val="center"/>
            <w:hideMark/>
          </w:tcPr>
          <w:p w14:paraId="5FEF0BF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BF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345" w:type="dxa"/>
            <w:tcBorders>
              <w:top w:val="nil"/>
              <w:left w:val="nil"/>
              <w:bottom w:val="single" w:sz="4" w:space="0" w:color="auto"/>
              <w:right w:val="single" w:sz="4" w:space="0" w:color="auto"/>
            </w:tcBorders>
            <w:shd w:val="clear" w:color="000000" w:fill="D9D9D9"/>
            <w:vAlign w:val="center"/>
            <w:hideMark/>
          </w:tcPr>
          <w:p w14:paraId="5FEF0BF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228" w:type="dxa"/>
            <w:tcBorders>
              <w:top w:val="nil"/>
              <w:left w:val="nil"/>
              <w:bottom w:val="single" w:sz="4" w:space="0" w:color="auto"/>
              <w:right w:val="single" w:sz="4" w:space="0" w:color="auto"/>
            </w:tcBorders>
            <w:shd w:val="clear" w:color="000000" w:fill="D9D9D9"/>
            <w:vAlign w:val="center"/>
            <w:hideMark/>
          </w:tcPr>
          <w:p w14:paraId="5FEF0BF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BF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345" w:type="dxa"/>
            <w:tcBorders>
              <w:top w:val="nil"/>
              <w:left w:val="nil"/>
              <w:bottom w:val="single" w:sz="4" w:space="0" w:color="auto"/>
              <w:right w:val="single" w:sz="4" w:space="0" w:color="auto"/>
            </w:tcBorders>
            <w:shd w:val="clear" w:color="000000" w:fill="D9D9D9"/>
            <w:vAlign w:val="center"/>
            <w:hideMark/>
          </w:tcPr>
          <w:p w14:paraId="5FEF0BF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228" w:type="dxa"/>
            <w:tcBorders>
              <w:top w:val="nil"/>
              <w:left w:val="nil"/>
              <w:bottom w:val="single" w:sz="4" w:space="0" w:color="auto"/>
              <w:right w:val="single" w:sz="4" w:space="0" w:color="auto"/>
            </w:tcBorders>
            <w:shd w:val="clear" w:color="000000" w:fill="D9D9D9"/>
            <w:vAlign w:val="center"/>
            <w:hideMark/>
          </w:tcPr>
          <w:p w14:paraId="5FEF0BF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BF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218" w:type="dxa"/>
            <w:tcBorders>
              <w:top w:val="nil"/>
              <w:left w:val="nil"/>
              <w:bottom w:val="single" w:sz="4" w:space="0" w:color="auto"/>
              <w:right w:val="single" w:sz="4" w:space="0" w:color="auto"/>
            </w:tcBorders>
            <w:shd w:val="clear" w:color="000000" w:fill="D9D9D9"/>
            <w:vAlign w:val="center"/>
            <w:hideMark/>
          </w:tcPr>
          <w:p w14:paraId="5FEF0C0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C0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C0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C0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8" w:space="0" w:color="auto"/>
            </w:tcBorders>
            <w:shd w:val="clear" w:color="000000" w:fill="D9D9D9"/>
            <w:vAlign w:val="center"/>
            <w:hideMark/>
          </w:tcPr>
          <w:p w14:paraId="5FEF0C0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C2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C0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C0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8</w:t>
            </w:r>
          </w:p>
        </w:tc>
        <w:tc>
          <w:tcPr>
            <w:tcW w:w="350" w:type="dxa"/>
            <w:tcBorders>
              <w:top w:val="nil"/>
              <w:left w:val="nil"/>
              <w:bottom w:val="single" w:sz="4" w:space="0" w:color="auto"/>
              <w:right w:val="single" w:sz="4" w:space="0" w:color="auto"/>
            </w:tcBorders>
            <w:shd w:val="clear" w:color="000000" w:fill="D9D9D9"/>
            <w:vAlign w:val="center"/>
            <w:hideMark/>
          </w:tcPr>
          <w:p w14:paraId="5FEF0C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C0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C0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C0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C0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0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228" w:type="dxa"/>
            <w:tcBorders>
              <w:top w:val="nil"/>
              <w:left w:val="nil"/>
              <w:bottom w:val="single" w:sz="4" w:space="0" w:color="auto"/>
              <w:right w:val="single" w:sz="4" w:space="0" w:color="auto"/>
            </w:tcBorders>
            <w:shd w:val="clear" w:color="000000" w:fill="D9D9D9"/>
            <w:vAlign w:val="center"/>
            <w:hideMark/>
          </w:tcPr>
          <w:p w14:paraId="5FEF0C0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0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303" w:type="dxa"/>
            <w:tcBorders>
              <w:top w:val="nil"/>
              <w:left w:val="nil"/>
              <w:bottom w:val="single" w:sz="4" w:space="0" w:color="auto"/>
              <w:right w:val="single" w:sz="4" w:space="0" w:color="auto"/>
            </w:tcBorders>
            <w:shd w:val="clear" w:color="000000" w:fill="D9D9D9"/>
            <w:vAlign w:val="center"/>
            <w:hideMark/>
          </w:tcPr>
          <w:p w14:paraId="5FEF0C1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228" w:type="dxa"/>
            <w:tcBorders>
              <w:top w:val="nil"/>
              <w:left w:val="nil"/>
              <w:bottom w:val="single" w:sz="4" w:space="0" w:color="auto"/>
              <w:right w:val="single" w:sz="4" w:space="0" w:color="auto"/>
            </w:tcBorders>
            <w:shd w:val="clear" w:color="000000" w:fill="D9D9D9"/>
            <w:vAlign w:val="center"/>
            <w:hideMark/>
          </w:tcPr>
          <w:p w14:paraId="5FEF0C1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1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303" w:type="dxa"/>
            <w:tcBorders>
              <w:top w:val="nil"/>
              <w:left w:val="nil"/>
              <w:bottom w:val="single" w:sz="4" w:space="0" w:color="auto"/>
              <w:right w:val="single" w:sz="4" w:space="0" w:color="auto"/>
            </w:tcBorders>
            <w:shd w:val="clear" w:color="000000" w:fill="D9D9D9"/>
            <w:vAlign w:val="center"/>
            <w:hideMark/>
          </w:tcPr>
          <w:p w14:paraId="5FEF0C1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228" w:type="dxa"/>
            <w:tcBorders>
              <w:top w:val="nil"/>
              <w:left w:val="nil"/>
              <w:bottom w:val="single" w:sz="4" w:space="0" w:color="auto"/>
              <w:right w:val="single" w:sz="4" w:space="0" w:color="auto"/>
            </w:tcBorders>
            <w:shd w:val="clear" w:color="000000" w:fill="D9D9D9"/>
            <w:vAlign w:val="center"/>
            <w:hideMark/>
          </w:tcPr>
          <w:p w14:paraId="5FEF0C1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1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4,260,000</w:t>
            </w:r>
          </w:p>
        </w:tc>
        <w:tc>
          <w:tcPr>
            <w:tcW w:w="345" w:type="dxa"/>
            <w:tcBorders>
              <w:top w:val="nil"/>
              <w:left w:val="nil"/>
              <w:bottom w:val="single" w:sz="4" w:space="0" w:color="auto"/>
              <w:right w:val="single" w:sz="4" w:space="0" w:color="auto"/>
            </w:tcBorders>
            <w:shd w:val="clear" w:color="000000" w:fill="D9D9D9"/>
            <w:vAlign w:val="center"/>
            <w:hideMark/>
          </w:tcPr>
          <w:p w14:paraId="5FEF0C1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228" w:type="dxa"/>
            <w:tcBorders>
              <w:top w:val="nil"/>
              <w:left w:val="nil"/>
              <w:bottom w:val="single" w:sz="4" w:space="0" w:color="auto"/>
              <w:right w:val="single" w:sz="4" w:space="0" w:color="auto"/>
            </w:tcBorders>
            <w:shd w:val="clear" w:color="000000" w:fill="D9D9D9"/>
            <w:vAlign w:val="center"/>
            <w:hideMark/>
          </w:tcPr>
          <w:p w14:paraId="5FEF0C1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C1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345" w:type="dxa"/>
            <w:tcBorders>
              <w:top w:val="nil"/>
              <w:left w:val="nil"/>
              <w:bottom w:val="single" w:sz="4" w:space="0" w:color="auto"/>
              <w:right w:val="single" w:sz="4" w:space="0" w:color="auto"/>
            </w:tcBorders>
            <w:shd w:val="clear" w:color="000000" w:fill="D9D9D9"/>
            <w:vAlign w:val="center"/>
            <w:hideMark/>
          </w:tcPr>
          <w:p w14:paraId="5FEF0C1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228" w:type="dxa"/>
            <w:tcBorders>
              <w:top w:val="nil"/>
              <w:left w:val="nil"/>
              <w:bottom w:val="single" w:sz="4" w:space="0" w:color="auto"/>
              <w:right w:val="single" w:sz="4" w:space="0" w:color="auto"/>
            </w:tcBorders>
            <w:shd w:val="clear" w:color="000000" w:fill="D9D9D9"/>
            <w:vAlign w:val="center"/>
            <w:hideMark/>
          </w:tcPr>
          <w:p w14:paraId="5FEF0C1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C1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12,780,000</w:t>
            </w:r>
          </w:p>
        </w:tc>
        <w:tc>
          <w:tcPr>
            <w:tcW w:w="218" w:type="dxa"/>
            <w:tcBorders>
              <w:top w:val="nil"/>
              <w:left w:val="nil"/>
              <w:bottom w:val="single" w:sz="4" w:space="0" w:color="auto"/>
              <w:right w:val="single" w:sz="4" w:space="0" w:color="auto"/>
            </w:tcBorders>
            <w:shd w:val="clear" w:color="000000" w:fill="D9D9D9"/>
            <w:vAlign w:val="center"/>
            <w:hideMark/>
          </w:tcPr>
          <w:p w14:paraId="5FEF0C1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C1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C1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C1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C2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C2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C22"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C2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C2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I.3 QASJA REAGUESE, REHABILITUESE DHE RIINTEGRUESE</w:t>
            </w:r>
          </w:p>
        </w:tc>
      </w:tr>
      <w:tr w:rsidR="00D845EC" w:rsidRPr="00795698" w14:paraId="5FEF0C27"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C26"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9: REAGIM NËPËRMJET REDUKTIMIT DHE LEHTËSIMIT TË PASOJAVE TË FENOMENEVE TË RADIKALIZMIT, EKSTREMIZMIT TË DHUNSHËM DHE TERRORIZMIT</w:t>
            </w:r>
          </w:p>
        </w:tc>
      </w:tr>
      <w:tr w:rsidR="00D845EC" w:rsidRPr="00795698" w14:paraId="5FEF0C29"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C28" w14:textId="5171740A"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 xml:space="preserve">Programi Buxhetor Policia e Shtetit, Kodi i Programit 03140; </w:t>
            </w:r>
          </w:p>
        </w:tc>
      </w:tr>
      <w:tr w:rsidR="00D845EC" w:rsidRPr="00795698" w14:paraId="5FEF0C4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C2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C2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50" w:type="dxa"/>
            <w:tcBorders>
              <w:top w:val="nil"/>
              <w:left w:val="nil"/>
              <w:bottom w:val="single" w:sz="4" w:space="0" w:color="auto"/>
              <w:right w:val="single" w:sz="4" w:space="0" w:color="auto"/>
            </w:tcBorders>
            <w:shd w:val="clear" w:color="000000" w:fill="D9D9D9"/>
            <w:vAlign w:val="center"/>
            <w:hideMark/>
          </w:tcPr>
          <w:p w14:paraId="5FEF0C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C2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C2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C2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C3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3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3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3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3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3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3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3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3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3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3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3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3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3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3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3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18" w:type="dxa"/>
            <w:tcBorders>
              <w:top w:val="nil"/>
              <w:left w:val="nil"/>
              <w:bottom w:val="single" w:sz="4" w:space="0" w:color="auto"/>
              <w:right w:val="single" w:sz="4" w:space="0" w:color="auto"/>
            </w:tcBorders>
            <w:shd w:val="clear" w:color="000000" w:fill="D9D9D9"/>
            <w:vAlign w:val="center"/>
            <w:hideMark/>
          </w:tcPr>
          <w:p w14:paraId="5FEF0C4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4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434" w:type="dxa"/>
            <w:tcBorders>
              <w:top w:val="nil"/>
              <w:left w:val="nil"/>
              <w:bottom w:val="single" w:sz="4" w:space="0" w:color="auto"/>
              <w:right w:val="single" w:sz="4" w:space="0" w:color="auto"/>
            </w:tcBorders>
            <w:shd w:val="clear" w:color="000000" w:fill="D9D9D9"/>
            <w:vAlign w:val="center"/>
            <w:hideMark/>
          </w:tcPr>
          <w:p w14:paraId="5FEF0C4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49" w:type="dxa"/>
            <w:tcBorders>
              <w:top w:val="nil"/>
              <w:left w:val="nil"/>
              <w:bottom w:val="single" w:sz="4" w:space="0" w:color="auto"/>
              <w:right w:val="single" w:sz="4" w:space="0" w:color="auto"/>
            </w:tcBorders>
            <w:shd w:val="clear" w:color="000000" w:fill="D9D9D9"/>
            <w:vAlign w:val="center"/>
            <w:hideMark/>
          </w:tcPr>
          <w:p w14:paraId="5FEF0C4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40" w:type="dxa"/>
            <w:tcBorders>
              <w:top w:val="nil"/>
              <w:left w:val="nil"/>
              <w:bottom w:val="single" w:sz="4" w:space="0" w:color="auto"/>
              <w:right w:val="single" w:sz="8" w:space="0" w:color="auto"/>
            </w:tcBorders>
            <w:shd w:val="clear" w:color="000000" w:fill="D9D9D9"/>
            <w:vAlign w:val="center"/>
            <w:hideMark/>
          </w:tcPr>
          <w:p w14:paraId="5FEF0C4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r>
      <w:tr w:rsidR="00D845EC" w:rsidRPr="00795698" w14:paraId="5FEF0C6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C4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9.1</w:t>
            </w:r>
          </w:p>
        </w:tc>
        <w:tc>
          <w:tcPr>
            <w:tcW w:w="814" w:type="dxa"/>
            <w:tcBorders>
              <w:top w:val="nil"/>
              <w:left w:val="nil"/>
              <w:bottom w:val="single" w:sz="4" w:space="0" w:color="auto"/>
              <w:right w:val="single" w:sz="4" w:space="0" w:color="auto"/>
            </w:tcBorders>
            <w:shd w:val="clear" w:color="auto" w:fill="auto"/>
            <w:vAlign w:val="center"/>
            <w:hideMark/>
          </w:tcPr>
          <w:p w14:paraId="5FEF0C47" w14:textId="70B864E0"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OBJEKTIVI SPECIFIK: NGRITJA E KAPACITETEVE </w:t>
            </w:r>
            <w:r w:rsidRPr="00795698">
              <w:rPr>
                <w:rFonts w:ascii="Arial" w:hAnsi="Arial" w:cs="Arial"/>
                <w:b/>
                <w:bCs/>
                <w:color w:val="000000"/>
                <w:sz w:val="6"/>
                <w:szCs w:val="6"/>
                <w:lang w:eastAsia="sq-AL"/>
              </w:rPr>
              <w:br/>
              <w:t>PËR MENAXHIMIN 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DHËNIES SË NDIHMËS VIKTIMAVE TË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TERRORIZMIT SIPAS KONVENTËS</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EVROPIANE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PËR KOMPENSIMIN E VIKTIMAVE TË TERRORIZMIT</w:t>
            </w:r>
          </w:p>
        </w:tc>
        <w:tc>
          <w:tcPr>
            <w:tcW w:w="350" w:type="dxa"/>
            <w:tcBorders>
              <w:top w:val="nil"/>
              <w:left w:val="nil"/>
              <w:bottom w:val="single" w:sz="4" w:space="0" w:color="auto"/>
              <w:right w:val="single" w:sz="4" w:space="0" w:color="auto"/>
            </w:tcBorders>
            <w:shd w:val="clear" w:color="auto" w:fill="auto"/>
            <w:vAlign w:val="center"/>
            <w:hideMark/>
          </w:tcPr>
          <w:p w14:paraId="5FEF0C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C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C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C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C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4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4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4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C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C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C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C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C7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C6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C6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C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C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C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C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C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C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C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C7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C7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C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C99"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C7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9.1.1</w:t>
            </w:r>
          </w:p>
        </w:tc>
        <w:tc>
          <w:tcPr>
            <w:tcW w:w="814" w:type="dxa"/>
            <w:tcBorders>
              <w:top w:val="nil"/>
              <w:left w:val="nil"/>
              <w:bottom w:val="single" w:sz="4" w:space="0" w:color="auto"/>
              <w:right w:val="single" w:sz="4" w:space="0" w:color="auto"/>
            </w:tcBorders>
            <w:shd w:val="clear" w:color="000000" w:fill="FFFFFF"/>
            <w:vAlign w:val="bottom"/>
            <w:hideMark/>
          </w:tcPr>
          <w:p w14:paraId="5FEF0C7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Hartimi i Planit për koordinimin ndërinstitucional në menaxhimin e krizave pas një akti terrorist</w:t>
            </w:r>
          </w:p>
        </w:tc>
        <w:tc>
          <w:tcPr>
            <w:tcW w:w="350" w:type="dxa"/>
            <w:tcBorders>
              <w:top w:val="nil"/>
              <w:left w:val="nil"/>
              <w:bottom w:val="single" w:sz="4" w:space="0" w:color="auto"/>
              <w:right w:val="single" w:sz="4" w:space="0" w:color="auto"/>
            </w:tcBorders>
            <w:shd w:val="clear" w:color="000000" w:fill="FFFFFF"/>
            <w:vAlign w:val="center"/>
            <w:hideMark/>
          </w:tcPr>
          <w:p w14:paraId="5FEF0C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03140 Policia e Shtetit 91604AC</w:t>
            </w:r>
          </w:p>
        </w:tc>
        <w:tc>
          <w:tcPr>
            <w:tcW w:w="458" w:type="dxa"/>
            <w:tcBorders>
              <w:top w:val="nil"/>
              <w:left w:val="nil"/>
              <w:bottom w:val="single" w:sz="4" w:space="0" w:color="auto"/>
              <w:right w:val="single" w:sz="4" w:space="0" w:color="auto"/>
            </w:tcBorders>
            <w:shd w:val="clear" w:color="000000" w:fill="FFFFFF"/>
            <w:noWrap/>
            <w:vAlign w:val="center"/>
            <w:hideMark/>
          </w:tcPr>
          <w:p w14:paraId="5FEF0C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w:t>
            </w:r>
          </w:p>
        </w:tc>
        <w:tc>
          <w:tcPr>
            <w:tcW w:w="1442" w:type="dxa"/>
            <w:tcBorders>
              <w:top w:val="nil"/>
              <w:left w:val="nil"/>
              <w:bottom w:val="single" w:sz="4" w:space="0" w:color="auto"/>
              <w:right w:val="single" w:sz="4" w:space="0" w:color="auto"/>
            </w:tcBorders>
            <w:shd w:val="clear" w:color="000000" w:fill="FFFFFF"/>
            <w:noWrap/>
            <w:vAlign w:val="center"/>
            <w:hideMark/>
          </w:tcPr>
          <w:p w14:paraId="5FEF0C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w:t>
            </w:r>
          </w:p>
        </w:tc>
        <w:tc>
          <w:tcPr>
            <w:tcW w:w="201" w:type="dxa"/>
            <w:tcBorders>
              <w:top w:val="nil"/>
              <w:left w:val="nil"/>
              <w:bottom w:val="single" w:sz="4" w:space="0" w:color="auto"/>
              <w:right w:val="single" w:sz="4" w:space="0" w:color="auto"/>
            </w:tcBorders>
            <w:shd w:val="clear" w:color="auto" w:fill="auto"/>
            <w:vAlign w:val="center"/>
            <w:hideMark/>
          </w:tcPr>
          <w:p w14:paraId="5FEF0C8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C8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C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C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C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C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C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C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3,500,000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C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3,500,000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C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C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5FEF0C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10,500,000</w:t>
            </w:r>
          </w:p>
        </w:tc>
        <w:tc>
          <w:tcPr>
            <w:tcW w:w="228" w:type="dxa"/>
            <w:tcBorders>
              <w:top w:val="nil"/>
              <w:left w:val="nil"/>
              <w:bottom w:val="single" w:sz="4" w:space="0" w:color="auto"/>
              <w:right w:val="single" w:sz="4" w:space="0" w:color="auto"/>
            </w:tcBorders>
            <w:shd w:val="clear" w:color="000000" w:fill="FFFFFF"/>
            <w:vAlign w:val="center"/>
            <w:hideMark/>
          </w:tcPr>
          <w:p w14:paraId="5FEF0C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C9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5FEF0C9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10,500,000</w:t>
            </w:r>
          </w:p>
        </w:tc>
        <w:tc>
          <w:tcPr>
            <w:tcW w:w="228" w:type="dxa"/>
            <w:tcBorders>
              <w:top w:val="nil"/>
              <w:left w:val="nil"/>
              <w:bottom w:val="single" w:sz="4" w:space="0" w:color="auto"/>
              <w:right w:val="single" w:sz="4" w:space="0" w:color="auto"/>
            </w:tcBorders>
            <w:shd w:val="clear" w:color="000000" w:fill="FFFFFF"/>
            <w:vAlign w:val="center"/>
            <w:hideMark/>
          </w:tcPr>
          <w:p w14:paraId="5FEF0C9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C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10,500,000</w:t>
            </w:r>
          </w:p>
        </w:tc>
        <w:tc>
          <w:tcPr>
            <w:tcW w:w="218" w:type="dxa"/>
            <w:tcBorders>
              <w:top w:val="nil"/>
              <w:left w:val="nil"/>
              <w:bottom w:val="single" w:sz="4" w:space="0" w:color="auto"/>
              <w:right w:val="single" w:sz="4" w:space="0" w:color="auto"/>
            </w:tcBorders>
            <w:shd w:val="clear" w:color="000000" w:fill="FFFFFF"/>
            <w:vAlign w:val="center"/>
            <w:hideMark/>
          </w:tcPr>
          <w:p w14:paraId="5FEF0C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C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C9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C9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C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CB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C9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C9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9.1</w:t>
            </w:r>
          </w:p>
        </w:tc>
        <w:tc>
          <w:tcPr>
            <w:tcW w:w="350" w:type="dxa"/>
            <w:tcBorders>
              <w:top w:val="nil"/>
              <w:left w:val="nil"/>
              <w:bottom w:val="single" w:sz="4" w:space="0" w:color="auto"/>
              <w:right w:val="single" w:sz="4" w:space="0" w:color="auto"/>
            </w:tcBorders>
            <w:shd w:val="clear" w:color="000000" w:fill="D9D9D9"/>
            <w:vAlign w:val="center"/>
            <w:hideMark/>
          </w:tcPr>
          <w:p w14:paraId="5FEF0C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C9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C9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C9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CA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A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228" w:type="dxa"/>
            <w:tcBorders>
              <w:top w:val="nil"/>
              <w:left w:val="nil"/>
              <w:bottom w:val="single" w:sz="4" w:space="0" w:color="auto"/>
              <w:right w:val="single" w:sz="4" w:space="0" w:color="auto"/>
            </w:tcBorders>
            <w:shd w:val="clear" w:color="000000" w:fill="D9D9D9"/>
            <w:vAlign w:val="center"/>
            <w:hideMark/>
          </w:tcPr>
          <w:p w14:paraId="5FEF0CA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A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303" w:type="dxa"/>
            <w:tcBorders>
              <w:top w:val="nil"/>
              <w:left w:val="nil"/>
              <w:bottom w:val="single" w:sz="4" w:space="0" w:color="auto"/>
              <w:right w:val="single" w:sz="4" w:space="0" w:color="auto"/>
            </w:tcBorders>
            <w:shd w:val="clear" w:color="000000" w:fill="D9D9D9"/>
            <w:vAlign w:val="center"/>
            <w:hideMark/>
          </w:tcPr>
          <w:p w14:paraId="5FEF0CA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228" w:type="dxa"/>
            <w:tcBorders>
              <w:top w:val="nil"/>
              <w:left w:val="nil"/>
              <w:bottom w:val="single" w:sz="4" w:space="0" w:color="auto"/>
              <w:right w:val="single" w:sz="4" w:space="0" w:color="auto"/>
            </w:tcBorders>
            <w:shd w:val="clear" w:color="000000" w:fill="D9D9D9"/>
            <w:vAlign w:val="center"/>
            <w:hideMark/>
          </w:tcPr>
          <w:p w14:paraId="5FEF0CA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A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303" w:type="dxa"/>
            <w:tcBorders>
              <w:top w:val="nil"/>
              <w:left w:val="nil"/>
              <w:bottom w:val="single" w:sz="4" w:space="0" w:color="auto"/>
              <w:right w:val="single" w:sz="4" w:space="0" w:color="auto"/>
            </w:tcBorders>
            <w:shd w:val="clear" w:color="000000" w:fill="D9D9D9"/>
            <w:vAlign w:val="center"/>
            <w:hideMark/>
          </w:tcPr>
          <w:p w14:paraId="5FEF0CA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228" w:type="dxa"/>
            <w:tcBorders>
              <w:top w:val="nil"/>
              <w:left w:val="nil"/>
              <w:bottom w:val="single" w:sz="4" w:space="0" w:color="auto"/>
              <w:right w:val="single" w:sz="4" w:space="0" w:color="auto"/>
            </w:tcBorders>
            <w:shd w:val="clear" w:color="000000" w:fill="D9D9D9"/>
            <w:vAlign w:val="center"/>
            <w:hideMark/>
          </w:tcPr>
          <w:p w14:paraId="5FEF0CA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A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345" w:type="dxa"/>
            <w:tcBorders>
              <w:top w:val="nil"/>
              <w:left w:val="nil"/>
              <w:bottom w:val="single" w:sz="4" w:space="0" w:color="auto"/>
              <w:right w:val="single" w:sz="4" w:space="0" w:color="auto"/>
            </w:tcBorders>
            <w:shd w:val="clear" w:color="000000" w:fill="D9D9D9"/>
            <w:vAlign w:val="center"/>
            <w:hideMark/>
          </w:tcPr>
          <w:p w14:paraId="5FEF0CA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228" w:type="dxa"/>
            <w:tcBorders>
              <w:top w:val="nil"/>
              <w:left w:val="nil"/>
              <w:bottom w:val="single" w:sz="4" w:space="0" w:color="auto"/>
              <w:right w:val="single" w:sz="4" w:space="0" w:color="auto"/>
            </w:tcBorders>
            <w:shd w:val="clear" w:color="000000" w:fill="D9D9D9"/>
            <w:vAlign w:val="center"/>
            <w:hideMark/>
          </w:tcPr>
          <w:p w14:paraId="5FEF0CA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CA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345" w:type="dxa"/>
            <w:tcBorders>
              <w:top w:val="nil"/>
              <w:left w:val="nil"/>
              <w:bottom w:val="single" w:sz="4" w:space="0" w:color="auto"/>
              <w:right w:val="single" w:sz="4" w:space="0" w:color="auto"/>
            </w:tcBorders>
            <w:shd w:val="clear" w:color="000000" w:fill="D9D9D9"/>
            <w:vAlign w:val="center"/>
            <w:hideMark/>
          </w:tcPr>
          <w:p w14:paraId="5FEF0CA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228" w:type="dxa"/>
            <w:tcBorders>
              <w:top w:val="nil"/>
              <w:left w:val="nil"/>
              <w:bottom w:val="single" w:sz="4" w:space="0" w:color="auto"/>
              <w:right w:val="single" w:sz="4" w:space="0" w:color="auto"/>
            </w:tcBorders>
            <w:shd w:val="clear" w:color="000000" w:fill="D9D9D9"/>
            <w:vAlign w:val="center"/>
            <w:hideMark/>
          </w:tcPr>
          <w:p w14:paraId="5FEF0CA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CA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218" w:type="dxa"/>
            <w:tcBorders>
              <w:top w:val="nil"/>
              <w:left w:val="nil"/>
              <w:bottom w:val="single" w:sz="4" w:space="0" w:color="auto"/>
              <w:right w:val="single" w:sz="4" w:space="0" w:color="auto"/>
            </w:tcBorders>
            <w:shd w:val="clear" w:color="000000" w:fill="D9D9D9"/>
            <w:vAlign w:val="center"/>
            <w:hideMark/>
          </w:tcPr>
          <w:p w14:paraId="5FEF0CB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CB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CB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CB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CB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CD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CB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CB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9</w:t>
            </w:r>
          </w:p>
        </w:tc>
        <w:tc>
          <w:tcPr>
            <w:tcW w:w="350" w:type="dxa"/>
            <w:tcBorders>
              <w:top w:val="nil"/>
              <w:left w:val="nil"/>
              <w:bottom w:val="single" w:sz="4" w:space="0" w:color="auto"/>
              <w:right w:val="single" w:sz="4" w:space="0" w:color="auto"/>
            </w:tcBorders>
            <w:shd w:val="clear" w:color="000000" w:fill="D9D9D9"/>
            <w:vAlign w:val="center"/>
            <w:hideMark/>
          </w:tcPr>
          <w:p w14:paraId="5FEF0C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CB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CB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CB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CB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B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228" w:type="dxa"/>
            <w:tcBorders>
              <w:top w:val="nil"/>
              <w:left w:val="nil"/>
              <w:bottom w:val="single" w:sz="4" w:space="0" w:color="auto"/>
              <w:right w:val="single" w:sz="4" w:space="0" w:color="auto"/>
            </w:tcBorders>
            <w:shd w:val="clear" w:color="000000" w:fill="D9D9D9"/>
            <w:vAlign w:val="center"/>
            <w:hideMark/>
          </w:tcPr>
          <w:p w14:paraId="5FEF0CB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B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303" w:type="dxa"/>
            <w:tcBorders>
              <w:top w:val="nil"/>
              <w:left w:val="nil"/>
              <w:bottom w:val="single" w:sz="4" w:space="0" w:color="auto"/>
              <w:right w:val="single" w:sz="4" w:space="0" w:color="auto"/>
            </w:tcBorders>
            <w:shd w:val="clear" w:color="000000" w:fill="D9D9D9"/>
            <w:vAlign w:val="center"/>
            <w:hideMark/>
          </w:tcPr>
          <w:p w14:paraId="5FEF0CC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228" w:type="dxa"/>
            <w:tcBorders>
              <w:top w:val="nil"/>
              <w:left w:val="nil"/>
              <w:bottom w:val="single" w:sz="4" w:space="0" w:color="auto"/>
              <w:right w:val="single" w:sz="4" w:space="0" w:color="auto"/>
            </w:tcBorders>
            <w:shd w:val="clear" w:color="000000" w:fill="D9D9D9"/>
            <w:vAlign w:val="center"/>
            <w:hideMark/>
          </w:tcPr>
          <w:p w14:paraId="5FEF0CC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C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303" w:type="dxa"/>
            <w:tcBorders>
              <w:top w:val="nil"/>
              <w:left w:val="nil"/>
              <w:bottom w:val="single" w:sz="4" w:space="0" w:color="auto"/>
              <w:right w:val="single" w:sz="4" w:space="0" w:color="auto"/>
            </w:tcBorders>
            <w:shd w:val="clear" w:color="000000" w:fill="D9D9D9"/>
            <w:vAlign w:val="center"/>
            <w:hideMark/>
          </w:tcPr>
          <w:p w14:paraId="5FEF0CC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228" w:type="dxa"/>
            <w:tcBorders>
              <w:top w:val="nil"/>
              <w:left w:val="nil"/>
              <w:bottom w:val="single" w:sz="4" w:space="0" w:color="auto"/>
              <w:right w:val="single" w:sz="4" w:space="0" w:color="auto"/>
            </w:tcBorders>
            <w:shd w:val="clear" w:color="000000" w:fill="D9D9D9"/>
            <w:vAlign w:val="center"/>
            <w:hideMark/>
          </w:tcPr>
          <w:p w14:paraId="5FEF0CC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CC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3,500,000</w:t>
            </w:r>
          </w:p>
        </w:tc>
        <w:tc>
          <w:tcPr>
            <w:tcW w:w="345" w:type="dxa"/>
            <w:tcBorders>
              <w:top w:val="nil"/>
              <w:left w:val="nil"/>
              <w:bottom w:val="single" w:sz="4" w:space="0" w:color="auto"/>
              <w:right w:val="single" w:sz="4" w:space="0" w:color="auto"/>
            </w:tcBorders>
            <w:shd w:val="clear" w:color="000000" w:fill="D9D9D9"/>
            <w:vAlign w:val="center"/>
            <w:hideMark/>
          </w:tcPr>
          <w:p w14:paraId="5FEF0CC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228" w:type="dxa"/>
            <w:tcBorders>
              <w:top w:val="nil"/>
              <w:left w:val="nil"/>
              <w:bottom w:val="single" w:sz="4" w:space="0" w:color="auto"/>
              <w:right w:val="single" w:sz="4" w:space="0" w:color="auto"/>
            </w:tcBorders>
            <w:shd w:val="clear" w:color="000000" w:fill="D9D9D9"/>
            <w:vAlign w:val="center"/>
            <w:hideMark/>
          </w:tcPr>
          <w:p w14:paraId="5FEF0CC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CC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345" w:type="dxa"/>
            <w:tcBorders>
              <w:top w:val="nil"/>
              <w:left w:val="nil"/>
              <w:bottom w:val="single" w:sz="4" w:space="0" w:color="auto"/>
              <w:right w:val="single" w:sz="4" w:space="0" w:color="auto"/>
            </w:tcBorders>
            <w:shd w:val="clear" w:color="000000" w:fill="D9D9D9"/>
            <w:vAlign w:val="center"/>
            <w:hideMark/>
          </w:tcPr>
          <w:p w14:paraId="5FEF0CC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228" w:type="dxa"/>
            <w:tcBorders>
              <w:top w:val="nil"/>
              <w:left w:val="nil"/>
              <w:bottom w:val="single" w:sz="4" w:space="0" w:color="auto"/>
              <w:right w:val="single" w:sz="4" w:space="0" w:color="auto"/>
            </w:tcBorders>
            <w:shd w:val="clear" w:color="000000" w:fill="D9D9D9"/>
            <w:vAlign w:val="center"/>
            <w:hideMark/>
          </w:tcPr>
          <w:p w14:paraId="5FEF0CC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CC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10,500,000</w:t>
            </w:r>
          </w:p>
        </w:tc>
        <w:tc>
          <w:tcPr>
            <w:tcW w:w="218" w:type="dxa"/>
            <w:tcBorders>
              <w:top w:val="nil"/>
              <w:left w:val="nil"/>
              <w:bottom w:val="single" w:sz="4" w:space="0" w:color="auto"/>
              <w:right w:val="single" w:sz="4" w:space="0" w:color="auto"/>
            </w:tcBorders>
            <w:shd w:val="clear" w:color="000000" w:fill="D9D9D9"/>
            <w:vAlign w:val="center"/>
            <w:hideMark/>
          </w:tcPr>
          <w:p w14:paraId="5FEF0CC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CC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CC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CC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CD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CD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CD2"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CD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CD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I.4 QASJA REAGUESE, REHABILITUESE DHE RIINTEGRUESE</w:t>
            </w:r>
          </w:p>
        </w:tc>
      </w:tr>
      <w:tr w:rsidR="00D845EC" w:rsidRPr="00795698" w14:paraId="5FEF0CD7"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CD6"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 xml:space="preserve">II. QËLLIMI I POLITIKËS 10:PËRGATITJA PËR MENAXHIMIN E INCIDENTEVE TERRORISTE QË PËRFSHIJNË PËRDORIMIN E MATERIALEVE KIMIKE, BIOLOGJIKE, RADIOLOGJIKE, BËRTHAMORE DHE EKSPLOZIVE (CBRN) </w:t>
            </w:r>
          </w:p>
        </w:tc>
      </w:tr>
      <w:tr w:rsidR="00D845EC" w:rsidRPr="00795698" w14:paraId="5FEF0CD9"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CD8" w14:textId="1D1E7ABC"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w:t>
            </w:r>
            <w:r w:rsidR="00D10A07" w:rsidRPr="00795698">
              <w:rPr>
                <w:rFonts w:ascii="Arial" w:hAnsi="Arial" w:cs="Arial"/>
                <w:b/>
                <w:bCs/>
                <w:sz w:val="10"/>
                <w:szCs w:val="6"/>
                <w:lang w:eastAsia="sq-AL"/>
              </w:rPr>
              <w:t>:</w:t>
            </w:r>
            <w:r w:rsidRPr="00795698">
              <w:rPr>
                <w:rFonts w:ascii="Arial" w:hAnsi="Arial" w:cs="Arial"/>
                <w:b/>
                <w:bCs/>
                <w:sz w:val="10"/>
                <w:szCs w:val="6"/>
                <w:lang w:eastAsia="sq-AL"/>
              </w:rPr>
              <w:t>Mbështetja e Luftimit, Kodi i Programit:02150</w:t>
            </w:r>
          </w:p>
        </w:tc>
      </w:tr>
      <w:tr w:rsidR="00D845EC" w:rsidRPr="00795698" w14:paraId="5FEF0CF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CD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CD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50" w:type="dxa"/>
            <w:tcBorders>
              <w:top w:val="nil"/>
              <w:left w:val="nil"/>
              <w:bottom w:val="single" w:sz="4" w:space="0" w:color="auto"/>
              <w:right w:val="single" w:sz="4" w:space="0" w:color="auto"/>
            </w:tcBorders>
            <w:shd w:val="clear" w:color="000000" w:fill="D9D9D9"/>
            <w:vAlign w:val="center"/>
            <w:hideMark/>
          </w:tcPr>
          <w:p w14:paraId="5FEF0C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CD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CD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CD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CE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E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E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E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E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E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E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E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E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CE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E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E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E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E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E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CE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18" w:type="dxa"/>
            <w:tcBorders>
              <w:top w:val="nil"/>
              <w:left w:val="nil"/>
              <w:bottom w:val="single" w:sz="4" w:space="0" w:color="auto"/>
              <w:right w:val="single" w:sz="4" w:space="0" w:color="auto"/>
            </w:tcBorders>
            <w:shd w:val="clear" w:color="000000" w:fill="D9D9D9"/>
            <w:vAlign w:val="center"/>
            <w:hideMark/>
          </w:tcPr>
          <w:p w14:paraId="5FEF0CF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CF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434" w:type="dxa"/>
            <w:tcBorders>
              <w:top w:val="nil"/>
              <w:left w:val="nil"/>
              <w:bottom w:val="single" w:sz="4" w:space="0" w:color="auto"/>
              <w:right w:val="single" w:sz="4" w:space="0" w:color="auto"/>
            </w:tcBorders>
            <w:shd w:val="clear" w:color="000000" w:fill="D9D9D9"/>
            <w:vAlign w:val="center"/>
            <w:hideMark/>
          </w:tcPr>
          <w:p w14:paraId="5FEF0CF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49" w:type="dxa"/>
            <w:tcBorders>
              <w:top w:val="nil"/>
              <w:left w:val="nil"/>
              <w:bottom w:val="single" w:sz="4" w:space="0" w:color="auto"/>
              <w:right w:val="single" w:sz="4" w:space="0" w:color="auto"/>
            </w:tcBorders>
            <w:shd w:val="clear" w:color="000000" w:fill="D9D9D9"/>
            <w:vAlign w:val="center"/>
            <w:hideMark/>
          </w:tcPr>
          <w:p w14:paraId="5FEF0CF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40" w:type="dxa"/>
            <w:tcBorders>
              <w:top w:val="nil"/>
              <w:left w:val="nil"/>
              <w:bottom w:val="single" w:sz="4" w:space="0" w:color="auto"/>
              <w:right w:val="single" w:sz="8" w:space="0" w:color="auto"/>
            </w:tcBorders>
            <w:shd w:val="clear" w:color="000000" w:fill="D9D9D9"/>
            <w:vAlign w:val="center"/>
            <w:hideMark/>
          </w:tcPr>
          <w:p w14:paraId="5FEF0CF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r>
      <w:tr w:rsidR="00D845EC" w:rsidRPr="00795698" w14:paraId="5FEF0D1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CF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10.1</w:t>
            </w:r>
          </w:p>
        </w:tc>
        <w:tc>
          <w:tcPr>
            <w:tcW w:w="814" w:type="dxa"/>
            <w:tcBorders>
              <w:top w:val="nil"/>
              <w:left w:val="nil"/>
              <w:bottom w:val="single" w:sz="4" w:space="0" w:color="auto"/>
              <w:right w:val="single" w:sz="4" w:space="0" w:color="auto"/>
            </w:tcBorders>
            <w:shd w:val="clear" w:color="auto" w:fill="auto"/>
            <w:vAlign w:val="center"/>
            <w:hideMark/>
          </w:tcPr>
          <w:p w14:paraId="5FEF0CF7"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OBJEKTIVI SPECIFIK: REAGIMI I SHPEJTË SIPAS PROTOKOLLEVE NDËRKOMBËTARE NDAJ INCIDENTEVE TERRORISTE QË PËRFSHIJNË PËRDORIMIN E MATERIALEVE KIMIKE, BIOLOGJIKE, RADIOLOGJIKE, BËRTHAMORE DHE EKSPLOZIVE (CBRN) </w:t>
            </w:r>
          </w:p>
        </w:tc>
        <w:tc>
          <w:tcPr>
            <w:tcW w:w="350" w:type="dxa"/>
            <w:tcBorders>
              <w:top w:val="nil"/>
              <w:left w:val="nil"/>
              <w:bottom w:val="single" w:sz="4" w:space="0" w:color="auto"/>
              <w:right w:val="single" w:sz="4" w:space="0" w:color="auto"/>
            </w:tcBorders>
            <w:shd w:val="clear" w:color="auto" w:fill="auto"/>
            <w:vAlign w:val="center"/>
            <w:hideMark/>
          </w:tcPr>
          <w:p w14:paraId="5FEF0C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C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C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C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C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C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C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0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D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D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D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D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D2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D1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D1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D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D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D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D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D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1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1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1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2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2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D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D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D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D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D4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D2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10.1.1</w:t>
            </w:r>
          </w:p>
        </w:tc>
        <w:tc>
          <w:tcPr>
            <w:tcW w:w="814" w:type="dxa"/>
            <w:tcBorders>
              <w:top w:val="nil"/>
              <w:left w:val="nil"/>
              <w:bottom w:val="single" w:sz="4" w:space="0" w:color="auto"/>
              <w:right w:val="single" w:sz="4" w:space="0" w:color="auto"/>
            </w:tcBorders>
            <w:shd w:val="clear" w:color="auto" w:fill="auto"/>
            <w:vAlign w:val="bottom"/>
            <w:hideMark/>
          </w:tcPr>
          <w:p w14:paraId="5FEF0D2F" w14:textId="6B97C82D"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Përmirësimi i shkëmbimit të informacionit</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në rastet 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emergjencave ku përfshihen</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CBRN</w:t>
            </w:r>
          </w:p>
        </w:tc>
        <w:tc>
          <w:tcPr>
            <w:tcW w:w="350" w:type="dxa"/>
            <w:tcBorders>
              <w:top w:val="nil"/>
              <w:left w:val="nil"/>
              <w:bottom w:val="single" w:sz="4" w:space="0" w:color="auto"/>
              <w:right w:val="single" w:sz="4" w:space="0" w:color="auto"/>
            </w:tcBorders>
            <w:shd w:val="clear" w:color="auto" w:fill="auto"/>
            <w:vAlign w:val="center"/>
            <w:hideMark/>
          </w:tcPr>
          <w:p w14:paraId="5FEF0D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auto" w:fill="auto"/>
            <w:noWrap/>
            <w:vAlign w:val="bottom"/>
            <w:hideMark/>
          </w:tcPr>
          <w:p w14:paraId="5FEF0D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AISM</w:t>
            </w:r>
          </w:p>
        </w:tc>
        <w:tc>
          <w:tcPr>
            <w:tcW w:w="1442" w:type="dxa"/>
            <w:tcBorders>
              <w:top w:val="nil"/>
              <w:left w:val="nil"/>
              <w:bottom w:val="single" w:sz="4" w:space="0" w:color="auto"/>
              <w:right w:val="single" w:sz="4" w:space="0" w:color="auto"/>
            </w:tcBorders>
            <w:shd w:val="clear" w:color="auto" w:fill="auto"/>
            <w:vAlign w:val="bottom"/>
            <w:hideMark/>
          </w:tcPr>
          <w:p w14:paraId="5FEF0D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DPPSH/DAT/SHISH</w:t>
            </w:r>
          </w:p>
        </w:tc>
        <w:tc>
          <w:tcPr>
            <w:tcW w:w="201" w:type="dxa"/>
            <w:tcBorders>
              <w:top w:val="nil"/>
              <w:left w:val="nil"/>
              <w:bottom w:val="single" w:sz="4" w:space="0" w:color="auto"/>
              <w:right w:val="single" w:sz="4" w:space="0" w:color="auto"/>
            </w:tcBorders>
            <w:shd w:val="clear" w:color="auto" w:fill="auto"/>
            <w:vAlign w:val="center"/>
            <w:hideMark/>
          </w:tcPr>
          <w:p w14:paraId="5FEF0D3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D3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D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D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D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D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D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D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D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D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vAlign w:val="center"/>
            <w:hideMark/>
          </w:tcPr>
          <w:p w14:paraId="5FEF0D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900,000</w:t>
            </w:r>
          </w:p>
        </w:tc>
        <w:tc>
          <w:tcPr>
            <w:tcW w:w="345" w:type="dxa"/>
            <w:tcBorders>
              <w:top w:val="nil"/>
              <w:left w:val="nil"/>
              <w:bottom w:val="single" w:sz="4" w:space="0" w:color="auto"/>
              <w:right w:val="single" w:sz="4" w:space="0" w:color="auto"/>
            </w:tcBorders>
            <w:shd w:val="clear" w:color="000000" w:fill="FFFFFF"/>
            <w:vAlign w:val="center"/>
            <w:hideMark/>
          </w:tcPr>
          <w:p w14:paraId="5FEF0D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w:t>
            </w:r>
          </w:p>
        </w:tc>
        <w:tc>
          <w:tcPr>
            <w:tcW w:w="228" w:type="dxa"/>
            <w:tcBorders>
              <w:top w:val="nil"/>
              <w:left w:val="nil"/>
              <w:bottom w:val="single" w:sz="4" w:space="0" w:color="auto"/>
              <w:right w:val="single" w:sz="4" w:space="0" w:color="auto"/>
            </w:tcBorders>
            <w:shd w:val="clear" w:color="000000" w:fill="FFFFFF"/>
            <w:vAlign w:val="center"/>
            <w:hideMark/>
          </w:tcPr>
          <w:p w14:paraId="5FEF0D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D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w:t>
            </w:r>
          </w:p>
        </w:tc>
        <w:tc>
          <w:tcPr>
            <w:tcW w:w="345" w:type="dxa"/>
            <w:tcBorders>
              <w:top w:val="nil"/>
              <w:left w:val="nil"/>
              <w:bottom w:val="single" w:sz="4" w:space="0" w:color="auto"/>
              <w:right w:val="single" w:sz="4" w:space="0" w:color="auto"/>
            </w:tcBorders>
            <w:shd w:val="clear" w:color="000000" w:fill="FFFFFF"/>
            <w:vAlign w:val="center"/>
            <w:hideMark/>
          </w:tcPr>
          <w:p w14:paraId="5FEF0D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w:t>
            </w:r>
          </w:p>
        </w:tc>
        <w:tc>
          <w:tcPr>
            <w:tcW w:w="228" w:type="dxa"/>
            <w:tcBorders>
              <w:top w:val="nil"/>
              <w:left w:val="nil"/>
              <w:bottom w:val="single" w:sz="4" w:space="0" w:color="auto"/>
              <w:right w:val="single" w:sz="4" w:space="0" w:color="auto"/>
            </w:tcBorders>
            <w:shd w:val="clear" w:color="000000" w:fill="FFFFFF"/>
            <w:vAlign w:val="center"/>
            <w:hideMark/>
          </w:tcPr>
          <w:p w14:paraId="5FEF0D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D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2,700,000</w:t>
            </w:r>
          </w:p>
        </w:tc>
        <w:tc>
          <w:tcPr>
            <w:tcW w:w="218" w:type="dxa"/>
            <w:tcBorders>
              <w:top w:val="nil"/>
              <w:left w:val="nil"/>
              <w:bottom w:val="single" w:sz="4" w:space="0" w:color="auto"/>
              <w:right w:val="single" w:sz="4" w:space="0" w:color="auto"/>
            </w:tcBorders>
            <w:shd w:val="clear" w:color="000000" w:fill="FFFFFF"/>
            <w:vAlign w:val="center"/>
            <w:hideMark/>
          </w:tcPr>
          <w:p w14:paraId="5FEF0D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D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D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D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D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D6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D4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D4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10.1</w:t>
            </w:r>
          </w:p>
        </w:tc>
        <w:tc>
          <w:tcPr>
            <w:tcW w:w="350" w:type="dxa"/>
            <w:tcBorders>
              <w:top w:val="nil"/>
              <w:left w:val="nil"/>
              <w:bottom w:val="single" w:sz="4" w:space="0" w:color="auto"/>
              <w:right w:val="single" w:sz="4" w:space="0" w:color="auto"/>
            </w:tcBorders>
            <w:shd w:val="clear" w:color="000000" w:fill="D9D9D9"/>
            <w:vAlign w:val="center"/>
            <w:hideMark/>
          </w:tcPr>
          <w:p w14:paraId="5FEF0D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D4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D4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D4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D5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5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D5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D5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03" w:type="dxa"/>
            <w:tcBorders>
              <w:top w:val="nil"/>
              <w:left w:val="nil"/>
              <w:bottom w:val="single" w:sz="4" w:space="0" w:color="auto"/>
              <w:right w:val="single" w:sz="4" w:space="0" w:color="auto"/>
            </w:tcBorders>
            <w:shd w:val="clear" w:color="000000" w:fill="D9D9D9"/>
            <w:vAlign w:val="center"/>
            <w:hideMark/>
          </w:tcPr>
          <w:p w14:paraId="5FEF0D5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D5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D5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03" w:type="dxa"/>
            <w:tcBorders>
              <w:top w:val="nil"/>
              <w:left w:val="nil"/>
              <w:bottom w:val="single" w:sz="4" w:space="0" w:color="auto"/>
              <w:right w:val="single" w:sz="4" w:space="0" w:color="auto"/>
            </w:tcBorders>
            <w:shd w:val="clear" w:color="000000" w:fill="D9D9D9"/>
            <w:vAlign w:val="center"/>
            <w:hideMark/>
          </w:tcPr>
          <w:p w14:paraId="5FEF0D5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D5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D5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45" w:type="dxa"/>
            <w:tcBorders>
              <w:top w:val="nil"/>
              <w:left w:val="nil"/>
              <w:bottom w:val="single" w:sz="4" w:space="0" w:color="auto"/>
              <w:right w:val="single" w:sz="4" w:space="0" w:color="auto"/>
            </w:tcBorders>
            <w:shd w:val="clear" w:color="000000" w:fill="D9D9D9"/>
            <w:vAlign w:val="center"/>
            <w:hideMark/>
          </w:tcPr>
          <w:p w14:paraId="5FEF0D5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28" w:type="dxa"/>
            <w:tcBorders>
              <w:top w:val="nil"/>
              <w:left w:val="nil"/>
              <w:bottom w:val="single" w:sz="4" w:space="0" w:color="auto"/>
              <w:right w:val="single" w:sz="4" w:space="0" w:color="auto"/>
            </w:tcBorders>
            <w:shd w:val="clear" w:color="000000" w:fill="D9D9D9"/>
            <w:vAlign w:val="center"/>
            <w:hideMark/>
          </w:tcPr>
          <w:p w14:paraId="5FEF0D5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D5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345" w:type="dxa"/>
            <w:tcBorders>
              <w:top w:val="nil"/>
              <w:left w:val="nil"/>
              <w:bottom w:val="single" w:sz="4" w:space="0" w:color="auto"/>
              <w:right w:val="single" w:sz="4" w:space="0" w:color="auto"/>
            </w:tcBorders>
            <w:shd w:val="clear" w:color="000000" w:fill="D9D9D9"/>
            <w:vAlign w:val="center"/>
            <w:hideMark/>
          </w:tcPr>
          <w:p w14:paraId="5FEF0D5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28" w:type="dxa"/>
            <w:tcBorders>
              <w:top w:val="nil"/>
              <w:left w:val="nil"/>
              <w:bottom w:val="single" w:sz="4" w:space="0" w:color="auto"/>
              <w:right w:val="single" w:sz="4" w:space="0" w:color="auto"/>
            </w:tcBorders>
            <w:shd w:val="clear" w:color="000000" w:fill="D9D9D9"/>
            <w:vAlign w:val="center"/>
            <w:hideMark/>
          </w:tcPr>
          <w:p w14:paraId="5FEF0D5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D5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18" w:type="dxa"/>
            <w:tcBorders>
              <w:top w:val="nil"/>
              <w:left w:val="nil"/>
              <w:bottom w:val="single" w:sz="4" w:space="0" w:color="auto"/>
              <w:right w:val="single" w:sz="4" w:space="0" w:color="auto"/>
            </w:tcBorders>
            <w:shd w:val="clear" w:color="000000" w:fill="D9D9D9"/>
            <w:vAlign w:val="center"/>
            <w:hideMark/>
          </w:tcPr>
          <w:p w14:paraId="5FEF0D6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D6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D6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D6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D6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D8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D6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D6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10</w:t>
            </w:r>
          </w:p>
        </w:tc>
        <w:tc>
          <w:tcPr>
            <w:tcW w:w="350" w:type="dxa"/>
            <w:tcBorders>
              <w:top w:val="nil"/>
              <w:left w:val="nil"/>
              <w:bottom w:val="single" w:sz="4" w:space="0" w:color="auto"/>
              <w:right w:val="single" w:sz="4" w:space="0" w:color="auto"/>
            </w:tcBorders>
            <w:shd w:val="clear" w:color="000000" w:fill="D9D9D9"/>
            <w:vAlign w:val="center"/>
            <w:hideMark/>
          </w:tcPr>
          <w:p w14:paraId="5FEF0D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D6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D6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D6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D6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6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D6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D6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03" w:type="dxa"/>
            <w:tcBorders>
              <w:top w:val="nil"/>
              <w:left w:val="nil"/>
              <w:bottom w:val="single" w:sz="4" w:space="0" w:color="auto"/>
              <w:right w:val="single" w:sz="4" w:space="0" w:color="auto"/>
            </w:tcBorders>
            <w:shd w:val="clear" w:color="000000" w:fill="D9D9D9"/>
            <w:vAlign w:val="center"/>
            <w:hideMark/>
          </w:tcPr>
          <w:p w14:paraId="5FEF0D7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D7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D7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03" w:type="dxa"/>
            <w:tcBorders>
              <w:top w:val="nil"/>
              <w:left w:val="nil"/>
              <w:bottom w:val="single" w:sz="4" w:space="0" w:color="auto"/>
              <w:right w:val="single" w:sz="4" w:space="0" w:color="auto"/>
            </w:tcBorders>
            <w:shd w:val="clear" w:color="000000" w:fill="D9D9D9"/>
            <w:vAlign w:val="center"/>
            <w:hideMark/>
          </w:tcPr>
          <w:p w14:paraId="5FEF0D7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228" w:type="dxa"/>
            <w:tcBorders>
              <w:top w:val="nil"/>
              <w:left w:val="nil"/>
              <w:bottom w:val="single" w:sz="4" w:space="0" w:color="auto"/>
              <w:right w:val="single" w:sz="4" w:space="0" w:color="auto"/>
            </w:tcBorders>
            <w:shd w:val="clear" w:color="000000" w:fill="D9D9D9"/>
            <w:vAlign w:val="center"/>
            <w:hideMark/>
          </w:tcPr>
          <w:p w14:paraId="5FEF0D7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D7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900,000</w:t>
            </w:r>
          </w:p>
        </w:tc>
        <w:tc>
          <w:tcPr>
            <w:tcW w:w="345" w:type="dxa"/>
            <w:tcBorders>
              <w:top w:val="nil"/>
              <w:left w:val="nil"/>
              <w:bottom w:val="single" w:sz="4" w:space="0" w:color="auto"/>
              <w:right w:val="single" w:sz="4" w:space="0" w:color="auto"/>
            </w:tcBorders>
            <w:shd w:val="clear" w:color="000000" w:fill="D9D9D9"/>
            <w:vAlign w:val="center"/>
            <w:hideMark/>
          </w:tcPr>
          <w:p w14:paraId="5FEF0D7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28" w:type="dxa"/>
            <w:tcBorders>
              <w:top w:val="nil"/>
              <w:left w:val="nil"/>
              <w:bottom w:val="single" w:sz="4" w:space="0" w:color="auto"/>
              <w:right w:val="single" w:sz="4" w:space="0" w:color="auto"/>
            </w:tcBorders>
            <w:shd w:val="clear" w:color="000000" w:fill="D9D9D9"/>
            <w:vAlign w:val="center"/>
            <w:hideMark/>
          </w:tcPr>
          <w:p w14:paraId="5FEF0D7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D7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345" w:type="dxa"/>
            <w:tcBorders>
              <w:top w:val="nil"/>
              <w:left w:val="nil"/>
              <w:bottom w:val="single" w:sz="4" w:space="0" w:color="auto"/>
              <w:right w:val="single" w:sz="4" w:space="0" w:color="auto"/>
            </w:tcBorders>
            <w:shd w:val="clear" w:color="000000" w:fill="D9D9D9"/>
            <w:vAlign w:val="center"/>
            <w:hideMark/>
          </w:tcPr>
          <w:p w14:paraId="5FEF0D7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28" w:type="dxa"/>
            <w:tcBorders>
              <w:top w:val="nil"/>
              <w:left w:val="nil"/>
              <w:bottom w:val="single" w:sz="4" w:space="0" w:color="auto"/>
              <w:right w:val="single" w:sz="4" w:space="0" w:color="auto"/>
            </w:tcBorders>
            <w:shd w:val="clear" w:color="000000" w:fill="D9D9D9"/>
            <w:vAlign w:val="center"/>
            <w:hideMark/>
          </w:tcPr>
          <w:p w14:paraId="5FEF0D7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D7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2,700,000</w:t>
            </w:r>
          </w:p>
        </w:tc>
        <w:tc>
          <w:tcPr>
            <w:tcW w:w="218" w:type="dxa"/>
            <w:tcBorders>
              <w:top w:val="nil"/>
              <w:left w:val="nil"/>
              <w:bottom w:val="single" w:sz="4" w:space="0" w:color="auto"/>
              <w:right w:val="single" w:sz="4" w:space="0" w:color="auto"/>
            </w:tcBorders>
            <w:shd w:val="clear" w:color="000000" w:fill="D9D9D9"/>
            <w:vAlign w:val="center"/>
            <w:hideMark/>
          </w:tcPr>
          <w:p w14:paraId="5FEF0D7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D7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D7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D7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D8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D8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D82"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D8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D8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I.4 QASJA MBROJTËSE</w:t>
            </w:r>
          </w:p>
        </w:tc>
      </w:tr>
      <w:tr w:rsidR="00D845EC" w:rsidRPr="00795698" w14:paraId="5FEF0D87"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D86"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11: RRITJA E NIVELIT TË SIGURISË NË FUSHËN E TRANSPORTIT, TREGTISË, SHKËMBIMIT TË MALLRAVE DHE SHËRBIMEVE</w:t>
            </w:r>
          </w:p>
        </w:tc>
      </w:tr>
      <w:tr w:rsidR="00D845EC" w:rsidRPr="00795698" w14:paraId="5FEF0D89"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D88" w14:textId="1CC9A9D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w:t>
            </w:r>
            <w:r w:rsidR="007C064A" w:rsidRPr="00795698">
              <w:rPr>
                <w:rFonts w:ascii="Arial" w:hAnsi="Arial" w:cs="Arial"/>
                <w:b/>
                <w:bCs/>
                <w:sz w:val="10"/>
                <w:szCs w:val="6"/>
                <w:lang w:eastAsia="sq-AL"/>
              </w:rPr>
              <w:t xml:space="preserve"> </w:t>
            </w:r>
            <w:r w:rsidRPr="00795698">
              <w:rPr>
                <w:rFonts w:ascii="Arial" w:hAnsi="Arial" w:cs="Arial"/>
                <w:b/>
                <w:bCs/>
                <w:sz w:val="10"/>
                <w:szCs w:val="6"/>
                <w:lang w:eastAsia="sq-AL"/>
              </w:rPr>
              <w:t>Programi buxhetor: "Planifikimi, menaxhimi dhe administrimi", Kodi i programit: 01110;</w:t>
            </w:r>
          </w:p>
        </w:tc>
      </w:tr>
      <w:tr w:rsidR="00D845EC" w:rsidRPr="00795698" w14:paraId="5FEF0DA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D8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D8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50" w:type="dxa"/>
            <w:tcBorders>
              <w:top w:val="nil"/>
              <w:left w:val="nil"/>
              <w:bottom w:val="single" w:sz="4" w:space="0" w:color="auto"/>
              <w:right w:val="single" w:sz="4" w:space="0" w:color="auto"/>
            </w:tcBorders>
            <w:shd w:val="clear" w:color="000000" w:fill="D9D9D9"/>
            <w:vAlign w:val="center"/>
            <w:hideMark/>
          </w:tcPr>
          <w:p w14:paraId="5FEF0D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D8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D8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D8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D9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9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D9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9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9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D9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9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9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D9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D9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D9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D9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D9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D9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D9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45" w:type="dxa"/>
            <w:tcBorders>
              <w:top w:val="nil"/>
              <w:left w:val="nil"/>
              <w:bottom w:val="single" w:sz="4" w:space="0" w:color="auto"/>
              <w:right w:val="single" w:sz="4" w:space="0" w:color="auto"/>
            </w:tcBorders>
            <w:shd w:val="clear" w:color="000000" w:fill="D9D9D9"/>
            <w:vAlign w:val="center"/>
            <w:hideMark/>
          </w:tcPr>
          <w:p w14:paraId="5FEF0D9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18" w:type="dxa"/>
            <w:tcBorders>
              <w:top w:val="nil"/>
              <w:left w:val="nil"/>
              <w:bottom w:val="single" w:sz="4" w:space="0" w:color="auto"/>
              <w:right w:val="single" w:sz="4" w:space="0" w:color="auto"/>
            </w:tcBorders>
            <w:shd w:val="clear" w:color="000000" w:fill="D9D9D9"/>
            <w:vAlign w:val="center"/>
            <w:hideMark/>
          </w:tcPr>
          <w:p w14:paraId="5FEF0DA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28" w:type="dxa"/>
            <w:tcBorders>
              <w:top w:val="nil"/>
              <w:left w:val="nil"/>
              <w:bottom w:val="single" w:sz="4" w:space="0" w:color="auto"/>
              <w:right w:val="single" w:sz="4" w:space="0" w:color="auto"/>
            </w:tcBorders>
            <w:shd w:val="clear" w:color="000000" w:fill="D9D9D9"/>
            <w:vAlign w:val="center"/>
            <w:hideMark/>
          </w:tcPr>
          <w:p w14:paraId="5FEF0DA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434" w:type="dxa"/>
            <w:tcBorders>
              <w:top w:val="nil"/>
              <w:left w:val="nil"/>
              <w:bottom w:val="single" w:sz="4" w:space="0" w:color="auto"/>
              <w:right w:val="single" w:sz="4" w:space="0" w:color="auto"/>
            </w:tcBorders>
            <w:shd w:val="clear" w:color="000000" w:fill="D9D9D9"/>
            <w:vAlign w:val="center"/>
            <w:hideMark/>
          </w:tcPr>
          <w:p w14:paraId="5FEF0DA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49" w:type="dxa"/>
            <w:tcBorders>
              <w:top w:val="nil"/>
              <w:left w:val="nil"/>
              <w:bottom w:val="single" w:sz="4" w:space="0" w:color="auto"/>
              <w:right w:val="single" w:sz="4" w:space="0" w:color="auto"/>
            </w:tcBorders>
            <w:shd w:val="clear" w:color="000000" w:fill="D9D9D9"/>
            <w:vAlign w:val="center"/>
            <w:hideMark/>
          </w:tcPr>
          <w:p w14:paraId="5FEF0DA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40" w:type="dxa"/>
            <w:tcBorders>
              <w:top w:val="nil"/>
              <w:left w:val="nil"/>
              <w:bottom w:val="single" w:sz="4" w:space="0" w:color="auto"/>
              <w:right w:val="single" w:sz="8" w:space="0" w:color="auto"/>
            </w:tcBorders>
            <w:shd w:val="clear" w:color="000000" w:fill="D9D9D9"/>
            <w:vAlign w:val="center"/>
            <w:hideMark/>
          </w:tcPr>
          <w:p w14:paraId="5FEF0DA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r>
      <w:tr w:rsidR="00D845EC" w:rsidRPr="00795698" w14:paraId="5FEF0DC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DA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11.1</w:t>
            </w:r>
          </w:p>
        </w:tc>
        <w:tc>
          <w:tcPr>
            <w:tcW w:w="814" w:type="dxa"/>
            <w:tcBorders>
              <w:top w:val="nil"/>
              <w:left w:val="nil"/>
              <w:bottom w:val="single" w:sz="4" w:space="0" w:color="auto"/>
              <w:right w:val="single" w:sz="4" w:space="0" w:color="auto"/>
            </w:tcBorders>
            <w:shd w:val="clear" w:color="auto" w:fill="auto"/>
            <w:vAlign w:val="bottom"/>
            <w:hideMark/>
          </w:tcPr>
          <w:p w14:paraId="5FEF0DA7" w14:textId="391ACE2C"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REDUKTIMI I</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RREZIQEVE QË RRJEDHIN NGA TRANSFERIMET E NDALUARA TË MJETEVE DHE MATERIALEVE QË MUND TË PËRDOREN PËR TË KRYER NJË SULM APO AKT TERRORIST</w:t>
            </w:r>
          </w:p>
        </w:tc>
        <w:tc>
          <w:tcPr>
            <w:tcW w:w="350" w:type="dxa"/>
            <w:tcBorders>
              <w:top w:val="nil"/>
              <w:left w:val="nil"/>
              <w:bottom w:val="single" w:sz="4" w:space="0" w:color="auto"/>
              <w:right w:val="single" w:sz="4" w:space="0" w:color="auto"/>
            </w:tcBorders>
            <w:shd w:val="clear" w:color="auto" w:fill="auto"/>
            <w:noWrap/>
            <w:vAlign w:val="center"/>
            <w:hideMark/>
          </w:tcPr>
          <w:p w14:paraId="5FEF0D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D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D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D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DA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A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A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B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B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B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B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B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B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B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B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B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B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B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B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DB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B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DB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DB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DC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DD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DC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DC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DC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DC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DC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DC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D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D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D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D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D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D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D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D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DF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DD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11.1.1</w:t>
            </w:r>
          </w:p>
        </w:tc>
        <w:tc>
          <w:tcPr>
            <w:tcW w:w="814" w:type="dxa"/>
            <w:tcBorders>
              <w:top w:val="nil"/>
              <w:left w:val="nil"/>
              <w:bottom w:val="single" w:sz="4" w:space="0" w:color="auto"/>
              <w:right w:val="single" w:sz="4" w:space="0" w:color="auto"/>
            </w:tcBorders>
            <w:shd w:val="clear" w:color="auto" w:fill="auto"/>
            <w:vAlign w:val="bottom"/>
            <w:hideMark/>
          </w:tcPr>
          <w:p w14:paraId="5FEF0DD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Shfrytëzimi i kapaciteteve kombëtare, për zbulimin në kohë të materialeve</w:t>
            </w:r>
            <w:r w:rsidRPr="00795698">
              <w:rPr>
                <w:rFonts w:ascii="Arial" w:hAnsi="Arial" w:cs="Arial"/>
                <w:color w:val="000000"/>
                <w:sz w:val="6"/>
                <w:szCs w:val="6"/>
                <w:lang w:eastAsia="sq-AL"/>
              </w:rPr>
              <w:br/>
              <w:t>të përshtatshme dhe jashtë kontrollit, për prodhimin apo përdorimin e</w:t>
            </w:r>
            <w:r w:rsidRPr="00795698">
              <w:rPr>
                <w:rFonts w:ascii="Arial" w:hAnsi="Arial" w:cs="Arial"/>
                <w:color w:val="000000"/>
                <w:sz w:val="6"/>
                <w:szCs w:val="6"/>
                <w:lang w:eastAsia="sq-AL"/>
              </w:rPr>
              <w:br/>
              <w:t xml:space="preserve">Armëve të zjarrit, lëndëve shpërthyese, Armëve të Dëmtimit në Masë. </w:t>
            </w:r>
          </w:p>
        </w:tc>
        <w:tc>
          <w:tcPr>
            <w:tcW w:w="350" w:type="dxa"/>
            <w:tcBorders>
              <w:top w:val="nil"/>
              <w:left w:val="nil"/>
              <w:bottom w:val="single" w:sz="4" w:space="0" w:color="auto"/>
              <w:right w:val="single" w:sz="4" w:space="0" w:color="auto"/>
            </w:tcBorders>
            <w:shd w:val="clear" w:color="auto" w:fill="auto"/>
            <w:vAlign w:val="center"/>
            <w:hideMark/>
          </w:tcPr>
          <w:p w14:paraId="5FEF0D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Planifikimi, menaxhimi</w:t>
            </w:r>
            <w:r w:rsidRPr="00795698">
              <w:rPr>
                <w:rFonts w:ascii="Arial" w:hAnsi="Arial" w:cs="Arial"/>
                <w:color w:val="000000"/>
                <w:sz w:val="6"/>
                <w:szCs w:val="6"/>
                <w:lang w:eastAsia="sq-AL"/>
              </w:rPr>
              <w:br/>
              <w:t>dhe administrimi</w:t>
            </w:r>
            <w:r w:rsidRPr="00795698">
              <w:rPr>
                <w:rFonts w:ascii="Arial" w:hAnsi="Arial" w:cs="Arial"/>
                <w:color w:val="000000"/>
                <w:sz w:val="6"/>
                <w:szCs w:val="6"/>
                <w:lang w:eastAsia="sq-AL"/>
              </w:rPr>
              <w:br/>
              <w:t>01110</w:t>
            </w:r>
          </w:p>
        </w:tc>
        <w:tc>
          <w:tcPr>
            <w:tcW w:w="458" w:type="dxa"/>
            <w:tcBorders>
              <w:top w:val="nil"/>
              <w:left w:val="nil"/>
              <w:bottom w:val="single" w:sz="4" w:space="0" w:color="auto"/>
              <w:right w:val="single" w:sz="4" w:space="0" w:color="auto"/>
            </w:tcBorders>
            <w:shd w:val="clear" w:color="auto" w:fill="auto"/>
            <w:noWrap/>
            <w:vAlign w:val="bottom"/>
            <w:hideMark/>
          </w:tcPr>
          <w:p w14:paraId="5FEF0D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w:t>
            </w:r>
          </w:p>
        </w:tc>
        <w:tc>
          <w:tcPr>
            <w:tcW w:w="1442" w:type="dxa"/>
            <w:tcBorders>
              <w:top w:val="nil"/>
              <w:left w:val="nil"/>
              <w:bottom w:val="single" w:sz="4" w:space="0" w:color="auto"/>
              <w:right w:val="single" w:sz="4" w:space="0" w:color="auto"/>
            </w:tcBorders>
            <w:shd w:val="clear" w:color="auto" w:fill="auto"/>
            <w:vAlign w:val="bottom"/>
            <w:hideMark/>
          </w:tcPr>
          <w:p w14:paraId="5FEF0D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MIE/DPD/DPPSH/ MEPJ/ MSHMS/</w:t>
            </w:r>
            <w:r w:rsidRPr="00795698">
              <w:rPr>
                <w:rFonts w:ascii="Arial" w:hAnsi="Arial" w:cs="Arial"/>
                <w:color w:val="000000"/>
                <w:sz w:val="6"/>
                <w:szCs w:val="6"/>
                <w:lang w:eastAsia="sq-AL"/>
              </w:rPr>
              <w:br/>
              <w:t>MAS/SHISH</w:t>
            </w:r>
          </w:p>
        </w:tc>
        <w:tc>
          <w:tcPr>
            <w:tcW w:w="201" w:type="dxa"/>
            <w:tcBorders>
              <w:top w:val="nil"/>
              <w:left w:val="nil"/>
              <w:bottom w:val="single" w:sz="4" w:space="0" w:color="auto"/>
              <w:right w:val="single" w:sz="4" w:space="0" w:color="auto"/>
            </w:tcBorders>
            <w:shd w:val="clear" w:color="auto" w:fill="auto"/>
            <w:vAlign w:val="center"/>
            <w:hideMark/>
          </w:tcPr>
          <w:p w14:paraId="5FEF0DE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DE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D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w:t>
            </w:r>
          </w:p>
        </w:tc>
        <w:tc>
          <w:tcPr>
            <w:tcW w:w="228" w:type="dxa"/>
            <w:tcBorders>
              <w:top w:val="nil"/>
              <w:left w:val="nil"/>
              <w:bottom w:val="single" w:sz="4" w:space="0" w:color="auto"/>
              <w:right w:val="single" w:sz="4" w:space="0" w:color="auto"/>
            </w:tcBorders>
            <w:shd w:val="clear" w:color="auto" w:fill="auto"/>
            <w:noWrap/>
            <w:vAlign w:val="center"/>
            <w:hideMark/>
          </w:tcPr>
          <w:p w14:paraId="5FEF0D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D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D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w:t>
            </w:r>
          </w:p>
        </w:tc>
        <w:tc>
          <w:tcPr>
            <w:tcW w:w="228" w:type="dxa"/>
            <w:tcBorders>
              <w:top w:val="nil"/>
              <w:left w:val="nil"/>
              <w:bottom w:val="single" w:sz="4" w:space="0" w:color="auto"/>
              <w:right w:val="single" w:sz="4" w:space="0" w:color="auto"/>
            </w:tcBorders>
            <w:shd w:val="clear" w:color="auto" w:fill="auto"/>
            <w:noWrap/>
            <w:vAlign w:val="center"/>
            <w:hideMark/>
          </w:tcPr>
          <w:p w14:paraId="5FEF0D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D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D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w:t>
            </w:r>
          </w:p>
        </w:tc>
        <w:tc>
          <w:tcPr>
            <w:tcW w:w="228" w:type="dxa"/>
            <w:tcBorders>
              <w:top w:val="nil"/>
              <w:left w:val="nil"/>
              <w:bottom w:val="single" w:sz="4" w:space="0" w:color="auto"/>
              <w:right w:val="single" w:sz="4" w:space="0" w:color="auto"/>
            </w:tcBorders>
            <w:shd w:val="clear" w:color="auto" w:fill="auto"/>
            <w:noWrap/>
            <w:vAlign w:val="center"/>
            <w:hideMark/>
          </w:tcPr>
          <w:p w14:paraId="5FEF0D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D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D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228" w:type="dxa"/>
            <w:tcBorders>
              <w:top w:val="nil"/>
              <w:left w:val="nil"/>
              <w:bottom w:val="single" w:sz="4" w:space="0" w:color="auto"/>
              <w:right w:val="single" w:sz="4" w:space="0" w:color="auto"/>
            </w:tcBorders>
            <w:shd w:val="clear" w:color="000000" w:fill="FFFFFF"/>
            <w:vAlign w:val="center"/>
            <w:hideMark/>
          </w:tcPr>
          <w:p w14:paraId="5FEF0D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D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345" w:type="dxa"/>
            <w:tcBorders>
              <w:top w:val="nil"/>
              <w:left w:val="nil"/>
              <w:bottom w:val="single" w:sz="4" w:space="0" w:color="auto"/>
              <w:right w:val="single" w:sz="4" w:space="0" w:color="auto"/>
            </w:tcBorders>
            <w:shd w:val="clear" w:color="000000" w:fill="FFFFFF"/>
            <w:vAlign w:val="center"/>
            <w:hideMark/>
          </w:tcPr>
          <w:p w14:paraId="5FEF0D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228" w:type="dxa"/>
            <w:tcBorders>
              <w:top w:val="nil"/>
              <w:left w:val="nil"/>
              <w:bottom w:val="single" w:sz="4" w:space="0" w:color="auto"/>
              <w:right w:val="single" w:sz="4" w:space="0" w:color="auto"/>
            </w:tcBorders>
            <w:shd w:val="clear" w:color="000000" w:fill="FFFFFF"/>
            <w:vAlign w:val="center"/>
            <w:hideMark/>
          </w:tcPr>
          <w:p w14:paraId="5FEF0D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D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218" w:type="dxa"/>
            <w:tcBorders>
              <w:top w:val="nil"/>
              <w:left w:val="nil"/>
              <w:bottom w:val="single" w:sz="4" w:space="0" w:color="auto"/>
              <w:right w:val="single" w:sz="4" w:space="0" w:color="auto"/>
            </w:tcBorders>
            <w:shd w:val="clear" w:color="000000" w:fill="FFFFFF"/>
            <w:vAlign w:val="center"/>
            <w:hideMark/>
          </w:tcPr>
          <w:p w14:paraId="5FEF0D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D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D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D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D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E15"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DF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11.1.2</w:t>
            </w:r>
          </w:p>
        </w:tc>
        <w:tc>
          <w:tcPr>
            <w:tcW w:w="814" w:type="dxa"/>
            <w:tcBorders>
              <w:top w:val="nil"/>
              <w:left w:val="nil"/>
              <w:bottom w:val="single" w:sz="4" w:space="0" w:color="auto"/>
              <w:right w:val="single" w:sz="4" w:space="0" w:color="auto"/>
            </w:tcBorders>
            <w:shd w:val="clear" w:color="auto" w:fill="auto"/>
            <w:vAlign w:val="bottom"/>
            <w:hideMark/>
          </w:tcPr>
          <w:p w14:paraId="5FEF0DF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Shfrytëzimi i kapaciteteve institucionale dhe administrative, për</w:t>
            </w:r>
            <w:r w:rsidRPr="00795698">
              <w:rPr>
                <w:rFonts w:ascii="Arial" w:hAnsi="Arial" w:cs="Arial"/>
                <w:color w:val="000000"/>
                <w:sz w:val="6"/>
                <w:szCs w:val="6"/>
                <w:lang w:eastAsia="sq-AL"/>
              </w:rPr>
              <w:br/>
              <w:t xml:space="preserve">zbulimin e rrjeteve financiare kriminale që tentojnë përhapjen e Armëve të zjarrit, lëndëve shpërthyese, Armëve të Dëmtimit në Masë. </w:t>
            </w:r>
          </w:p>
        </w:tc>
        <w:tc>
          <w:tcPr>
            <w:tcW w:w="350" w:type="dxa"/>
            <w:tcBorders>
              <w:top w:val="nil"/>
              <w:left w:val="nil"/>
              <w:bottom w:val="single" w:sz="4" w:space="0" w:color="auto"/>
              <w:right w:val="single" w:sz="4" w:space="0" w:color="auto"/>
            </w:tcBorders>
            <w:shd w:val="clear" w:color="auto" w:fill="auto"/>
            <w:vAlign w:val="center"/>
            <w:hideMark/>
          </w:tcPr>
          <w:p w14:paraId="5FEF0D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Planifikimi, menaxhimi</w:t>
            </w:r>
            <w:r w:rsidRPr="00795698">
              <w:rPr>
                <w:rFonts w:ascii="Arial" w:hAnsi="Arial" w:cs="Arial"/>
                <w:color w:val="000000"/>
                <w:sz w:val="6"/>
                <w:szCs w:val="6"/>
                <w:lang w:eastAsia="sq-AL"/>
              </w:rPr>
              <w:br/>
              <w:t>dhe administrimi</w:t>
            </w:r>
            <w:r w:rsidRPr="00795698">
              <w:rPr>
                <w:rFonts w:ascii="Arial" w:hAnsi="Arial" w:cs="Arial"/>
                <w:color w:val="000000"/>
                <w:sz w:val="6"/>
                <w:szCs w:val="6"/>
                <w:lang w:eastAsia="sq-AL"/>
              </w:rPr>
              <w:br/>
              <w:t>01111</w:t>
            </w:r>
          </w:p>
        </w:tc>
        <w:tc>
          <w:tcPr>
            <w:tcW w:w="458" w:type="dxa"/>
            <w:tcBorders>
              <w:top w:val="nil"/>
              <w:left w:val="nil"/>
              <w:bottom w:val="single" w:sz="4" w:space="0" w:color="auto"/>
              <w:right w:val="single" w:sz="4" w:space="0" w:color="auto"/>
            </w:tcBorders>
            <w:shd w:val="clear" w:color="auto" w:fill="auto"/>
            <w:noWrap/>
            <w:vAlign w:val="bottom"/>
            <w:hideMark/>
          </w:tcPr>
          <w:p w14:paraId="5FEF0D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w:t>
            </w:r>
          </w:p>
        </w:tc>
        <w:tc>
          <w:tcPr>
            <w:tcW w:w="1442" w:type="dxa"/>
            <w:tcBorders>
              <w:top w:val="nil"/>
              <w:left w:val="nil"/>
              <w:bottom w:val="single" w:sz="4" w:space="0" w:color="auto"/>
              <w:right w:val="single" w:sz="4" w:space="0" w:color="auto"/>
            </w:tcBorders>
            <w:shd w:val="clear" w:color="auto" w:fill="auto"/>
            <w:vAlign w:val="bottom"/>
            <w:hideMark/>
          </w:tcPr>
          <w:p w14:paraId="5FEF0D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MIE/DPD/DPPSH/ MEPJ/ MSHMS/</w:t>
            </w:r>
            <w:r w:rsidRPr="00795698">
              <w:rPr>
                <w:rFonts w:ascii="Arial" w:hAnsi="Arial" w:cs="Arial"/>
                <w:color w:val="000000"/>
                <w:sz w:val="6"/>
                <w:szCs w:val="6"/>
                <w:lang w:eastAsia="sq-AL"/>
              </w:rPr>
              <w:br/>
              <w:t>MAS/SHISH</w:t>
            </w:r>
          </w:p>
        </w:tc>
        <w:tc>
          <w:tcPr>
            <w:tcW w:w="201" w:type="dxa"/>
            <w:tcBorders>
              <w:top w:val="nil"/>
              <w:left w:val="nil"/>
              <w:bottom w:val="single" w:sz="4" w:space="0" w:color="auto"/>
              <w:right w:val="single" w:sz="4" w:space="0" w:color="auto"/>
            </w:tcBorders>
            <w:shd w:val="clear" w:color="auto" w:fill="auto"/>
            <w:vAlign w:val="center"/>
            <w:hideMark/>
          </w:tcPr>
          <w:p w14:paraId="5FEF0DF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E00"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auto" w:fill="auto"/>
            <w:noWrap/>
            <w:vAlign w:val="center"/>
            <w:hideMark/>
          </w:tcPr>
          <w:p w14:paraId="5FEF0E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w:t>
            </w:r>
          </w:p>
        </w:tc>
        <w:tc>
          <w:tcPr>
            <w:tcW w:w="228" w:type="dxa"/>
            <w:tcBorders>
              <w:top w:val="nil"/>
              <w:left w:val="nil"/>
              <w:bottom w:val="single" w:sz="4" w:space="0" w:color="auto"/>
              <w:right w:val="single" w:sz="4" w:space="0" w:color="auto"/>
            </w:tcBorders>
            <w:shd w:val="clear" w:color="auto" w:fill="auto"/>
            <w:noWrap/>
            <w:vAlign w:val="center"/>
            <w:hideMark/>
          </w:tcPr>
          <w:p w14:paraId="5FEF0E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E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E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w:t>
            </w:r>
          </w:p>
        </w:tc>
        <w:tc>
          <w:tcPr>
            <w:tcW w:w="228" w:type="dxa"/>
            <w:tcBorders>
              <w:top w:val="nil"/>
              <w:left w:val="nil"/>
              <w:bottom w:val="single" w:sz="4" w:space="0" w:color="auto"/>
              <w:right w:val="single" w:sz="4" w:space="0" w:color="auto"/>
            </w:tcBorders>
            <w:shd w:val="clear" w:color="auto" w:fill="auto"/>
            <w:noWrap/>
            <w:vAlign w:val="center"/>
            <w:hideMark/>
          </w:tcPr>
          <w:p w14:paraId="5FEF0E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E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E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7,000</w:t>
            </w:r>
          </w:p>
        </w:tc>
        <w:tc>
          <w:tcPr>
            <w:tcW w:w="228" w:type="dxa"/>
            <w:tcBorders>
              <w:top w:val="nil"/>
              <w:left w:val="nil"/>
              <w:bottom w:val="single" w:sz="4" w:space="0" w:color="auto"/>
              <w:right w:val="single" w:sz="4" w:space="0" w:color="auto"/>
            </w:tcBorders>
            <w:shd w:val="clear" w:color="auto" w:fill="auto"/>
            <w:noWrap/>
            <w:vAlign w:val="center"/>
            <w:hideMark/>
          </w:tcPr>
          <w:p w14:paraId="5FEF0E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auto" w:fill="auto"/>
            <w:noWrap/>
            <w:vAlign w:val="center"/>
            <w:hideMark/>
          </w:tcPr>
          <w:p w14:paraId="5FEF0E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E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228" w:type="dxa"/>
            <w:tcBorders>
              <w:top w:val="nil"/>
              <w:left w:val="nil"/>
              <w:bottom w:val="single" w:sz="4" w:space="0" w:color="auto"/>
              <w:right w:val="single" w:sz="4" w:space="0" w:color="auto"/>
            </w:tcBorders>
            <w:shd w:val="clear" w:color="000000" w:fill="FFFFFF"/>
            <w:vAlign w:val="center"/>
            <w:hideMark/>
          </w:tcPr>
          <w:p w14:paraId="5FEF0E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E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345" w:type="dxa"/>
            <w:tcBorders>
              <w:top w:val="nil"/>
              <w:left w:val="nil"/>
              <w:bottom w:val="single" w:sz="4" w:space="0" w:color="auto"/>
              <w:right w:val="single" w:sz="4" w:space="0" w:color="auto"/>
            </w:tcBorders>
            <w:shd w:val="clear" w:color="000000" w:fill="FFFFFF"/>
            <w:vAlign w:val="center"/>
            <w:hideMark/>
          </w:tcPr>
          <w:p w14:paraId="5FEF0E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228" w:type="dxa"/>
            <w:tcBorders>
              <w:top w:val="nil"/>
              <w:left w:val="nil"/>
              <w:bottom w:val="single" w:sz="4" w:space="0" w:color="auto"/>
              <w:right w:val="single" w:sz="4" w:space="0" w:color="auto"/>
            </w:tcBorders>
            <w:shd w:val="clear" w:color="000000" w:fill="FFFFFF"/>
            <w:vAlign w:val="center"/>
            <w:hideMark/>
          </w:tcPr>
          <w:p w14:paraId="5FEF0E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E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21,000</w:t>
            </w:r>
          </w:p>
        </w:tc>
        <w:tc>
          <w:tcPr>
            <w:tcW w:w="218" w:type="dxa"/>
            <w:tcBorders>
              <w:top w:val="nil"/>
              <w:left w:val="nil"/>
              <w:bottom w:val="single" w:sz="4" w:space="0" w:color="auto"/>
              <w:right w:val="single" w:sz="4" w:space="0" w:color="auto"/>
            </w:tcBorders>
            <w:shd w:val="clear" w:color="000000" w:fill="FFFFFF"/>
            <w:vAlign w:val="center"/>
            <w:hideMark/>
          </w:tcPr>
          <w:p w14:paraId="5FEF0E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E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E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E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E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E3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E1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E1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11.1</w:t>
            </w:r>
          </w:p>
        </w:tc>
        <w:tc>
          <w:tcPr>
            <w:tcW w:w="350" w:type="dxa"/>
            <w:tcBorders>
              <w:top w:val="nil"/>
              <w:left w:val="nil"/>
              <w:bottom w:val="single" w:sz="4" w:space="0" w:color="auto"/>
              <w:right w:val="single" w:sz="4" w:space="0" w:color="auto"/>
            </w:tcBorders>
            <w:shd w:val="clear" w:color="000000" w:fill="D9D9D9"/>
            <w:vAlign w:val="center"/>
            <w:hideMark/>
          </w:tcPr>
          <w:p w14:paraId="5FEF0E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E1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E1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E1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E1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E1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14,000</w:t>
            </w:r>
          </w:p>
        </w:tc>
        <w:tc>
          <w:tcPr>
            <w:tcW w:w="228" w:type="dxa"/>
            <w:tcBorders>
              <w:top w:val="nil"/>
              <w:left w:val="nil"/>
              <w:bottom w:val="single" w:sz="4" w:space="0" w:color="auto"/>
              <w:right w:val="single" w:sz="4" w:space="0" w:color="auto"/>
            </w:tcBorders>
            <w:shd w:val="clear" w:color="000000" w:fill="D9D9D9"/>
            <w:vAlign w:val="center"/>
            <w:hideMark/>
          </w:tcPr>
          <w:p w14:paraId="5FEF0E1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1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2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14,000</w:t>
            </w:r>
          </w:p>
        </w:tc>
        <w:tc>
          <w:tcPr>
            <w:tcW w:w="228" w:type="dxa"/>
            <w:tcBorders>
              <w:top w:val="nil"/>
              <w:left w:val="nil"/>
              <w:bottom w:val="single" w:sz="4" w:space="0" w:color="auto"/>
              <w:right w:val="single" w:sz="4" w:space="0" w:color="auto"/>
            </w:tcBorders>
            <w:shd w:val="clear" w:color="000000" w:fill="D9D9D9"/>
            <w:vAlign w:val="center"/>
            <w:hideMark/>
          </w:tcPr>
          <w:p w14:paraId="5FEF0E2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2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2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14,000</w:t>
            </w:r>
          </w:p>
        </w:tc>
        <w:tc>
          <w:tcPr>
            <w:tcW w:w="228" w:type="dxa"/>
            <w:tcBorders>
              <w:top w:val="nil"/>
              <w:left w:val="nil"/>
              <w:bottom w:val="single" w:sz="4" w:space="0" w:color="auto"/>
              <w:right w:val="single" w:sz="4" w:space="0" w:color="auto"/>
            </w:tcBorders>
            <w:shd w:val="clear" w:color="000000" w:fill="D9D9D9"/>
            <w:vAlign w:val="center"/>
            <w:hideMark/>
          </w:tcPr>
          <w:p w14:paraId="5FEF0E2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2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2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42,000</w:t>
            </w:r>
          </w:p>
        </w:tc>
        <w:tc>
          <w:tcPr>
            <w:tcW w:w="228" w:type="dxa"/>
            <w:tcBorders>
              <w:top w:val="nil"/>
              <w:left w:val="nil"/>
              <w:bottom w:val="single" w:sz="4" w:space="0" w:color="auto"/>
              <w:right w:val="single" w:sz="4" w:space="0" w:color="auto"/>
            </w:tcBorders>
            <w:shd w:val="clear" w:color="000000" w:fill="D9D9D9"/>
            <w:vAlign w:val="center"/>
            <w:hideMark/>
          </w:tcPr>
          <w:p w14:paraId="5FEF0E2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2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42,000</w:t>
            </w:r>
          </w:p>
        </w:tc>
        <w:tc>
          <w:tcPr>
            <w:tcW w:w="345" w:type="dxa"/>
            <w:tcBorders>
              <w:top w:val="nil"/>
              <w:left w:val="nil"/>
              <w:bottom w:val="single" w:sz="4" w:space="0" w:color="auto"/>
              <w:right w:val="single" w:sz="4" w:space="0" w:color="auto"/>
            </w:tcBorders>
            <w:shd w:val="clear" w:color="000000" w:fill="D9D9D9"/>
            <w:vAlign w:val="center"/>
            <w:hideMark/>
          </w:tcPr>
          <w:p w14:paraId="5FEF0E2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42,000</w:t>
            </w:r>
          </w:p>
        </w:tc>
        <w:tc>
          <w:tcPr>
            <w:tcW w:w="228" w:type="dxa"/>
            <w:tcBorders>
              <w:top w:val="nil"/>
              <w:left w:val="nil"/>
              <w:bottom w:val="single" w:sz="4" w:space="0" w:color="auto"/>
              <w:right w:val="single" w:sz="4" w:space="0" w:color="auto"/>
            </w:tcBorders>
            <w:shd w:val="clear" w:color="000000" w:fill="D9D9D9"/>
            <w:vAlign w:val="center"/>
            <w:hideMark/>
          </w:tcPr>
          <w:p w14:paraId="5FEF0E2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2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42,000</w:t>
            </w:r>
          </w:p>
        </w:tc>
        <w:tc>
          <w:tcPr>
            <w:tcW w:w="218" w:type="dxa"/>
            <w:tcBorders>
              <w:top w:val="nil"/>
              <w:left w:val="nil"/>
              <w:bottom w:val="single" w:sz="4" w:space="0" w:color="auto"/>
              <w:right w:val="single" w:sz="4" w:space="0" w:color="auto"/>
            </w:tcBorders>
            <w:shd w:val="clear" w:color="000000" w:fill="D9D9D9"/>
            <w:vAlign w:val="center"/>
            <w:hideMark/>
          </w:tcPr>
          <w:p w14:paraId="5FEF0E2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E2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E2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E2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E3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E4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E3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w:t>
            </w:r>
          </w:p>
        </w:tc>
        <w:tc>
          <w:tcPr>
            <w:tcW w:w="814" w:type="dxa"/>
            <w:tcBorders>
              <w:top w:val="nil"/>
              <w:left w:val="nil"/>
              <w:bottom w:val="single" w:sz="4" w:space="0" w:color="auto"/>
              <w:right w:val="single" w:sz="4" w:space="0" w:color="auto"/>
            </w:tcBorders>
            <w:shd w:val="clear" w:color="auto" w:fill="auto"/>
            <w:vAlign w:val="bottom"/>
            <w:hideMark/>
          </w:tcPr>
          <w:p w14:paraId="5FEF0E33"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RRITJA E AFTËSIVE PËR TË ZBULUAR AKTIVITETIN TERRORIST DUKE PËRFSHIRË KONTROLLIN DHE MBROJTJEN E MATERIALEVE KIMIKE, BIOLOGJIKE, RADIOLOGJIKE, BËRTHAMORE DHE EKSPLOZIVE (CBRNE).</w:t>
            </w:r>
          </w:p>
        </w:tc>
        <w:tc>
          <w:tcPr>
            <w:tcW w:w="350" w:type="dxa"/>
            <w:tcBorders>
              <w:top w:val="nil"/>
              <w:left w:val="nil"/>
              <w:bottom w:val="single" w:sz="4" w:space="0" w:color="auto"/>
              <w:right w:val="single" w:sz="4" w:space="0" w:color="auto"/>
            </w:tcBorders>
            <w:shd w:val="clear" w:color="auto" w:fill="auto"/>
            <w:noWrap/>
            <w:vAlign w:val="center"/>
            <w:hideMark/>
          </w:tcPr>
          <w:p w14:paraId="5FEF0E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E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E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E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E3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3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3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3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3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3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3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4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4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4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4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4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4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4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4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E4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4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E4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E4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E4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E6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E4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E4F"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E5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E5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E5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E5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E5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5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5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5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5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5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5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E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E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E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E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E8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E6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11.2.1</w:t>
            </w:r>
          </w:p>
        </w:tc>
        <w:tc>
          <w:tcPr>
            <w:tcW w:w="814" w:type="dxa"/>
            <w:tcBorders>
              <w:top w:val="nil"/>
              <w:left w:val="nil"/>
              <w:bottom w:val="single" w:sz="4" w:space="0" w:color="auto"/>
              <w:right w:val="single" w:sz="4" w:space="0" w:color="auto"/>
            </w:tcBorders>
            <w:shd w:val="clear" w:color="000000" w:fill="FFFFFF"/>
            <w:vAlign w:val="bottom"/>
            <w:hideMark/>
          </w:tcPr>
          <w:p w14:paraId="5FEF0E6B"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Mbikëqyrja e angazhimeve të Republikës së Shqipërisë në traktatet ndërkombëtare për mospërhapjen e armëve të dëmtimit në masë dhe sistemet e lëshimit të tyre, transferimin e armëve konvencionale dhe zbatimi i masave që synojnë parandalimin e përdorimit të këtyre mallrave për qëllime ushtarake.</w:t>
            </w:r>
          </w:p>
        </w:tc>
        <w:tc>
          <w:tcPr>
            <w:tcW w:w="350" w:type="dxa"/>
            <w:tcBorders>
              <w:top w:val="nil"/>
              <w:left w:val="nil"/>
              <w:bottom w:val="single" w:sz="4" w:space="0" w:color="auto"/>
              <w:right w:val="single" w:sz="4" w:space="0" w:color="auto"/>
            </w:tcBorders>
            <w:shd w:val="clear" w:color="000000" w:fill="FFFFFF"/>
            <w:vAlign w:val="center"/>
            <w:hideMark/>
          </w:tcPr>
          <w:p w14:paraId="5FEF0E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1017001 AL</w:t>
            </w:r>
          </w:p>
        </w:tc>
        <w:tc>
          <w:tcPr>
            <w:tcW w:w="458" w:type="dxa"/>
            <w:tcBorders>
              <w:top w:val="nil"/>
              <w:left w:val="nil"/>
              <w:bottom w:val="single" w:sz="4" w:space="0" w:color="auto"/>
              <w:right w:val="single" w:sz="4" w:space="0" w:color="auto"/>
            </w:tcBorders>
            <w:shd w:val="clear" w:color="000000" w:fill="FFFFFF"/>
            <w:noWrap/>
            <w:vAlign w:val="center"/>
            <w:hideMark/>
          </w:tcPr>
          <w:p w14:paraId="5FEF0E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MM/AKSHE</w:t>
            </w:r>
          </w:p>
        </w:tc>
        <w:tc>
          <w:tcPr>
            <w:tcW w:w="1442" w:type="dxa"/>
            <w:tcBorders>
              <w:top w:val="nil"/>
              <w:left w:val="nil"/>
              <w:bottom w:val="single" w:sz="4" w:space="0" w:color="auto"/>
              <w:right w:val="single" w:sz="4" w:space="0" w:color="auto"/>
            </w:tcBorders>
            <w:shd w:val="clear" w:color="000000" w:fill="FFFFFF"/>
            <w:vAlign w:val="center"/>
            <w:hideMark/>
          </w:tcPr>
          <w:p w14:paraId="5FEF0E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MFE/DPD</w:t>
            </w:r>
          </w:p>
        </w:tc>
        <w:tc>
          <w:tcPr>
            <w:tcW w:w="201" w:type="dxa"/>
            <w:tcBorders>
              <w:top w:val="nil"/>
              <w:left w:val="nil"/>
              <w:bottom w:val="single" w:sz="4" w:space="0" w:color="auto"/>
              <w:right w:val="single" w:sz="4" w:space="0" w:color="auto"/>
            </w:tcBorders>
            <w:shd w:val="clear" w:color="auto" w:fill="auto"/>
            <w:vAlign w:val="center"/>
            <w:hideMark/>
          </w:tcPr>
          <w:p w14:paraId="5FEF0E6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E70"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0E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E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E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E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E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E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E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E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E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345" w:type="dxa"/>
            <w:tcBorders>
              <w:top w:val="nil"/>
              <w:left w:val="nil"/>
              <w:bottom w:val="single" w:sz="4" w:space="0" w:color="auto"/>
              <w:right w:val="single" w:sz="4" w:space="0" w:color="auto"/>
            </w:tcBorders>
            <w:shd w:val="clear" w:color="000000" w:fill="FFFFFF"/>
            <w:vAlign w:val="center"/>
            <w:hideMark/>
          </w:tcPr>
          <w:p w14:paraId="5FEF0E7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13,890,000</w:t>
            </w:r>
          </w:p>
        </w:tc>
        <w:tc>
          <w:tcPr>
            <w:tcW w:w="228" w:type="dxa"/>
            <w:tcBorders>
              <w:top w:val="nil"/>
              <w:left w:val="nil"/>
              <w:bottom w:val="single" w:sz="4" w:space="0" w:color="auto"/>
              <w:right w:val="single" w:sz="4" w:space="0" w:color="auto"/>
            </w:tcBorders>
            <w:shd w:val="clear" w:color="000000" w:fill="FFFFFF"/>
            <w:vAlign w:val="center"/>
            <w:hideMark/>
          </w:tcPr>
          <w:p w14:paraId="5FEF0E7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E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13,890,000</w:t>
            </w:r>
          </w:p>
        </w:tc>
        <w:tc>
          <w:tcPr>
            <w:tcW w:w="345" w:type="dxa"/>
            <w:tcBorders>
              <w:top w:val="nil"/>
              <w:left w:val="nil"/>
              <w:bottom w:val="single" w:sz="4" w:space="0" w:color="auto"/>
              <w:right w:val="single" w:sz="4" w:space="0" w:color="auto"/>
            </w:tcBorders>
            <w:shd w:val="clear" w:color="000000" w:fill="FFFFFF"/>
            <w:vAlign w:val="center"/>
            <w:hideMark/>
          </w:tcPr>
          <w:p w14:paraId="5FEF0E7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13,890,000</w:t>
            </w:r>
          </w:p>
        </w:tc>
        <w:tc>
          <w:tcPr>
            <w:tcW w:w="228" w:type="dxa"/>
            <w:tcBorders>
              <w:top w:val="nil"/>
              <w:left w:val="nil"/>
              <w:bottom w:val="single" w:sz="4" w:space="0" w:color="auto"/>
              <w:right w:val="single" w:sz="4" w:space="0" w:color="auto"/>
            </w:tcBorders>
            <w:shd w:val="clear" w:color="000000" w:fill="FFFFFF"/>
            <w:vAlign w:val="center"/>
            <w:hideMark/>
          </w:tcPr>
          <w:p w14:paraId="5FEF0E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E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13,890,000</w:t>
            </w:r>
          </w:p>
        </w:tc>
        <w:tc>
          <w:tcPr>
            <w:tcW w:w="218" w:type="dxa"/>
            <w:tcBorders>
              <w:top w:val="nil"/>
              <w:left w:val="nil"/>
              <w:bottom w:val="single" w:sz="4" w:space="0" w:color="auto"/>
              <w:right w:val="single" w:sz="4" w:space="0" w:color="auto"/>
            </w:tcBorders>
            <w:shd w:val="clear" w:color="000000" w:fill="FFFFFF"/>
            <w:vAlign w:val="center"/>
            <w:hideMark/>
          </w:tcPr>
          <w:p w14:paraId="5FEF0E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E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E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E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E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EA1"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E8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E8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11.2</w:t>
            </w:r>
          </w:p>
        </w:tc>
        <w:tc>
          <w:tcPr>
            <w:tcW w:w="350" w:type="dxa"/>
            <w:tcBorders>
              <w:top w:val="nil"/>
              <w:left w:val="nil"/>
              <w:bottom w:val="single" w:sz="4" w:space="0" w:color="auto"/>
              <w:right w:val="single" w:sz="4" w:space="0" w:color="auto"/>
            </w:tcBorders>
            <w:shd w:val="clear" w:color="000000" w:fill="D9D9D9"/>
            <w:vAlign w:val="center"/>
            <w:hideMark/>
          </w:tcPr>
          <w:p w14:paraId="5FEF0E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E8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E8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E8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E8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E8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228" w:type="dxa"/>
            <w:tcBorders>
              <w:top w:val="nil"/>
              <w:left w:val="nil"/>
              <w:bottom w:val="single" w:sz="4" w:space="0" w:color="auto"/>
              <w:right w:val="single" w:sz="4" w:space="0" w:color="auto"/>
            </w:tcBorders>
            <w:shd w:val="clear" w:color="000000" w:fill="D9D9D9"/>
            <w:vAlign w:val="center"/>
            <w:hideMark/>
          </w:tcPr>
          <w:p w14:paraId="5FEF0E8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8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03" w:type="dxa"/>
            <w:tcBorders>
              <w:top w:val="nil"/>
              <w:left w:val="nil"/>
              <w:bottom w:val="single" w:sz="4" w:space="0" w:color="auto"/>
              <w:right w:val="single" w:sz="4" w:space="0" w:color="auto"/>
            </w:tcBorders>
            <w:shd w:val="clear" w:color="000000" w:fill="D9D9D9"/>
            <w:vAlign w:val="center"/>
            <w:hideMark/>
          </w:tcPr>
          <w:p w14:paraId="5FEF0E9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228" w:type="dxa"/>
            <w:tcBorders>
              <w:top w:val="nil"/>
              <w:left w:val="nil"/>
              <w:bottom w:val="single" w:sz="4" w:space="0" w:color="auto"/>
              <w:right w:val="single" w:sz="4" w:space="0" w:color="auto"/>
            </w:tcBorders>
            <w:shd w:val="clear" w:color="000000" w:fill="D9D9D9"/>
            <w:vAlign w:val="center"/>
            <w:hideMark/>
          </w:tcPr>
          <w:p w14:paraId="5FEF0E9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9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03" w:type="dxa"/>
            <w:tcBorders>
              <w:top w:val="nil"/>
              <w:left w:val="nil"/>
              <w:bottom w:val="single" w:sz="4" w:space="0" w:color="auto"/>
              <w:right w:val="single" w:sz="4" w:space="0" w:color="auto"/>
            </w:tcBorders>
            <w:shd w:val="clear" w:color="000000" w:fill="D9D9D9"/>
            <w:vAlign w:val="center"/>
            <w:hideMark/>
          </w:tcPr>
          <w:p w14:paraId="5FEF0E9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228" w:type="dxa"/>
            <w:tcBorders>
              <w:top w:val="nil"/>
              <w:left w:val="nil"/>
              <w:bottom w:val="single" w:sz="4" w:space="0" w:color="auto"/>
              <w:right w:val="single" w:sz="4" w:space="0" w:color="auto"/>
            </w:tcBorders>
            <w:shd w:val="clear" w:color="000000" w:fill="D9D9D9"/>
            <w:vAlign w:val="center"/>
            <w:hideMark/>
          </w:tcPr>
          <w:p w14:paraId="5FEF0E9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9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45" w:type="dxa"/>
            <w:tcBorders>
              <w:top w:val="nil"/>
              <w:left w:val="nil"/>
              <w:bottom w:val="single" w:sz="4" w:space="0" w:color="auto"/>
              <w:right w:val="single" w:sz="4" w:space="0" w:color="auto"/>
            </w:tcBorders>
            <w:shd w:val="clear" w:color="000000" w:fill="D9D9D9"/>
            <w:vAlign w:val="center"/>
            <w:hideMark/>
          </w:tcPr>
          <w:p w14:paraId="5FEF0E9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13,890,000</w:t>
            </w:r>
          </w:p>
        </w:tc>
        <w:tc>
          <w:tcPr>
            <w:tcW w:w="228" w:type="dxa"/>
            <w:tcBorders>
              <w:top w:val="nil"/>
              <w:left w:val="nil"/>
              <w:bottom w:val="single" w:sz="4" w:space="0" w:color="auto"/>
              <w:right w:val="single" w:sz="4" w:space="0" w:color="auto"/>
            </w:tcBorders>
            <w:shd w:val="clear" w:color="000000" w:fill="D9D9D9"/>
            <w:vAlign w:val="center"/>
            <w:hideMark/>
          </w:tcPr>
          <w:p w14:paraId="5FEF0E9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9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13,890,000</w:t>
            </w:r>
          </w:p>
        </w:tc>
        <w:tc>
          <w:tcPr>
            <w:tcW w:w="345" w:type="dxa"/>
            <w:tcBorders>
              <w:top w:val="nil"/>
              <w:left w:val="nil"/>
              <w:bottom w:val="single" w:sz="4" w:space="0" w:color="auto"/>
              <w:right w:val="single" w:sz="4" w:space="0" w:color="auto"/>
            </w:tcBorders>
            <w:shd w:val="clear" w:color="000000" w:fill="D9D9D9"/>
            <w:vAlign w:val="center"/>
            <w:hideMark/>
          </w:tcPr>
          <w:p w14:paraId="5FEF0E9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13,890,000</w:t>
            </w:r>
          </w:p>
        </w:tc>
        <w:tc>
          <w:tcPr>
            <w:tcW w:w="228" w:type="dxa"/>
            <w:tcBorders>
              <w:top w:val="nil"/>
              <w:left w:val="nil"/>
              <w:bottom w:val="single" w:sz="4" w:space="0" w:color="auto"/>
              <w:right w:val="single" w:sz="4" w:space="0" w:color="auto"/>
            </w:tcBorders>
            <w:shd w:val="clear" w:color="000000" w:fill="D9D9D9"/>
            <w:vAlign w:val="center"/>
            <w:hideMark/>
          </w:tcPr>
          <w:p w14:paraId="5FEF0E9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9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13,890,000</w:t>
            </w:r>
          </w:p>
        </w:tc>
        <w:tc>
          <w:tcPr>
            <w:tcW w:w="218" w:type="dxa"/>
            <w:tcBorders>
              <w:top w:val="nil"/>
              <w:left w:val="nil"/>
              <w:bottom w:val="single" w:sz="4" w:space="0" w:color="auto"/>
              <w:right w:val="single" w:sz="4" w:space="0" w:color="auto"/>
            </w:tcBorders>
            <w:shd w:val="clear" w:color="000000" w:fill="D9D9D9"/>
            <w:vAlign w:val="center"/>
            <w:hideMark/>
          </w:tcPr>
          <w:p w14:paraId="5FEF0E9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E9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E9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E9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EA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EBD"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EA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EA3"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11</w:t>
            </w:r>
          </w:p>
        </w:tc>
        <w:tc>
          <w:tcPr>
            <w:tcW w:w="350" w:type="dxa"/>
            <w:tcBorders>
              <w:top w:val="nil"/>
              <w:left w:val="nil"/>
              <w:bottom w:val="single" w:sz="4" w:space="0" w:color="auto"/>
              <w:right w:val="single" w:sz="4" w:space="0" w:color="auto"/>
            </w:tcBorders>
            <w:shd w:val="clear" w:color="000000" w:fill="D9D9D9"/>
            <w:vAlign w:val="center"/>
            <w:hideMark/>
          </w:tcPr>
          <w:p w14:paraId="5FEF0E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EA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EA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EA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EA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EA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4,644,000</w:t>
            </w:r>
          </w:p>
        </w:tc>
        <w:tc>
          <w:tcPr>
            <w:tcW w:w="228" w:type="dxa"/>
            <w:tcBorders>
              <w:top w:val="nil"/>
              <w:left w:val="nil"/>
              <w:bottom w:val="single" w:sz="4" w:space="0" w:color="auto"/>
              <w:right w:val="single" w:sz="4" w:space="0" w:color="auto"/>
            </w:tcBorders>
            <w:shd w:val="clear" w:color="000000" w:fill="D9D9D9"/>
            <w:vAlign w:val="center"/>
            <w:hideMark/>
          </w:tcPr>
          <w:p w14:paraId="5FEF0EA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A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03" w:type="dxa"/>
            <w:tcBorders>
              <w:top w:val="nil"/>
              <w:left w:val="nil"/>
              <w:bottom w:val="single" w:sz="4" w:space="0" w:color="auto"/>
              <w:right w:val="single" w:sz="4" w:space="0" w:color="auto"/>
            </w:tcBorders>
            <w:shd w:val="clear" w:color="000000" w:fill="D9D9D9"/>
            <w:vAlign w:val="center"/>
            <w:hideMark/>
          </w:tcPr>
          <w:p w14:paraId="5FEF0EA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4,644,000</w:t>
            </w:r>
          </w:p>
        </w:tc>
        <w:tc>
          <w:tcPr>
            <w:tcW w:w="228" w:type="dxa"/>
            <w:tcBorders>
              <w:top w:val="nil"/>
              <w:left w:val="nil"/>
              <w:bottom w:val="single" w:sz="4" w:space="0" w:color="auto"/>
              <w:right w:val="single" w:sz="4" w:space="0" w:color="auto"/>
            </w:tcBorders>
            <w:shd w:val="clear" w:color="000000" w:fill="D9D9D9"/>
            <w:vAlign w:val="center"/>
            <w:hideMark/>
          </w:tcPr>
          <w:p w14:paraId="5FEF0EA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A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03" w:type="dxa"/>
            <w:tcBorders>
              <w:top w:val="nil"/>
              <w:left w:val="nil"/>
              <w:bottom w:val="single" w:sz="4" w:space="0" w:color="auto"/>
              <w:right w:val="single" w:sz="4" w:space="0" w:color="auto"/>
            </w:tcBorders>
            <w:shd w:val="clear" w:color="000000" w:fill="D9D9D9"/>
            <w:vAlign w:val="center"/>
            <w:hideMark/>
          </w:tcPr>
          <w:p w14:paraId="5FEF0EA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4,644,000</w:t>
            </w:r>
          </w:p>
        </w:tc>
        <w:tc>
          <w:tcPr>
            <w:tcW w:w="228" w:type="dxa"/>
            <w:tcBorders>
              <w:top w:val="nil"/>
              <w:left w:val="nil"/>
              <w:bottom w:val="single" w:sz="4" w:space="0" w:color="auto"/>
              <w:right w:val="single" w:sz="4" w:space="0" w:color="auto"/>
            </w:tcBorders>
            <w:shd w:val="clear" w:color="000000" w:fill="D9D9D9"/>
            <w:vAlign w:val="center"/>
            <w:hideMark/>
          </w:tcPr>
          <w:p w14:paraId="5FEF0EB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EB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45" w:type="dxa"/>
            <w:tcBorders>
              <w:top w:val="nil"/>
              <w:left w:val="nil"/>
              <w:bottom w:val="single" w:sz="4" w:space="0" w:color="auto"/>
              <w:right w:val="single" w:sz="4" w:space="0" w:color="auto"/>
            </w:tcBorders>
            <w:shd w:val="clear" w:color="000000" w:fill="D9D9D9"/>
            <w:vAlign w:val="center"/>
            <w:hideMark/>
          </w:tcPr>
          <w:p w14:paraId="5FEF0EB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13,932,000</w:t>
            </w:r>
          </w:p>
        </w:tc>
        <w:tc>
          <w:tcPr>
            <w:tcW w:w="228" w:type="dxa"/>
            <w:tcBorders>
              <w:top w:val="nil"/>
              <w:left w:val="nil"/>
              <w:bottom w:val="single" w:sz="4" w:space="0" w:color="auto"/>
              <w:right w:val="single" w:sz="4" w:space="0" w:color="auto"/>
            </w:tcBorders>
            <w:shd w:val="clear" w:color="000000" w:fill="D9D9D9"/>
            <w:vAlign w:val="center"/>
            <w:hideMark/>
          </w:tcPr>
          <w:p w14:paraId="5FEF0EB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B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13,932,000</w:t>
            </w:r>
          </w:p>
        </w:tc>
        <w:tc>
          <w:tcPr>
            <w:tcW w:w="345" w:type="dxa"/>
            <w:tcBorders>
              <w:top w:val="nil"/>
              <w:left w:val="nil"/>
              <w:bottom w:val="single" w:sz="4" w:space="0" w:color="auto"/>
              <w:right w:val="single" w:sz="4" w:space="0" w:color="auto"/>
            </w:tcBorders>
            <w:shd w:val="clear" w:color="000000" w:fill="D9D9D9"/>
            <w:vAlign w:val="center"/>
            <w:hideMark/>
          </w:tcPr>
          <w:p w14:paraId="5FEF0EB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13,932,000</w:t>
            </w:r>
          </w:p>
        </w:tc>
        <w:tc>
          <w:tcPr>
            <w:tcW w:w="228" w:type="dxa"/>
            <w:tcBorders>
              <w:top w:val="nil"/>
              <w:left w:val="nil"/>
              <w:bottom w:val="single" w:sz="4" w:space="0" w:color="auto"/>
              <w:right w:val="single" w:sz="4" w:space="0" w:color="auto"/>
            </w:tcBorders>
            <w:shd w:val="clear" w:color="000000" w:fill="D9D9D9"/>
            <w:vAlign w:val="center"/>
            <w:hideMark/>
          </w:tcPr>
          <w:p w14:paraId="5FEF0EB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EB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13,932,000</w:t>
            </w:r>
          </w:p>
        </w:tc>
        <w:tc>
          <w:tcPr>
            <w:tcW w:w="218" w:type="dxa"/>
            <w:tcBorders>
              <w:top w:val="nil"/>
              <w:left w:val="nil"/>
              <w:bottom w:val="single" w:sz="4" w:space="0" w:color="auto"/>
              <w:right w:val="single" w:sz="4" w:space="0" w:color="auto"/>
            </w:tcBorders>
            <w:shd w:val="clear" w:color="000000" w:fill="D9D9D9"/>
            <w:vAlign w:val="center"/>
            <w:hideMark/>
          </w:tcPr>
          <w:p w14:paraId="5FEF0EB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EB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EB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EB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EB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EBF"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EBE"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EC1"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EC0"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I.4 QASJA MBROJTËSE</w:t>
            </w:r>
          </w:p>
        </w:tc>
      </w:tr>
      <w:tr w:rsidR="00D845EC" w:rsidRPr="00795698" w14:paraId="5FEF0EC3"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EC2"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12: RRITJA E NIVELIT TË RUAJTJES DHE MBROJTJES SË INFRASTRUKTURËS KRITIKE.</w:t>
            </w:r>
          </w:p>
        </w:tc>
      </w:tr>
      <w:tr w:rsidR="00D845EC" w:rsidRPr="00795698" w14:paraId="5FEF0EC5"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EC4"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 Mbështetja e Luftimit, Kodi i Programit:02150</w:t>
            </w:r>
          </w:p>
        </w:tc>
      </w:tr>
      <w:tr w:rsidR="00D845EC" w:rsidRPr="00795698" w14:paraId="5FEF0EE1"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EC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12.1</w:t>
            </w:r>
          </w:p>
        </w:tc>
        <w:tc>
          <w:tcPr>
            <w:tcW w:w="814" w:type="dxa"/>
            <w:tcBorders>
              <w:top w:val="nil"/>
              <w:left w:val="nil"/>
              <w:bottom w:val="single" w:sz="4" w:space="0" w:color="auto"/>
              <w:right w:val="single" w:sz="4" w:space="0" w:color="auto"/>
            </w:tcBorders>
            <w:shd w:val="clear" w:color="auto" w:fill="auto"/>
            <w:vAlign w:val="bottom"/>
            <w:hideMark/>
          </w:tcPr>
          <w:p w14:paraId="5FEF0EC7"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OBJEKTIVI SPECIFIK: HARTIMI I PLANEVE TË BASHKËPUNIMIT MIDIS STRUKTURAVE LIGJZBATUESE DHE INSTITUCIONEVE PËRGJEGJËSE QË KANË NË ADMINISTRIM INFRASTRUKTURËN KRITIKE TË VENDIT PËR PARANDALIMIN E AKTEVE TË MUNDSHME TERRORISTE </w:t>
            </w:r>
          </w:p>
        </w:tc>
        <w:tc>
          <w:tcPr>
            <w:tcW w:w="350" w:type="dxa"/>
            <w:tcBorders>
              <w:top w:val="nil"/>
              <w:left w:val="nil"/>
              <w:bottom w:val="single" w:sz="4" w:space="0" w:color="auto"/>
              <w:right w:val="single" w:sz="4" w:space="0" w:color="auto"/>
            </w:tcBorders>
            <w:shd w:val="clear" w:color="auto" w:fill="auto"/>
            <w:noWrap/>
            <w:vAlign w:val="center"/>
            <w:hideMark/>
          </w:tcPr>
          <w:p w14:paraId="5FEF0EC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EC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EC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E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E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C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C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E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E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E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E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EFD"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EE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EE3"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EE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EE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EE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E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E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E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E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E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E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E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E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E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E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E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F19"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EF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12.1.1</w:t>
            </w:r>
          </w:p>
        </w:tc>
        <w:tc>
          <w:tcPr>
            <w:tcW w:w="814" w:type="dxa"/>
            <w:tcBorders>
              <w:top w:val="nil"/>
              <w:left w:val="nil"/>
              <w:bottom w:val="single" w:sz="4" w:space="0" w:color="auto"/>
              <w:right w:val="single" w:sz="4" w:space="0" w:color="auto"/>
            </w:tcBorders>
            <w:shd w:val="clear" w:color="auto" w:fill="auto"/>
            <w:vAlign w:val="bottom"/>
            <w:hideMark/>
          </w:tcPr>
          <w:p w14:paraId="5FEF0EFF"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Bashkëpunimi në ndarjen e informacioneve kritike mbi aktivitete të karakterit terrorist, me agjencitë ligjzbatuese dhe të inteligjencës në vend dhe ato të vendeve partnere dhe anëtare të NATO-s.</w:t>
            </w:r>
          </w:p>
        </w:tc>
        <w:tc>
          <w:tcPr>
            <w:tcW w:w="350" w:type="dxa"/>
            <w:tcBorders>
              <w:top w:val="nil"/>
              <w:left w:val="nil"/>
              <w:bottom w:val="single" w:sz="4" w:space="0" w:color="auto"/>
              <w:right w:val="single" w:sz="4" w:space="0" w:color="auto"/>
            </w:tcBorders>
            <w:shd w:val="clear" w:color="000000" w:fill="FFFFFF"/>
            <w:vAlign w:val="center"/>
            <w:hideMark/>
          </w:tcPr>
          <w:p w14:paraId="5FEF0F00" w14:textId="6EB583BC"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p>
        </w:tc>
        <w:tc>
          <w:tcPr>
            <w:tcW w:w="458" w:type="dxa"/>
            <w:tcBorders>
              <w:top w:val="nil"/>
              <w:left w:val="nil"/>
              <w:bottom w:val="single" w:sz="4" w:space="0" w:color="auto"/>
              <w:right w:val="single" w:sz="4" w:space="0" w:color="auto"/>
            </w:tcBorders>
            <w:shd w:val="clear" w:color="auto" w:fill="auto"/>
            <w:vAlign w:val="center"/>
            <w:hideMark/>
          </w:tcPr>
          <w:p w14:paraId="5FEF0F0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MM/AISM</w:t>
            </w:r>
          </w:p>
        </w:tc>
        <w:tc>
          <w:tcPr>
            <w:tcW w:w="1442" w:type="dxa"/>
            <w:tcBorders>
              <w:top w:val="nil"/>
              <w:left w:val="nil"/>
              <w:bottom w:val="single" w:sz="4" w:space="0" w:color="auto"/>
              <w:right w:val="single" w:sz="4" w:space="0" w:color="auto"/>
            </w:tcBorders>
            <w:shd w:val="clear" w:color="auto" w:fill="auto"/>
            <w:vAlign w:val="center"/>
            <w:hideMark/>
          </w:tcPr>
          <w:p w14:paraId="5FEF0F0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F0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0F04"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F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984,000</w:t>
            </w:r>
          </w:p>
        </w:tc>
        <w:tc>
          <w:tcPr>
            <w:tcW w:w="228" w:type="dxa"/>
            <w:tcBorders>
              <w:top w:val="nil"/>
              <w:left w:val="nil"/>
              <w:bottom w:val="single" w:sz="4" w:space="0" w:color="auto"/>
              <w:right w:val="single" w:sz="4" w:space="0" w:color="auto"/>
            </w:tcBorders>
            <w:shd w:val="clear" w:color="000000" w:fill="FFFFFF"/>
            <w:vAlign w:val="center"/>
            <w:hideMark/>
          </w:tcPr>
          <w:p w14:paraId="5FEF0F0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F0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984,000</w:t>
            </w:r>
          </w:p>
        </w:tc>
        <w:tc>
          <w:tcPr>
            <w:tcW w:w="303" w:type="dxa"/>
            <w:tcBorders>
              <w:top w:val="nil"/>
              <w:left w:val="nil"/>
              <w:bottom w:val="single" w:sz="4" w:space="0" w:color="auto"/>
              <w:right w:val="single" w:sz="4" w:space="0" w:color="auto"/>
            </w:tcBorders>
            <w:shd w:val="clear" w:color="000000" w:fill="FFFFFF"/>
            <w:vAlign w:val="center"/>
            <w:hideMark/>
          </w:tcPr>
          <w:p w14:paraId="5FEF0F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984,000</w:t>
            </w:r>
          </w:p>
        </w:tc>
        <w:tc>
          <w:tcPr>
            <w:tcW w:w="228" w:type="dxa"/>
            <w:tcBorders>
              <w:top w:val="nil"/>
              <w:left w:val="nil"/>
              <w:bottom w:val="single" w:sz="4" w:space="0" w:color="auto"/>
              <w:right w:val="single" w:sz="4" w:space="0" w:color="auto"/>
            </w:tcBorders>
            <w:shd w:val="clear" w:color="000000" w:fill="FFFFFF"/>
            <w:vAlign w:val="center"/>
            <w:hideMark/>
          </w:tcPr>
          <w:p w14:paraId="5FEF0F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F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984,000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F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F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vAlign w:val="center"/>
            <w:hideMark/>
          </w:tcPr>
          <w:p w14:paraId="5FEF0F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4,630,000</w:t>
            </w:r>
          </w:p>
        </w:tc>
        <w:tc>
          <w:tcPr>
            <w:tcW w:w="345" w:type="dxa"/>
            <w:tcBorders>
              <w:top w:val="nil"/>
              <w:left w:val="nil"/>
              <w:bottom w:val="single" w:sz="4" w:space="0" w:color="auto"/>
              <w:right w:val="single" w:sz="4" w:space="0" w:color="auto"/>
            </w:tcBorders>
            <w:shd w:val="clear" w:color="000000" w:fill="FFFFFF"/>
            <w:vAlign w:val="center"/>
            <w:hideMark/>
          </w:tcPr>
          <w:p w14:paraId="5FEF0F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6,598,000</w:t>
            </w:r>
          </w:p>
        </w:tc>
        <w:tc>
          <w:tcPr>
            <w:tcW w:w="228" w:type="dxa"/>
            <w:tcBorders>
              <w:top w:val="nil"/>
              <w:left w:val="nil"/>
              <w:bottom w:val="single" w:sz="4" w:space="0" w:color="auto"/>
              <w:right w:val="single" w:sz="4" w:space="0" w:color="auto"/>
            </w:tcBorders>
            <w:shd w:val="clear" w:color="000000" w:fill="FFFFFF"/>
            <w:vAlign w:val="center"/>
            <w:hideMark/>
          </w:tcPr>
          <w:p w14:paraId="5FEF0F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F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6,598,000</w:t>
            </w:r>
          </w:p>
        </w:tc>
        <w:tc>
          <w:tcPr>
            <w:tcW w:w="345" w:type="dxa"/>
            <w:tcBorders>
              <w:top w:val="nil"/>
              <w:left w:val="nil"/>
              <w:bottom w:val="single" w:sz="4" w:space="0" w:color="auto"/>
              <w:right w:val="single" w:sz="4" w:space="0" w:color="auto"/>
            </w:tcBorders>
            <w:shd w:val="clear" w:color="000000" w:fill="FFFFFF"/>
            <w:vAlign w:val="center"/>
            <w:hideMark/>
          </w:tcPr>
          <w:p w14:paraId="5FEF0F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6,598,000</w:t>
            </w:r>
          </w:p>
        </w:tc>
        <w:tc>
          <w:tcPr>
            <w:tcW w:w="228" w:type="dxa"/>
            <w:tcBorders>
              <w:top w:val="nil"/>
              <w:left w:val="nil"/>
              <w:bottom w:val="single" w:sz="4" w:space="0" w:color="auto"/>
              <w:right w:val="single" w:sz="4" w:space="0" w:color="auto"/>
            </w:tcBorders>
            <w:shd w:val="clear" w:color="000000" w:fill="FFFFFF"/>
            <w:vAlign w:val="center"/>
            <w:hideMark/>
          </w:tcPr>
          <w:p w14:paraId="5FEF0F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F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6,598,000</w:t>
            </w:r>
          </w:p>
        </w:tc>
        <w:tc>
          <w:tcPr>
            <w:tcW w:w="218" w:type="dxa"/>
            <w:tcBorders>
              <w:top w:val="nil"/>
              <w:left w:val="nil"/>
              <w:bottom w:val="single" w:sz="4" w:space="0" w:color="auto"/>
              <w:right w:val="single" w:sz="4" w:space="0" w:color="auto"/>
            </w:tcBorders>
            <w:shd w:val="clear" w:color="000000" w:fill="FFFFFF"/>
            <w:vAlign w:val="center"/>
            <w:hideMark/>
          </w:tcPr>
          <w:p w14:paraId="5FEF0F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F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F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F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F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F35"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F1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F1B"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12.1</w:t>
            </w:r>
          </w:p>
        </w:tc>
        <w:tc>
          <w:tcPr>
            <w:tcW w:w="350" w:type="dxa"/>
            <w:tcBorders>
              <w:top w:val="nil"/>
              <w:left w:val="nil"/>
              <w:bottom w:val="single" w:sz="4" w:space="0" w:color="auto"/>
              <w:right w:val="single" w:sz="4" w:space="0" w:color="auto"/>
            </w:tcBorders>
            <w:shd w:val="clear" w:color="000000" w:fill="D9D9D9"/>
            <w:vAlign w:val="center"/>
            <w:hideMark/>
          </w:tcPr>
          <w:p w14:paraId="5FEF0F1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F1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F1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F1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F2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F2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228" w:type="dxa"/>
            <w:tcBorders>
              <w:top w:val="nil"/>
              <w:left w:val="nil"/>
              <w:bottom w:val="single" w:sz="4" w:space="0" w:color="auto"/>
              <w:right w:val="single" w:sz="4" w:space="0" w:color="auto"/>
            </w:tcBorders>
            <w:shd w:val="clear" w:color="000000" w:fill="D9D9D9"/>
            <w:vAlign w:val="center"/>
            <w:hideMark/>
          </w:tcPr>
          <w:p w14:paraId="5FEF0F2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2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303" w:type="dxa"/>
            <w:tcBorders>
              <w:top w:val="nil"/>
              <w:left w:val="nil"/>
              <w:bottom w:val="single" w:sz="4" w:space="0" w:color="auto"/>
              <w:right w:val="single" w:sz="4" w:space="0" w:color="auto"/>
            </w:tcBorders>
            <w:shd w:val="clear" w:color="000000" w:fill="D9D9D9"/>
            <w:vAlign w:val="center"/>
            <w:hideMark/>
          </w:tcPr>
          <w:p w14:paraId="5FEF0F2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228" w:type="dxa"/>
            <w:tcBorders>
              <w:top w:val="nil"/>
              <w:left w:val="nil"/>
              <w:bottom w:val="single" w:sz="4" w:space="0" w:color="auto"/>
              <w:right w:val="single" w:sz="4" w:space="0" w:color="auto"/>
            </w:tcBorders>
            <w:shd w:val="clear" w:color="000000" w:fill="D9D9D9"/>
            <w:vAlign w:val="center"/>
            <w:hideMark/>
          </w:tcPr>
          <w:p w14:paraId="5FEF0F2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2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303" w:type="dxa"/>
            <w:tcBorders>
              <w:top w:val="nil"/>
              <w:left w:val="nil"/>
              <w:bottom w:val="single" w:sz="4" w:space="0" w:color="auto"/>
              <w:right w:val="single" w:sz="4" w:space="0" w:color="auto"/>
            </w:tcBorders>
            <w:shd w:val="clear" w:color="000000" w:fill="D9D9D9"/>
            <w:vAlign w:val="center"/>
            <w:hideMark/>
          </w:tcPr>
          <w:p w14:paraId="5FEF0F2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228" w:type="dxa"/>
            <w:tcBorders>
              <w:top w:val="nil"/>
              <w:left w:val="nil"/>
              <w:bottom w:val="single" w:sz="4" w:space="0" w:color="auto"/>
              <w:right w:val="single" w:sz="4" w:space="0" w:color="auto"/>
            </w:tcBorders>
            <w:shd w:val="clear" w:color="000000" w:fill="D9D9D9"/>
            <w:vAlign w:val="center"/>
            <w:hideMark/>
          </w:tcPr>
          <w:p w14:paraId="5FEF0F2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2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45" w:type="dxa"/>
            <w:tcBorders>
              <w:top w:val="nil"/>
              <w:left w:val="nil"/>
              <w:bottom w:val="single" w:sz="4" w:space="0" w:color="auto"/>
              <w:right w:val="single" w:sz="4" w:space="0" w:color="auto"/>
            </w:tcBorders>
            <w:shd w:val="clear" w:color="000000" w:fill="D9D9D9"/>
            <w:vAlign w:val="center"/>
            <w:hideMark/>
          </w:tcPr>
          <w:p w14:paraId="5FEF0F2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228" w:type="dxa"/>
            <w:tcBorders>
              <w:top w:val="nil"/>
              <w:left w:val="nil"/>
              <w:bottom w:val="single" w:sz="4" w:space="0" w:color="auto"/>
              <w:right w:val="single" w:sz="4" w:space="0" w:color="auto"/>
            </w:tcBorders>
            <w:shd w:val="clear" w:color="000000" w:fill="D9D9D9"/>
            <w:vAlign w:val="center"/>
            <w:hideMark/>
          </w:tcPr>
          <w:p w14:paraId="5FEF0F2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F2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345" w:type="dxa"/>
            <w:tcBorders>
              <w:top w:val="nil"/>
              <w:left w:val="nil"/>
              <w:bottom w:val="single" w:sz="4" w:space="0" w:color="auto"/>
              <w:right w:val="single" w:sz="4" w:space="0" w:color="auto"/>
            </w:tcBorders>
            <w:shd w:val="clear" w:color="000000" w:fill="D9D9D9"/>
            <w:vAlign w:val="center"/>
            <w:hideMark/>
          </w:tcPr>
          <w:p w14:paraId="5FEF0F2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228" w:type="dxa"/>
            <w:tcBorders>
              <w:top w:val="nil"/>
              <w:left w:val="nil"/>
              <w:bottom w:val="single" w:sz="4" w:space="0" w:color="auto"/>
              <w:right w:val="single" w:sz="4" w:space="0" w:color="auto"/>
            </w:tcBorders>
            <w:shd w:val="clear" w:color="000000" w:fill="D9D9D9"/>
            <w:vAlign w:val="center"/>
            <w:hideMark/>
          </w:tcPr>
          <w:p w14:paraId="5FEF0F2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F2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218" w:type="dxa"/>
            <w:tcBorders>
              <w:top w:val="nil"/>
              <w:left w:val="nil"/>
              <w:bottom w:val="single" w:sz="4" w:space="0" w:color="auto"/>
              <w:right w:val="single" w:sz="4" w:space="0" w:color="auto"/>
            </w:tcBorders>
            <w:shd w:val="clear" w:color="000000" w:fill="D9D9D9"/>
            <w:vAlign w:val="center"/>
            <w:hideMark/>
          </w:tcPr>
          <w:p w14:paraId="5FEF0F3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F3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F3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F3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F3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F50"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F3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164" w:type="dxa"/>
            <w:gridSpan w:val="2"/>
            <w:tcBorders>
              <w:top w:val="single" w:sz="4" w:space="0" w:color="auto"/>
              <w:left w:val="nil"/>
              <w:bottom w:val="single" w:sz="4" w:space="0" w:color="auto"/>
              <w:right w:val="single" w:sz="4" w:space="0" w:color="auto"/>
            </w:tcBorders>
            <w:shd w:val="clear" w:color="000000" w:fill="D9D9D9"/>
            <w:vAlign w:val="center"/>
            <w:hideMark/>
          </w:tcPr>
          <w:p w14:paraId="5FEF0F37"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12</w:t>
            </w:r>
          </w:p>
        </w:tc>
        <w:tc>
          <w:tcPr>
            <w:tcW w:w="458" w:type="dxa"/>
            <w:tcBorders>
              <w:top w:val="nil"/>
              <w:left w:val="nil"/>
              <w:bottom w:val="single" w:sz="4" w:space="0" w:color="auto"/>
              <w:right w:val="single" w:sz="4" w:space="0" w:color="auto"/>
            </w:tcBorders>
            <w:shd w:val="clear" w:color="000000" w:fill="D9D9D9"/>
            <w:vAlign w:val="center"/>
            <w:hideMark/>
          </w:tcPr>
          <w:p w14:paraId="5FEF0F3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F3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F3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F3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F3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228" w:type="dxa"/>
            <w:tcBorders>
              <w:top w:val="nil"/>
              <w:left w:val="nil"/>
              <w:bottom w:val="single" w:sz="4" w:space="0" w:color="auto"/>
              <w:right w:val="single" w:sz="4" w:space="0" w:color="auto"/>
            </w:tcBorders>
            <w:shd w:val="clear" w:color="000000" w:fill="D9D9D9"/>
            <w:vAlign w:val="center"/>
            <w:hideMark/>
          </w:tcPr>
          <w:p w14:paraId="5FEF0F3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3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303" w:type="dxa"/>
            <w:tcBorders>
              <w:top w:val="nil"/>
              <w:left w:val="nil"/>
              <w:bottom w:val="single" w:sz="4" w:space="0" w:color="auto"/>
              <w:right w:val="single" w:sz="4" w:space="0" w:color="auto"/>
            </w:tcBorders>
            <w:shd w:val="clear" w:color="000000" w:fill="D9D9D9"/>
            <w:vAlign w:val="center"/>
            <w:hideMark/>
          </w:tcPr>
          <w:p w14:paraId="5FEF0F3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228" w:type="dxa"/>
            <w:tcBorders>
              <w:top w:val="nil"/>
              <w:left w:val="nil"/>
              <w:bottom w:val="single" w:sz="4" w:space="0" w:color="auto"/>
              <w:right w:val="single" w:sz="4" w:space="0" w:color="auto"/>
            </w:tcBorders>
            <w:shd w:val="clear" w:color="000000" w:fill="D9D9D9"/>
            <w:vAlign w:val="center"/>
            <w:hideMark/>
          </w:tcPr>
          <w:p w14:paraId="5FEF0F4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4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984,000</w:t>
            </w:r>
          </w:p>
        </w:tc>
        <w:tc>
          <w:tcPr>
            <w:tcW w:w="303" w:type="dxa"/>
            <w:tcBorders>
              <w:top w:val="nil"/>
              <w:left w:val="nil"/>
              <w:bottom w:val="single" w:sz="4" w:space="0" w:color="auto"/>
              <w:right w:val="single" w:sz="4" w:space="0" w:color="auto"/>
            </w:tcBorders>
            <w:shd w:val="clear" w:color="000000" w:fill="D9D9D9"/>
            <w:vAlign w:val="center"/>
            <w:hideMark/>
          </w:tcPr>
          <w:p w14:paraId="5FEF0F4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228" w:type="dxa"/>
            <w:tcBorders>
              <w:top w:val="nil"/>
              <w:left w:val="nil"/>
              <w:bottom w:val="single" w:sz="4" w:space="0" w:color="auto"/>
              <w:right w:val="single" w:sz="4" w:space="0" w:color="auto"/>
            </w:tcBorders>
            <w:shd w:val="clear" w:color="000000" w:fill="D9D9D9"/>
            <w:vAlign w:val="center"/>
            <w:hideMark/>
          </w:tcPr>
          <w:p w14:paraId="5FEF0F4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4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4,630,000</w:t>
            </w:r>
          </w:p>
        </w:tc>
        <w:tc>
          <w:tcPr>
            <w:tcW w:w="345" w:type="dxa"/>
            <w:tcBorders>
              <w:top w:val="nil"/>
              <w:left w:val="nil"/>
              <w:bottom w:val="single" w:sz="4" w:space="0" w:color="auto"/>
              <w:right w:val="single" w:sz="4" w:space="0" w:color="auto"/>
            </w:tcBorders>
            <w:shd w:val="clear" w:color="000000" w:fill="D9D9D9"/>
            <w:vAlign w:val="center"/>
            <w:hideMark/>
          </w:tcPr>
          <w:p w14:paraId="5FEF0F4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228" w:type="dxa"/>
            <w:tcBorders>
              <w:top w:val="nil"/>
              <w:left w:val="nil"/>
              <w:bottom w:val="single" w:sz="4" w:space="0" w:color="auto"/>
              <w:right w:val="single" w:sz="4" w:space="0" w:color="auto"/>
            </w:tcBorders>
            <w:shd w:val="clear" w:color="000000" w:fill="D9D9D9"/>
            <w:vAlign w:val="center"/>
            <w:hideMark/>
          </w:tcPr>
          <w:p w14:paraId="5FEF0F4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F4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345" w:type="dxa"/>
            <w:tcBorders>
              <w:top w:val="nil"/>
              <w:left w:val="nil"/>
              <w:bottom w:val="single" w:sz="4" w:space="0" w:color="auto"/>
              <w:right w:val="single" w:sz="4" w:space="0" w:color="auto"/>
            </w:tcBorders>
            <w:shd w:val="clear" w:color="000000" w:fill="D9D9D9"/>
            <w:vAlign w:val="center"/>
            <w:hideMark/>
          </w:tcPr>
          <w:p w14:paraId="5FEF0F4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228" w:type="dxa"/>
            <w:tcBorders>
              <w:top w:val="nil"/>
              <w:left w:val="nil"/>
              <w:bottom w:val="single" w:sz="4" w:space="0" w:color="auto"/>
              <w:right w:val="single" w:sz="4" w:space="0" w:color="auto"/>
            </w:tcBorders>
            <w:shd w:val="clear" w:color="000000" w:fill="D9D9D9"/>
            <w:vAlign w:val="center"/>
            <w:hideMark/>
          </w:tcPr>
          <w:p w14:paraId="5FEF0F4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F4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6,598,000</w:t>
            </w:r>
          </w:p>
        </w:tc>
        <w:tc>
          <w:tcPr>
            <w:tcW w:w="218" w:type="dxa"/>
            <w:tcBorders>
              <w:top w:val="nil"/>
              <w:left w:val="nil"/>
              <w:bottom w:val="single" w:sz="4" w:space="0" w:color="auto"/>
              <w:right w:val="single" w:sz="4" w:space="0" w:color="auto"/>
            </w:tcBorders>
            <w:shd w:val="clear" w:color="000000" w:fill="D9D9D9"/>
            <w:vAlign w:val="center"/>
            <w:hideMark/>
          </w:tcPr>
          <w:p w14:paraId="5FEF0F4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F4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F4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F4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F4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F52"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0F51"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 QËLLIMI STRATEGJIK: LUFTA KUNDËR KRIMIT TË ORGANIZUAR, TERRORIZMIT DHE TRAFIKIMIT</w:t>
            </w:r>
          </w:p>
        </w:tc>
      </w:tr>
      <w:tr w:rsidR="00D845EC" w:rsidRPr="00795698" w14:paraId="5FEF0F54"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0F53" w14:textId="7777777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lastRenderedPageBreak/>
              <w:t>I.3 QASJA MBROJTËSE</w:t>
            </w:r>
          </w:p>
        </w:tc>
      </w:tr>
      <w:tr w:rsidR="00D845EC" w:rsidRPr="00795698" w14:paraId="5FEF0F56"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0F55" w14:textId="4FC2A30B"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 QËLLIMI I POLITIKËS 13: MBROJTJA NGA KËRCËNIMET TERRORISTE QË</w:t>
            </w:r>
            <w:r w:rsidR="005E41AA" w:rsidRPr="00795698">
              <w:rPr>
                <w:rFonts w:ascii="Arial" w:hAnsi="Arial" w:cs="Arial"/>
                <w:b/>
                <w:bCs/>
                <w:sz w:val="10"/>
                <w:szCs w:val="6"/>
                <w:lang w:eastAsia="sq-AL"/>
              </w:rPr>
              <w:t xml:space="preserve"> cenoj</w:t>
            </w:r>
            <w:r w:rsidRPr="00795698">
              <w:rPr>
                <w:rFonts w:ascii="Arial" w:hAnsi="Arial" w:cs="Arial"/>
                <w:b/>
                <w:bCs/>
                <w:sz w:val="10"/>
                <w:szCs w:val="6"/>
                <w:lang w:eastAsia="sq-AL"/>
              </w:rPr>
              <w:t>NË VENDDISLOKIMET/INFRASTRUKTURËN, PAJISJET KRITIKE DHE SISTEMET E MBROJTJES S DHE FARSH-SË.</w:t>
            </w:r>
          </w:p>
        </w:tc>
      </w:tr>
      <w:tr w:rsidR="00D845EC" w:rsidRPr="00795698" w14:paraId="5FEF0F58" w14:textId="77777777" w:rsidTr="00D845EC">
        <w:trPr>
          <w:trHeight w:val="180"/>
        </w:trPr>
        <w:tc>
          <w:tcPr>
            <w:tcW w:w="9390" w:type="dxa"/>
            <w:gridSpan w:val="27"/>
            <w:tcBorders>
              <w:top w:val="single" w:sz="4" w:space="0" w:color="auto"/>
              <w:left w:val="single" w:sz="8" w:space="0" w:color="auto"/>
              <w:bottom w:val="single" w:sz="4" w:space="0" w:color="auto"/>
              <w:right w:val="single" w:sz="8" w:space="0" w:color="000000"/>
            </w:tcBorders>
            <w:shd w:val="clear" w:color="000000" w:fill="FFFF00"/>
            <w:vAlign w:val="center"/>
            <w:hideMark/>
          </w:tcPr>
          <w:p w14:paraId="5FEF0F57" w14:textId="4182DF97" w:rsidR="00D845EC" w:rsidRPr="00795698" w:rsidRDefault="00D845EC" w:rsidP="00D845EC">
            <w:pPr>
              <w:jc w:val="center"/>
              <w:rPr>
                <w:rFonts w:ascii="Arial" w:hAnsi="Arial" w:cs="Arial"/>
                <w:b/>
                <w:bCs/>
                <w:sz w:val="10"/>
                <w:szCs w:val="6"/>
                <w:lang w:eastAsia="sq-AL"/>
              </w:rPr>
            </w:pPr>
            <w:r w:rsidRPr="00795698">
              <w:rPr>
                <w:rFonts w:ascii="Arial" w:hAnsi="Arial" w:cs="Arial"/>
                <w:b/>
                <w:bCs/>
                <w:sz w:val="10"/>
                <w:szCs w:val="6"/>
                <w:lang w:eastAsia="sq-AL"/>
              </w:rPr>
              <w:t>III. PROGRAMI/ET BUXHETORE Programi Buxhetor</w:t>
            </w:r>
            <w:r w:rsidR="00D10A07" w:rsidRPr="00795698">
              <w:rPr>
                <w:rFonts w:ascii="Arial" w:hAnsi="Arial" w:cs="Arial"/>
                <w:b/>
                <w:bCs/>
                <w:sz w:val="10"/>
                <w:szCs w:val="6"/>
                <w:lang w:eastAsia="sq-AL"/>
              </w:rPr>
              <w:t>:</w:t>
            </w:r>
            <w:r w:rsidRPr="00795698">
              <w:rPr>
                <w:rFonts w:ascii="Arial" w:hAnsi="Arial" w:cs="Arial"/>
                <w:b/>
                <w:bCs/>
                <w:sz w:val="10"/>
                <w:szCs w:val="6"/>
                <w:lang w:eastAsia="sq-AL"/>
              </w:rPr>
              <w:t>Mbështetja e Luftimit, Kodi i Programit:02150;</w:t>
            </w:r>
          </w:p>
        </w:tc>
      </w:tr>
      <w:tr w:rsidR="00D845EC" w:rsidRPr="00795698" w14:paraId="5FEF0F74"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F5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13.1</w:t>
            </w:r>
          </w:p>
        </w:tc>
        <w:tc>
          <w:tcPr>
            <w:tcW w:w="814" w:type="dxa"/>
            <w:tcBorders>
              <w:top w:val="nil"/>
              <w:left w:val="nil"/>
              <w:bottom w:val="single" w:sz="4" w:space="0" w:color="auto"/>
              <w:right w:val="single" w:sz="4" w:space="0" w:color="auto"/>
            </w:tcBorders>
            <w:shd w:val="clear" w:color="auto" w:fill="auto"/>
            <w:vAlign w:val="bottom"/>
            <w:hideMark/>
          </w:tcPr>
          <w:p w14:paraId="5FEF0F5A"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OBJEKTIVI SPECIFIK: IDENTIFIKIMI I NEVOJAVE DHE STANDARDEVE TË MBROJTJES NGA KËRCËNIMET TERRORISTE. </w:t>
            </w:r>
          </w:p>
        </w:tc>
        <w:tc>
          <w:tcPr>
            <w:tcW w:w="350" w:type="dxa"/>
            <w:tcBorders>
              <w:top w:val="nil"/>
              <w:left w:val="nil"/>
              <w:bottom w:val="single" w:sz="4" w:space="0" w:color="auto"/>
              <w:right w:val="single" w:sz="4" w:space="0" w:color="auto"/>
            </w:tcBorders>
            <w:shd w:val="clear" w:color="auto" w:fill="auto"/>
            <w:noWrap/>
            <w:vAlign w:val="center"/>
            <w:hideMark/>
          </w:tcPr>
          <w:p w14:paraId="5FEF0F5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F5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F5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F5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F5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6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6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6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6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6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6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6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6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6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6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6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6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6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6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6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F6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7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F7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F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F7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F90"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F7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F76"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F7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F7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F7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noWrap/>
            <w:vAlign w:val="bottom"/>
            <w:hideMark/>
          </w:tcPr>
          <w:p w14:paraId="5FEF0F7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noWrap/>
            <w:vAlign w:val="bottom"/>
            <w:hideMark/>
          </w:tcPr>
          <w:p w14:paraId="5FEF0F7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7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7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7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7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8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8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8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8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8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8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8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8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8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8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8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F8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8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F8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F8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F8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0FAC"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0F9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13.1.1</w:t>
            </w:r>
          </w:p>
        </w:tc>
        <w:tc>
          <w:tcPr>
            <w:tcW w:w="814" w:type="dxa"/>
            <w:tcBorders>
              <w:top w:val="nil"/>
              <w:left w:val="nil"/>
              <w:bottom w:val="single" w:sz="4" w:space="0" w:color="auto"/>
              <w:right w:val="single" w:sz="4" w:space="0" w:color="auto"/>
            </w:tcBorders>
            <w:shd w:val="clear" w:color="000000" w:fill="FFFFFF"/>
            <w:vAlign w:val="bottom"/>
            <w:hideMark/>
          </w:tcPr>
          <w:p w14:paraId="5FEF0F92" w14:textId="24249259"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Rishikimi i planeve të mbrojtjes të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venddislokimeve, infrastrukturës kritike, sistemeve dhe paisjeve kritike të Ministrisë së Mbrojtjes dhe FARSH.</w:t>
            </w:r>
          </w:p>
        </w:tc>
        <w:tc>
          <w:tcPr>
            <w:tcW w:w="350" w:type="dxa"/>
            <w:tcBorders>
              <w:top w:val="nil"/>
              <w:left w:val="nil"/>
              <w:bottom w:val="single" w:sz="4" w:space="0" w:color="auto"/>
              <w:right w:val="single" w:sz="4" w:space="0" w:color="auto"/>
            </w:tcBorders>
            <w:shd w:val="clear" w:color="000000" w:fill="FFFFFF"/>
            <w:vAlign w:val="center"/>
            <w:hideMark/>
          </w:tcPr>
          <w:p w14:paraId="5FEF0F9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1017001 AL</w:t>
            </w:r>
          </w:p>
        </w:tc>
        <w:tc>
          <w:tcPr>
            <w:tcW w:w="458" w:type="dxa"/>
            <w:tcBorders>
              <w:top w:val="nil"/>
              <w:left w:val="nil"/>
              <w:bottom w:val="single" w:sz="4" w:space="0" w:color="auto"/>
              <w:right w:val="single" w:sz="4" w:space="0" w:color="auto"/>
            </w:tcBorders>
            <w:shd w:val="clear" w:color="000000" w:fill="FFFFFF"/>
            <w:vAlign w:val="center"/>
            <w:hideMark/>
          </w:tcPr>
          <w:p w14:paraId="5FEF0F9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MM/SHPFA</w:t>
            </w:r>
          </w:p>
        </w:tc>
        <w:tc>
          <w:tcPr>
            <w:tcW w:w="1442" w:type="dxa"/>
            <w:tcBorders>
              <w:top w:val="nil"/>
              <w:left w:val="nil"/>
              <w:bottom w:val="single" w:sz="4" w:space="0" w:color="auto"/>
              <w:right w:val="single" w:sz="4" w:space="0" w:color="auto"/>
            </w:tcBorders>
            <w:shd w:val="clear" w:color="000000" w:fill="FFFFFF"/>
            <w:vAlign w:val="center"/>
            <w:hideMark/>
          </w:tcPr>
          <w:p w14:paraId="5FEF0F9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F9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0F97"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0F9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F9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F9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2,630,000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F9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F9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F9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2,630,000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0F9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2,630,000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0F9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0FA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2,630,000</w:t>
            </w:r>
          </w:p>
        </w:tc>
        <w:tc>
          <w:tcPr>
            <w:tcW w:w="345" w:type="dxa"/>
            <w:tcBorders>
              <w:top w:val="nil"/>
              <w:left w:val="nil"/>
              <w:bottom w:val="single" w:sz="4" w:space="0" w:color="auto"/>
              <w:right w:val="single" w:sz="4" w:space="0" w:color="auto"/>
            </w:tcBorders>
            <w:shd w:val="clear" w:color="000000" w:fill="FFFFFF"/>
            <w:vAlign w:val="center"/>
            <w:hideMark/>
          </w:tcPr>
          <w:p w14:paraId="5FEF0FA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7,890,000</w:t>
            </w:r>
          </w:p>
        </w:tc>
        <w:tc>
          <w:tcPr>
            <w:tcW w:w="228" w:type="dxa"/>
            <w:tcBorders>
              <w:top w:val="nil"/>
              <w:left w:val="nil"/>
              <w:bottom w:val="single" w:sz="4" w:space="0" w:color="auto"/>
              <w:right w:val="single" w:sz="4" w:space="0" w:color="auto"/>
            </w:tcBorders>
            <w:shd w:val="clear" w:color="000000" w:fill="FFFFFF"/>
            <w:vAlign w:val="center"/>
            <w:hideMark/>
          </w:tcPr>
          <w:p w14:paraId="5FEF0FA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FA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7,890,000</w:t>
            </w:r>
          </w:p>
        </w:tc>
        <w:tc>
          <w:tcPr>
            <w:tcW w:w="345" w:type="dxa"/>
            <w:tcBorders>
              <w:top w:val="nil"/>
              <w:left w:val="nil"/>
              <w:bottom w:val="single" w:sz="4" w:space="0" w:color="auto"/>
              <w:right w:val="single" w:sz="4" w:space="0" w:color="auto"/>
            </w:tcBorders>
            <w:shd w:val="clear" w:color="000000" w:fill="FFFFFF"/>
            <w:vAlign w:val="center"/>
            <w:hideMark/>
          </w:tcPr>
          <w:p w14:paraId="5FEF0FA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7,890,000</w:t>
            </w:r>
          </w:p>
        </w:tc>
        <w:tc>
          <w:tcPr>
            <w:tcW w:w="228" w:type="dxa"/>
            <w:tcBorders>
              <w:top w:val="nil"/>
              <w:left w:val="nil"/>
              <w:bottom w:val="single" w:sz="4" w:space="0" w:color="auto"/>
              <w:right w:val="single" w:sz="4" w:space="0" w:color="auto"/>
            </w:tcBorders>
            <w:shd w:val="clear" w:color="000000" w:fill="FFFFFF"/>
            <w:vAlign w:val="center"/>
            <w:hideMark/>
          </w:tcPr>
          <w:p w14:paraId="5FEF0FA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0FA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7,890,000</w:t>
            </w:r>
          </w:p>
        </w:tc>
        <w:tc>
          <w:tcPr>
            <w:tcW w:w="218" w:type="dxa"/>
            <w:tcBorders>
              <w:top w:val="nil"/>
              <w:left w:val="nil"/>
              <w:bottom w:val="single" w:sz="4" w:space="0" w:color="auto"/>
              <w:right w:val="single" w:sz="4" w:space="0" w:color="auto"/>
            </w:tcBorders>
            <w:shd w:val="clear" w:color="000000" w:fill="FFFFFF"/>
            <w:vAlign w:val="center"/>
            <w:hideMark/>
          </w:tcPr>
          <w:p w14:paraId="5FEF0FA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0FA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0FA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0FA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0FA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0FC8"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0FA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0FAE"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13.1</w:t>
            </w:r>
          </w:p>
        </w:tc>
        <w:tc>
          <w:tcPr>
            <w:tcW w:w="350" w:type="dxa"/>
            <w:tcBorders>
              <w:top w:val="nil"/>
              <w:left w:val="nil"/>
              <w:bottom w:val="single" w:sz="4" w:space="0" w:color="auto"/>
              <w:right w:val="single" w:sz="4" w:space="0" w:color="auto"/>
            </w:tcBorders>
            <w:shd w:val="clear" w:color="000000" w:fill="D9D9D9"/>
            <w:vAlign w:val="center"/>
            <w:hideMark/>
          </w:tcPr>
          <w:p w14:paraId="5FEF0FA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0FB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0FB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0FB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0FB3"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0FB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2,630,000</w:t>
            </w:r>
          </w:p>
        </w:tc>
        <w:tc>
          <w:tcPr>
            <w:tcW w:w="228" w:type="dxa"/>
            <w:tcBorders>
              <w:top w:val="nil"/>
              <w:left w:val="nil"/>
              <w:bottom w:val="single" w:sz="4" w:space="0" w:color="auto"/>
              <w:right w:val="single" w:sz="4" w:space="0" w:color="auto"/>
            </w:tcBorders>
            <w:shd w:val="clear" w:color="000000" w:fill="D9D9D9"/>
            <w:vAlign w:val="center"/>
            <w:hideMark/>
          </w:tcPr>
          <w:p w14:paraId="5FEF0FB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B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2,630,000</w:t>
            </w:r>
          </w:p>
        </w:tc>
        <w:tc>
          <w:tcPr>
            <w:tcW w:w="303" w:type="dxa"/>
            <w:tcBorders>
              <w:top w:val="nil"/>
              <w:left w:val="nil"/>
              <w:bottom w:val="single" w:sz="4" w:space="0" w:color="auto"/>
              <w:right w:val="single" w:sz="4" w:space="0" w:color="auto"/>
            </w:tcBorders>
            <w:shd w:val="clear" w:color="000000" w:fill="D9D9D9"/>
            <w:vAlign w:val="center"/>
            <w:hideMark/>
          </w:tcPr>
          <w:p w14:paraId="5FEF0FB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2,630,000</w:t>
            </w:r>
          </w:p>
        </w:tc>
        <w:tc>
          <w:tcPr>
            <w:tcW w:w="228" w:type="dxa"/>
            <w:tcBorders>
              <w:top w:val="nil"/>
              <w:left w:val="nil"/>
              <w:bottom w:val="single" w:sz="4" w:space="0" w:color="auto"/>
              <w:right w:val="single" w:sz="4" w:space="0" w:color="auto"/>
            </w:tcBorders>
            <w:shd w:val="clear" w:color="000000" w:fill="D9D9D9"/>
            <w:vAlign w:val="center"/>
            <w:hideMark/>
          </w:tcPr>
          <w:p w14:paraId="5FEF0FB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B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2,630,000</w:t>
            </w:r>
          </w:p>
        </w:tc>
        <w:tc>
          <w:tcPr>
            <w:tcW w:w="303" w:type="dxa"/>
            <w:tcBorders>
              <w:top w:val="nil"/>
              <w:left w:val="nil"/>
              <w:bottom w:val="single" w:sz="4" w:space="0" w:color="auto"/>
              <w:right w:val="single" w:sz="4" w:space="0" w:color="auto"/>
            </w:tcBorders>
            <w:shd w:val="clear" w:color="000000" w:fill="D9D9D9"/>
            <w:vAlign w:val="center"/>
            <w:hideMark/>
          </w:tcPr>
          <w:p w14:paraId="5FEF0FB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2,630,000</w:t>
            </w:r>
          </w:p>
        </w:tc>
        <w:tc>
          <w:tcPr>
            <w:tcW w:w="228" w:type="dxa"/>
            <w:tcBorders>
              <w:top w:val="nil"/>
              <w:left w:val="nil"/>
              <w:bottom w:val="single" w:sz="4" w:space="0" w:color="auto"/>
              <w:right w:val="single" w:sz="4" w:space="0" w:color="auto"/>
            </w:tcBorders>
            <w:shd w:val="clear" w:color="000000" w:fill="D9D9D9"/>
            <w:vAlign w:val="center"/>
            <w:hideMark/>
          </w:tcPr>
          <w:p w14:paraId="5FEF0FB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0FB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2,630,000</w:t>
            </w:r>
          </w:p>
        </w:tc>
        <w:tc>
          <w:tcPr>
            <w:tcW w:w="345" w:type="dxa"/>
            <w:tcBorders>
              <w:top w:val="nil"/>
              <w:left w:val="nil"/>
              <w:bottom w:val="single" w:sz="4" w:space="0" w:color="auto"/>
              <w:right w:val="single" w:sz="4" w:space="0" w:color="auto"/>
            </w:tcBorders>
            <w:shd w:val="clear" w:color="000000" w:fill="D9D9D9"/>
            <w:vAlign w:val="center"/>
            <w:hideMark/>
          </w:tcPr>
          <w:p w14:paraId="5FEF0FB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7,890,000</w:t>
            </w:r>
          </w:p>
        </w:tc>
        <w:tc>
          <w:tcPr>
            <w:tcW w:w="228" w:type="dxa"/>
            <w:tcBorders>
              <w:top w:val="nil"/>
              <w:left w:val="nil"/>
              <w:bottom w:val="single" w:sz="4" w:space="0" w:color="auto"/>
              <w:right w:val="single" w:sz="4" w:space="0" w:color="auto"/>
            </w:tcBorders>
            <w:shd w:val="clear" w:color="000000" w:fill="D9D9D9"/>
            <w:vAlign w:val="center"/>
            <w:hideMark/>
          </w:tcPr>
          <w:p w14:paraId="5FEF0FB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FB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7,890,000</w:t>
            </w:r>
          </w:p>
        </w:tc>
        <w:tc>
          <w:tcPr>
            <w:tcW w:w="345" w:type="dxa"/>
            <w:tcBorders>
              <w:top w:val="nil"/>
              <w:left w:val="nil"/>
              <w:bottom w:val="single" w:sz="4" w:space="0" w:color="auto"/>
              <w:right w:val="single" w:sz="4" w:space="0" w:color="auto"/>
            </w:tcBorders>
            <w:shd w:val="clear" w:color="000000" w:fill="D9D9D9"/>
            <w:vAlign w:val="center"/>
            <w:hideMark/>
          </w:tcPr>
          <w:p w14:paraId="5FEF0FC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7,890,000</w:t>
            </w:r>
          </w:p>
        </w:tc>
        <w:tc>
          <w:tcPr>
            <w:tcW w:w="228" w:type="dxa"/>
            <w:tcBorders>
              <w:top w:val="nil"/>
              <w:left w:val="nil"/>
              <w:bottom w:val="single" w:sz="4" w:space="0" w:color="auto"/>
              <w:right w:val="single" w:sz="4" w:space="0" w:color="auto"/>
            </w:tcBorders>
            <w:shd w:val="clear" w:color="000000" w:fill="D9D9D9"/>
            <w:vAlign w:val="center"/>
            <w:hideMark/>
          </w:tcPr>
          <w:p w14:paraId="5FEF0FC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0FC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7,890,000</w:t>
            </w:r>
          </w:p>
        </w:tc>
        <w:tc>
          <w:tcPr>
            <w:tcW w:w="218" w:type="dxa"/>
            <w:tcBorders>
              <w:top w:val="nil"/>
              <w:left w:val="nil"/>
              <w:bottom w:val="single" w:sz="4" w:space="0" w:color="auto"/>
              <w:right w:val="single" w:sz="4" w:space="0" w:color="auto"/>
            </w:tcBorders>
            <w:shd w:val="clear" w:color="000000" w:fill="D9D9D9"/>
            <w:vAlign w:val="center"/>
            <w:hideMark/>
          </w:tcPr>
          <w:p w14:paraId="5FEF0FC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0FC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0FC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0FC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0FC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0FE4"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0FC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13.2</w:t>
            </w:r>
          </w:p>
        </w:tc>
        <w:tc>
          <w:tcPr>
            <w:tcW w:w="814" w:type="dxa"/>
            <w:tcBorders>
              <w:top w:val="nil"/>
              <w:left w:val="nil"/>
              <w:bottom w:val="single" w:sz="4" w:space="0" w:color="auto"/>
              <w:right w:val="single" w:sz="4" w:space="0" w:color="auto"/>
            </w:tcBorders>
            <w:shd w:val="clear" w:color="auto" w:fill="auto"/>
            <w:vAlign w:val="bottom"/>
            <w:hideMark/>
          </w:tcPr>
          <w:p w14:paraId="5FEF0FCA" w14:textId="77777777" w:rsidR="00D845EC" w:rsidRPr="00795698" w:rsidRDefault="00D845EC" w:rsidP="00D845EC">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KONSOLIDIMI I KAPACITETEVE INFORMATIVE DHE PROFESIONALE-OPERACIONALE</w:t>
            </w:r>
          </w:p>
        </w:tc>
        <w:tc>
          <w:tcPr>
            <w:tcW w:w="350" w:type="dxa"/>
            <w:tcBorders>
              <w:top w:val="nil"/>
              <w:left w:val="nil"/>
              <w:bottom w:val="single" w:sz="4" w:space="0" w:color="auto"/>
              <w:right w:val="single" w:sz="4" w:space="0" w:color="auto"/>
            </w:tcBorders>
            <w:shd w:val="clear" w:color="auto" w:fill="auto"/>
            <w:noWrap/>
            <w:vAlign w:val="center"/>
            <w:hideMark/>
          </w:tcPr>
          <w:p w14:paraId="5FEF0FC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FC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FC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FC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F0FC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D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D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D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D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D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D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D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D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D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D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D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D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D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D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D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FD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E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FE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FE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FE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1000"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vAlign w:val="center"/>
            <w:hideMark/>
          </w:tcPr>
          <w:p w14:paraId="5FEF0FE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auto" w:fill="auto"/>
            <w:vAlign w:val="center"/>
            <w:hideMark/>
          </w:tcPr>
          <w:p w14:paraId="5FEF0FE6" w14:textId="77777777" w:rsidR="00D845EC" w:rsidRPr="00795698" w:rsidRDefault="00D845EC" w:rsidP="00D845EC">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350" w:type="dxa"/>
            <w:tcBorders>
              <w:top w:val="nil"/>
              <w:left w:val="nil"/>
              <w:bottom w:val="single" w:sz="4" w:space="0" w:color="auto"/>
              <w:right w:val="single" w:sz="4" w:space="0" w:color="auto"/>
            </w:tcBorders>
            <w:shd w:val="clear" w:color="auto" w:fill="auto"/>
            <w:vAlign w:val="center"/>
            <w:hideMark/>
          </w:tcPr>
          <w:p w14:paraId="5FEF0FE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auto" w:fill="auto"/>
            <w:noWrap/>
            <w:vAlign w:val="bottom"/>
            <w:hideMark/>
          </w:tcPr>
          <w:p w14:paraId="5FEF0FE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4" w:space="0" w:color="auto"/>
              <w:right w:val="single" w:sz="4" w:space="0" w:color="auto"/>
            </w:tcBorders>
            <w:shd w:val="clear" w:color="auto" w:fill="auto"/>
            <w:noWrap/>
            <w:vAlign w:val="bottom"/>
            <w:hideMark/>
          </w:tcPr>
          <w:p w14:paraId="5FEF0FE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0FE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auto" w:fill="auto"/>
            <w:vAlign w:val="center"/>
            <w:hideMark/>
          </w:tcPr>
          <w:p w14:paraId="5FEF0FEB"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E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E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E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E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F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F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F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F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auto" w:fill="auto"/>
            <w:noWrap/>
            <w:vAlign w:val="center"/>
            <w:hideMark/>
          </w:tcPr>
          <w:p w14:paraId="5FEF0FF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F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F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F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F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F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45" w:type="dxa"/>
            <w:tcBorders>
              <w:top w:val="nil"/>
              <w:left w:val="nil"/>
              <w:bottom w:val="single" w:sz="4" w:space="0" w:color="auto"/>
              <w:right w:val="single" w:sz="4" w:space="0" w:color="auto"/>
            </w:tcBorders>
            <w:shd w:val="clear" w:color="auto" w:fill="auto"/>
            <w:noWrap/>
            <w:vAlign w:val="center"/>
            <w:hideMark/>
          </w:tcPr>
          <w:p w14:paraId="5FEF0FF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18" w:type="dxa"/>
            <w:tcBorders>
              <w:top w:val="nil"/>
              <w:left w:val="nil"/>
              <w:bottom w:val="single" w:sz="4" w:space="0" w:color="auto"/>
              <w:right w:val="single" w:sz="4" w:space="0" w:color="auto"/>
            </w:tcBorders>
            <w:shd w:val="clear" w:color="auto" w:fill="auto"/>
            <w:noWrap/>
            <w:vAlign w:val="center"/>
            <w:hideMark/>
          </w:tcPr>
          <w:p w14:paraId="5FEF0FF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auto" w:fill="auto"/>
            <w:noWrap/>
            <w:vAlign w:val="center"/>
            <w:hideMark/>
          </w:tcPr>
          <w:p w14:paraId="5FEF0FF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auto" w:fill="auto"/>
            <w:noWrap/>
            <w:vAlign w:val="center"/>
            <w:hideMark/>
          </w:tcPr>
          <w:p w14:paraId="5FEF0FF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auto" w:fill="auto"/>
            <w:noWrap/>
            <w:vAlign w:val="center"/>
            <w:hideMark/>
          </w:tcPr>
          <w:p w14:paraId="5FEF0FF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auto" w:fill="auto"/>
            <w:noWrap/>
            <w:vAlign w:val="center"/>
            <w:hideMark/>
          </w:tcPr>
          <w:p w14:paraId="5FEF0FF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D845EC" w:rsidRPr="00795698" w14:paraId="5FEF101C"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FFFFFF"/>
            <w:noWrap/>
            <w:vAlign w:val="bottom"/>
            <w:hideMark/>
          </w:tcPr>
          <w:p w14:paraId="5FEF1001"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13.2.1</w:t>
            </w:r>
          </w:p>
        </w:tc>
        <w:tc>
          <w:tcPr>
            <w:tcW w:w="814" w:type="dxa"/>
            <w:tcBorders>
              <w:top w:val="nil"/>
              <w:left w:val="nil"/>
              <w:bottom w:val="single" w:sz="4" w:space="0" w:color="auto"/>
              <w:right w:val="single" w:sz="4" w:space="0" w:color="auto"/>
            </w:tcBorders>
            <w:shd w:val="clear" w:color="000000" w:fill="FFFFFF"/>
            <w:vAlign w:val="bottom"/>
            <w:hideMark/>
          </w:tcPr>
          <w:p w14:paraId="5FEF1002"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Bashkëpunimi dhe shkëmbimi i informacionit të klasifikuar me strukturat ligjzbatuesë të Republikës së Shqipërisë si dhe me ato të NATO-s.</w:t>
            </w:r>
          </w:p>
        </w:tc>
        <w:tc>
          <w:tcPr>
            <w:tcW w:w="350" w:type="dxa"/>
            <w:tcBorders>
              <w:top w:val="nil"/>
              <w:left w:val="nil"/>
              <w:bottom w:val="single" w:sz="4" w:space="0" w:color="auto"/>
              <w:right w:val="single" w:sz="4" w:space="0" w:color="auto"/>
            </w:tcBorders>
            <w:shd w:val="clear" w:color="000000" w:fill="FFFFFF"/>
            <w:vAlign w:val="center"/>
            <w:hideMark/>
          </w:tcPr>
          <w:p w14:paraId="5FEF100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r w:rsidRPr="00795698">
              <w:rPr>
                <w:rFonts w:ascii="Arial" w:hAnsi="Arial" w:cs="Arial"/>
                <w:color w:val="000000"/>
                <w:sz w:val="6"/>
                <w:szCs w:val="6"/>
                <w:lang w:eastAsia="sq-AL"/>
              </w:rPr>
              <w:br/>
              <w:t>1017001 AL</w:t>
            </w:r>
          </w:p>
        </w:tc>
        <w:tc>
          <w:tcPr>
            <w:tcW w:w="458" w:type="dxa"/>
            <w:tcBorders>
              <w:top w:val="nil"/>
              <w:left w:val="nil"/>
              <w:bottom w:val="single" w:sz="4" w:space="0" w:color="auto"/>
              <w:right w:val="single" w:sz="4" w:space="0" w:color="auto"/>
            </w:tcBorders>
            <w:shd w:val="clear" w:color="000000" w:fill="FFFFFF"/>
            <w:vAlign w:val="center"/>
            <w:hideMark/>
          </w:tcPr>
          <w:p w14:paraId="5FEF100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MM/SHPFA/AISM</w:t>
            </w:r>
          </w:p>
        </w:tc>
        <w:tc>
          <w:tcPr>
            <w:tcW w:w="1442" w:type="dxa"/>
            <w:tcBorders>
              <w:top w:val="nil"/>
              <w:left w:val="nil"/>
              <w:bottom w:val="single" w:sz="4" w:space="0" w:color="auto"/>
              <w:right w:val="single" w:sz="4" w:space="0" w:color="auto"/>
            </w:tcBorders>
            <w:shd w:val="clear" w:color="000000" w:fill="FFFFFF"/>
            <w:vAlign w:val="center"/>
            <w:hideMark/>
          </w:tcPr>
          <w:p w14:paraId="5FEF100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SHISH/NATO </w:t>
            </w:r>
          </w:p>
        </w:tc>
        <w:tc>
          <w:tcPr>
            <w:tcW w:w="201" w:type="dxa"/>
            <w:tcBorders>
              <w:top w:val="nil"/>
              <w:left w:val="nil"/>
              <w:bottom w:val="single" w:sz="4" w:space="0" w:color="auto"/>
              <w:right w:val="single" w:sz="4" w:space="0" w:color="auto"/>
            </w:tcBorders>
            <w:shd w:val="clear" w:color="auto" w:fill="auto"/>
            <w:vAlign w:val="center"/>
            <w:hideMark/>
          </w:tcPr>
          <w:p w14:paraId="5FEF1006"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000000" w:fill="FFFFFF"/>
            <w:vAlign w:val="center"/>
            <w:hideMark/>
          </w:tcPr>
          <w:p w14:paraId="5FEF1007"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noWrap/>
            <w:vAlign w:val="center"/>
            <w:hideMark/>
          </w:tcPr>
          <w:p w14:paraId="5FEF100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1,650,000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100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100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1,650,000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100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1,650,000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100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100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1,650,000</w:t>
            </w:r>
          </w:p>
        </w:tc>
        <w:tc>
          <w:tcPr>
            <w:tcW w:w="303" w:type="dxa"/>
            <w:tcBorders>
              <w:top w:val="nil"/>
              <w:left w:val="nil"/>
              <w:bottom w:val="single" w:sz="4" w:space="0" w:color="auto"/>
              <w:right w:val="single" w:sz="4" w:space="0" w:color="auto"/>
            </w:tcBorders>
            <w:shd w:val="clear" w:color="000000" w:fill="FFFFFF"/>
            <w:noWrap/>
            <w:vAlign w:val="center"/>
            <w:hideMark/>
          </w:tcPr>
          <w:p w14:paraId="5FEF100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1,650,000</w:t>
            </w:r>
          </w:p>
        </w:tc>
        <w:tc>
          <w:tcPr>
            <w:tcW w:w="228" w:type="dxa"/>
            <w:tcBorders>
              <w:top w:val="nil"/>
              <w:left w:val="nil"/>
              <w:bottom w:val="single" w:sz="4" w:space="0" w:color="auto"/>
              <w:right w:val="single" w:sz="4" w:space="0" w:color="auto"/>
            </w:tcBorders>
            <w:shd w:val="clear" w:color="000000" w:fill="FFFFFF"/>
            <w:noWrap/>
            <w:vAlign w:val="center"/>
            <w:hideMark/>
          </w:tcPr>
          <w:p w14:paraId="5FEF100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101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1,650,000</w:t>
            </w:r>
          </w:p>
        </w:tc>
        <w:tc>
          <w:tcPr>
            <w:tcW w:w="345" w:type="dxa"/>
            <w:tcBorders>
              <w:top w:val="nil"/>
              <w:left w:val="nil"/>
              <w:bottom w:val="single" w:sz="4" w:space="0" w:color="auto"/>
              <w:right w:val="single" w:sz="4" w:space="0" w:color="auto"/>
            </w:tcBorders>
            <w:shd w:val="clear" w:color="000000" w:fill="FFFFFF"/>
            <w:vAlign w:val="center"/>
            <w:hideMark/>
          </w:tcPr>
          <w:p w14:paraId="5FEF101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4,950,000</w:t>
            </w:r>
          </w:p>
        </w:tc>
        <w:tc>
          <w:tcPr>
            <w:tcW w:w="228" w:type="dxa"/>
            <w:tcBorders>
              <w:top w:val="nil"/>
              <w:left w:val="nil"/>
              <w:bottom w:val="single" w:sz="4" w:space="0" w:color="auto"/>
              <w:right w:val="single" w:sz="4" w:space="0" w:color="auto"/>
            </w:tcBorders>
            <w:shd w:val="clear" w:color="000000" w:fill="FFFFFF"/>
            <w:vAlign w:val="center"/>
            <w:hideMark/>
          </w:tcPr>
          <w:p w14:paraId="5FEF101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101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4,950,000</w:t>
            </w:r>
          </w:p>
        </w:tc>
        <w:tc>
          <w:tcPr>
            <w:tcW w:w="345" w:type="dxa"/>
            <w:tcBorders>
              <w:top w:val="nil"/>
              <w:left w:val="nil"/>
              <w:bottom w:val="single" w:sz="4" w:space="0" w:color="auto"/>
              <w:right w:val="single" w:sz="4" w:space="0" w:color="auto"/>
            </w:tcBorders>
            <w:shd w:val="clear" w:color="000000" w:fill="FFFFFF"/>
            <w:vAlign w:val="center"/>
            <w:hideMark/>
          </w:tcPr>
          <w:p w14:paraId="5FEF101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4,950,000</w:t>
            </w:r>
          </w:p>
        </w:tc>
        <w:tc>
          <w:tcPr>
            <w:tcW w:w="228" w:type="dxa"/>
            <w:tcBorders>
              <w:top w:val="nil"/>
              <w:left w:val="nil"/>
              <w:bottom w:val="single" w:sz="4" w:space="0" w:color="auto"/>
              <w:right w:val="single" w:sz="4" w:space="0" w:color="auto"/>
            </w:tcBorders>
            <w:shd w:val="clear" w:color="000000" w:fill="FFFFFF"/>
            <w:vAlign w:val="center"/>
            <w:hideMark/>
          </w:tcPr>
          <w:p w14:paraId="5FEF101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101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4,950,000</w:t>
            </w:r>
          </w:p>
        </w:tc>
        <w:tc>
          <w:tcPr>
            <w:tcW w:w="218" w:type="dxa"/>
            <w:tcBorders>
              <w:top w:val="nil"/>
              <w:left w:val="nil"/>
              <w:bottom w:val="single" w:sz="4" w:space="0" w:color="auto"/>
              <w:right w:val="single" w:sz="4" w:space="0" w:color="auto"/>
            </w:tcBorders>
            <w:shd w:val="clear" w:color="000000" w:fill="FFFFFF"/>
            <w:vAlign w:val="center"/>
            <w:hideMark/>
          </w:tcPr>
          <w:p w14:paraId="5FEF101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101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101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101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101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1038" w14:textId="77777777" w:rsidTr="00D845EC">
        <w:trPr>
          <w:trHeight w:val="180"/>
        </w:trPr>
        <w:tc>
          <w:tcPr>
            <w:tcW w:w="164" w:type="dxa"/>
            <w:tcBorders>
              <w:top w:val="nil"/>
              <w:left w:val="single" w:sz="8" w:space="0" w:color="auto"/>
              <w:bottom w:val="single" w:sz="4" w:space="0" w:color="auto"/>
              <w:right w:val="single" w:sz="4" w:space="0" w:color="auto"/>
            </w:tcBorders>
            <w:shd w:val="clear" w:color="auto" w:fill="auto"/>
            <w:noWrap/>
            <w:vAlign w:val="bottom"/>
            <w:hideMark/>
          </w:tcPr>
          <w:p w14:paraId="5FEF101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13.2.2</w:t>
            </w:r>
          </w:p>
        </w:tc>
        <w:tc>
          <w:tcPr>
            <w:tcW w:w="814" w:type="dxa"/>
            <w:tcBorders>
              <w:top w:val="nil"/>
              <w:left w:val="nil"/>
              <w:bottom w:val="single" w:sz="4" w:space="0" w:color="auto"/>
              <w:right w:val="single" w:sz="4" w:space="0" w:color="auto"/>
            </w:tcBorders>
            <w:shd w:val="clear" w:color="auto" w:fill="auto"/>
            <w:vAlign w:val="bottom"/>
            <w:hideMark/>
          </w:tcPr>
          <w:p w14:paraId="5FEF101E"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Realizimi i trajnimeve të vazhdueshme me partnerët për strukturat parandaluese, reaguese dhe pjesëmarrësve në misione paqeruajtëse të FA, në luftën kundër terrorizmit.</w:t>
            </w:r>
          </w:p>
        </w:tc>
        <w:tc>
          <w:tcPr>
            <w:tcW w:w="350" w:type="dxa"/>
            <w:tcBorders>
              <w:top w:val="nil"/>
              <w:left w:val="nil"/>
              <w:bottom w:val="single" w:sz="4" w:space="0" w:color="auto"/>
              <w:right w:val="single" w:sz="4" w:space="0" w:color="auto"/>
            </w:tcBorders>
            <w:shd w:val="clear" w:color="000000" w:fill="FFFFFF"/>
            <w:vAlign w:val="center"/>
            <w:hideMark/>
          </w:tcPr>
          <w:p w14:paraId="5FEF101F" w14:textId="29CA5001"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br/>
              <w:t>Mbështetja e Luftimit</w:t>
            </w:r>
            <w:r w:rsidRPr="00795698">
              <w:rPr>
                <w:rFonts w:ascii="Arial" w:hAnsi="Arial" w:cs="Arial"/>
                <w:color w:val="000000"/>
                <w:sz w:val="6"/>
                <w:szCs w:val="6"/>
                <w:lang w:eastAsia="sq-AL"/>
              </w:rPr>
              <w:br/>
              <w:t>Kodi i Programit:</w:t>
            </w:r>
            <w:r w:rsidRPr="00795698">
              <w:rPr>
                <w:rFonts w:ascii="Arial" w:hAnsi="Arial" w:cs="Arial"/>
                <w:color w:val="000000"/>
                <w:sz w:val="6"/>
                <w:szCs w:val="6"/>
                <w:lang w:eastAsia="sq-AL"/>
              </w:rPr>
              <w:br/>
              <w:t>02150</w:t>
            </w:r>
            <w:r w:rsidRPr="00795698">
              <w:rPr>
                <w:rFonts w:ascii="Arial" w:hAnsi="Arial" w:cs="Arial"/>
                <w:color w:val="000000"/>
                <w:sz w:val="6"/>
                <w:szCs w:val="6"/>
                <w:lang w:eastAsia="sq-AL"/>
              </w:rPr>
              <w:br/>
              <w:t xml:space="preserve"> 91703AL</w:t>
            </w:r>
            <w:r w:rsidRPr="00795698">
              <w:rPr>
                <w:rFonts w:ascii="Arial" w:hAnsi="Arial" w:cs="Arial"/>
                <w:color w:val="000000"/>
                <w:sz w:val="6"/>
                <w:szCs w:val="6"/>
                <w:lang w:eastAsia="sq-AL"/>
              </w:rPr>
              <w:br/>
              <w:t>1017001 AL</w:t>
            </w:r>
          </w:p>
        </w:tc>
        <w:tc>
          <w:tcPr>
            <w:tcW w:w="458" w:type="dxa"/>
            <w:tcBorders>
              <w:top w:val="nil"/>
              <w:left w:val="nil"/>
              <w:bottom w:val="single" w:sz="4" w:space="0" w:color="auto"/>
              <w:right w:val="single" w:sz="4" w:space="0" w:color="auto"/>
            </w:tcBorders>
            <w:shd w:val="clear" w:color="auto" w:fill="auto"/>
            <w:vAlign w:val="bottom"/>
            <w:hideMark/>
          </w:tcPr>
          <w:p w14:paraId="5FEF102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MM/SHPFA/</w:t>
            </w:r>
            <w:r w:rsidRPr="00795698">
              <w:rPr>
                <w:rFonts w:ascii="Arial" w:hAnsi="Arial" w:cs="Arial"/>
                <w:color w:val="000000"/>
                <w:sz w:val="6"/>
                <w:szCs w:val="6"/>
                <w:lang w:eastAsia="sq-AL"/>
              </w:rPr>
              <w:br/>
              <w:t>AISM</w:t>
            </w:r>
          </w:p>
        </w:tc>
        <w:tc>
          <w:tcPr>
            <w:tcW w:w="1442" w:type="dxa"/>
            <w:tcBorders>
              <w:top w:val="nil"/>
              <w:left w:val="nil"/>
              <w:bottom w:val="single" w:sz="4" w:space="0" w:color="auto"/>
              <w:right w:val="single" w:sz="4" w:space="0" w:color="auto"/>
            </w:tcBorders>
            <w:shd w:val="clear" w:color="auto" w:fill="auto"/>
            <w:vAlign w:val="bottom"/>
            <w:hideMark/>
          </w:tcPr>
          <w:p w14:paraId="5FEF102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4" w:space="0" w:color="auto"/>
              <w:right w:val="single" w:sz="4" w:space="0" w:color="auto"/>
            </w:tcBorders>
            <w:shd w:val="clear" w:color="auto" w:fill="auto"/>
            <w:vAlign w:val="center"/>
            <w:hideMark/>
          </w:tcPr>
          <w:p w14:paraId="5FEF1022"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54" w:type="dxa"/>
            <w:tcBorders>
              <w:top w:val="nil"/>
              <w:left w:val="nil"/>
              <w:bottom w:val="single" w:sz="4" w:space="0" w:color="auto"/>
              <w:right w:val="single" w:sz="4" w:space="0" w:color="auto"/>
            </w:tcBorders>
            <w:shd w:val="clear" w:color="auto" w:fill="auto"/>
            <w:vAlign w:val="center"/>
            <w:hideMark/>
          </w:tcPr>
          <w:p w14:paraId="5FEF1023" w14:textId="77777777" w:rsidR="00D845EC" w:rsidRPr="00795698" w:rsidRDefault="00D845EC" w:rsidP="00D845EC">
            <w:pPr>
              <w:jc w:val="center"/>
              <w:rPr>
                <w:rFonts w:ascii="Arial" w:hAnsi="Arial" w:cs="Arial"/>
                <w:b/>
                <w:bCs/>
                <w:sz w:val="6"/>
                <w:szCs w:val="6"/>
                <w:lang w:eastAsia="sq-AL"/>
              </w:rPr>
            </w:pPr>
            <w:r w:rsidRPr="00795698">
              <w:rPr>
                <w:rFonts w:ascii="Arial" w:hAnsi="Arial" w:cs="Arial"/>
                <w:b/>
                <w:bCs/>
                <w:sz w:val="6"/>
                <w:szCs w:val="6"/>
                <w:lang w:eastAsia="sq-AL"/>
              </w:rPr>
              <w:t>2025</w:t>
            </w:r>
          </w:p>
        </w:tc>
        <w:tc>
          <w:tcPr>
            <w:tcW w:w="303" w:type="dxa"/>
            <w:tcBorders>
              <w:top w:val="nil"/>
              <w:left w:val="nil"/>
              <w:bottom w:val="single" w:sz="4" w:space="0" w:color="auto"/>
              <w:right w:val="single" w:sz="4" w:space="0" w:color="auto"/>
            </w:tcBorders>
            <w:shd w:val="clear" w:color="000000" w:fill="FFFFFF"/>
            <w:vAlign w:val="center"/>
            <w:hideMark/>
          </w:tcPr>
          <w:p w14:paraId="5FEF102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1,084,000</w:t>
            </w:r>
          </w:p>
        </w:tc>
        <w:tc>
          <w:tcPr>
            <w:tcW w:w="228" w:type="dxa"/>
            <w:tcBorders>
              <w:top w:val="nil"/>
              <w:left w:val="nil"/>
              <w:bottom w:val="single" w:sz="4" w:space="0" w:color="auto"/>
              <w:right w:val="single" w:sz="4" w:space="0" w:color="auto"/>
            </w:tcBorders>
            <w:shd w:val="clear" w:color="000000" w:fill="FFFFFF"/>
            <w:vAlign w:val="center"/>
            <w:hideMark/>
          </w:tcPr>
          <w:p w14:paraId="5FEF102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102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1,084,000</w:t>
            </w:r>
          </w:p>
        </w:tc>
        <w:tc>
          <w:tcPr>
            <w:tcW w:w="303" w:type="dxa"/>
            <w:tcBorders>
              <w:top w:val="nil"/>
              <w:left w:val="nil"/>
              <w:bottom w:val="single" w:sz="4" w:space="0" w:color="auto"/>
              <w:right w:val="single" w:sz="4" w:space="0" w:color="auto"/>
            </w:tcBorders>
            <w:shd w:val="clear" w:color="000000" w:fill="FFFFFF"/>
            <w:vAlign w:val="center"/>
            <w:hideMark/>
          </w:tcPr>
          <w:p w14:paraId="5FEF102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1,084,000</w:t>
            </w:r>
          </w:p>
        </w:tc>
        <w:tc>
          <w:tcPr>
            <w:tcW w:w="228" w:type="dxa"/>
            <w:tcBorders>
              <w:top w:val="nil"/>
              <w:left w:val="nil"/>
              <w:bottom w:val="single" w:sz="4" w:space="0" w:color="auto"/>
              <w:right w:val="single" w:sz="4" w:space="0" w:color="auto"/>
            </w:tcBorders>
            <w:shd w:val="clear" w:color="000000" w:fill="FFFFFF"/>
            <w:vAlign w:val="center"/>
            <w:hideMark/>
          </w:tcPr>
          <w:p w14:paraId="5FEF1028"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4" w:space="0" w:color="auto"/>
              <w:right w:val="single" w:sz="4" w:space="0" w:color="auto"/>
            </w:tcBorders>
            <w:shd w:val="clear" w:color="000000" w:fill="FFFFFF"/>
            <w:noWrap/>
            <w:vAlign w:val="center"/>
            <w:hideMark/>
          </w:tcPr>
          <w:p w14:paraId="5FEF1029"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1,084,000</w:t>
            </w:r>
          </w:p>
        </w:tc>
        <w:tc>
          <w:tcPr>
            <w:tcW w:w="303" w:type="dxa"/>
            <w:tcBorders>
              <w:top w:val="nil"/>
              <w:left w:val="nil"/>
              <w:bottom w:val="single" w:sz="4" w:space="0" w:color="auto"/>
              <w:right w:val="single" w:sz="4" w:space="0" w:color="auto"/>
            </w:tcBorders>
            <w:shd w:val="clear" w:color="000000" w:fill="FFFFFF"/>
            <w:vAlign w:val="center"/>
            <w:hideMark/>
          </w:tcPr>
          <w:p w14:paraId="5FEF102A"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1,084,000</w:t>
            </w:r>
          </w:p>
        </w:tc>
        <w:tc>
          <w:tcPr>
            <w:tcW w:w="228" w:type="dxa"/>
            <w:tcBorders>
              <w:top w:val="nil"/>
              <w:left w:val="nil"/>
              <w:bottom w:val="single" w:sz="4" w:space="0" w:color="auto"/>
              <w:right w:val="single" w:sz="4" w:space="0" w:color="auto"/>
            </w:tcBorders>
            <w:shd w:val="clear" w:color="000000" w:fill="FFFFFF"/>
            <w:vAlign w:val="center"/>
            <w:hideMark/>
          </w:tcPr>
          <w:p w14:paraId="5FEF102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3" w:type="dxa"/>
            <w:tcBorders>
              <w:top w:val="nil"/>
              <w:left w:val="nil"/>
              <w:bottom w:val="single" w:sz="4" w:space="0" w:color="auto"/>
              <w:right w:val="single" w:sz="4" w:space="0" w:color="auto"/>
            </w:tcBorders>
            <w:shd w:val="clear" w:color="000000" w:fill="FFFFFF"/>
            <w:noWrap/>
            <w:vAlign w:val="center"/>
            <w:hideMark/>
          </w:tcPr>
          <w:p w14:paraId="5FEF102C"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1,084,000</w:t>
            </w:r>
          </w:p>
        </w:tc>
        <w:tc>
          <w:tcPr>
            <w:tcW w:w="345" w:type="dxa"/>
            <w:tcBorders>
              <w:top w:val="nil"/>
              <w:left w:val="nil"/>
              <w:bottom w:val="single" w:sz="4" w:space="0" w:color="auto"/>
              <w:right w:val="single" w:sz="4" w:space="0" w:color="auto"/>
            </w:tcBorders>
            <w:shd w:val="clear" w:color="000000" w:fill="FFFFFF"/>
            <w:vAlign w:val="center"/>
            <w:hideMark/>
          </w:tcPr>
          <w:p w14:paraId="5FEF102D"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3,252,000</w:t>
            </w:r>
          </w:p>
        </w:tc>
        <w:tc>
          <w:tcPr>
            <w:tcW w:w="228" w:type="dxa"/>
            <w:tcBorders>
              <w:top w:val="nil"/>
              <w:left w:val="nil"/>
              <w:bottom w:val="single" w:sz="4" w:space="0" w:color="auto"/>
              <w:right w:val="single" w:sz="4" w:space="0" w:color="auto"/>
            </w:tcBorders>
            <w:shd w:val="clear" w:color="000000" w:fill="FFFFFF"/>
            <w:vAlign w:val="center"/>
            <w:hideMark/>
          </w:tcPr>
          <w:p w14:paraId="5FEF102E"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102F"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3,252,000</w:t>
            </w:r>
          </w:p>
        </w:tc>
        <w:tc>
          <w:tcPr>
            <w:tcW w:w="345" w:type="dxa"/>
            <w:tcBorders>
              <w:top w:val="nil"/>
              <w:left w:val="nil"/>
              <w:bottom w:val="single" w:sz="4" w:space="0" w:color="auto"/>
              <w:right w:val="single" w:sz="4" w:space="0" w:color="auto"/>
            </w:tcBorders>
            <w:shd w:val="clear" w:color="000000" w:fill="FFFFFF"/>
            <w:vAlign w:val="center"/>
            <w:hideMark/>
          </w:tcPr>
          <w:p w14:paraId="5FEF1030"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3,252,000</w:t>
            </w:r>
          </w:p>
        </w:tc>
        <w:tc>
          <w:tcPr>
            <w:tcW w:w="228" w:type="dxa"/>
            <w:tcBorders>
              <w:top w:val="nil"/>
              <w:left w:val="nil"/>
              <w:bottom w:val="single" w:sz="4" w:space="0" w:color="auto"/>
              <w:right w:val="single" w:sz="4" w:space="0" w:color="auto"/>
            </w:tcBorders>
            <w:shd w:val="clear" w:color="000000" w:fill="FFFFFF"/>
            <w:vAlign w:val="center"/>
            <w:hideMark/>
          </w:tcPr>
          <w:p w14:paraId="5FEF1031"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EF103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3,252,000</w:t>
            </w:r>
          </w:p>
        </w:tc>
        <w:tc>
          <w:tcPr>
            <w:tcW w:w="218" w:type="dxa"/>
            <w:tcBorders>
              <w:top w:val="nil"/>
              <w:left w:val="nil"/>
              <w:bottom w:val="single" w:sz="4" w:space="0" w:color="auto"/>
              <w:right w:val="single" w:sz="4" w:space="0" w:color="auto"/>
            </w:tcBorders>
            <w:shd w:val="clear" w:color="000000" w:fill="FFFFFF"/>
            <w:vAlign w:val="center"/>
            <w:hideMark/>
          </w:tcPr>
          <w:p w14:paraId="5FEF1033"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28" w:type="dxa"/>
            <w:tcBorders>
              <w:top w:val="nil"/>
              <w:left w:val="nil"/>
              <w:bottom w:val="single" w:sz="4" w:space="0" w:color="auto"/>
              <w:right w:val="single" w:sz="4" w:space="0" w:color="auto"/>
            </w:tcBorders>
            <w:shd w:val="clear" w:color="000000" w:fill="FFFFFF"/>
            <w:vAlign w:val="center"/>
            <w:hideMark/>
          </w:tcPr>
          <w:p w14:paraId="5FEF103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34" w:type="dxa"/>
            <w:tcBorders>
              <w:top w:val="nil"/>
              <w:left w:val="nil"/>
              <w:bottom w:val="single" w:sz="4" w:space="0" w:color="auto"/>
              <w:right w:val="single" w:sz="4" w:space="0" w:color="auto"/>
            </w:tcBorders>
            <w:shd w:val="clear" w:color="000000" w:fill="FFFFFF"/>
            <w:vAlign w:val="center"/>
            <w:hideMark/>
          </w:tcPr>
          <w:p w14:paraId="5FEF103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9" w:type="dxa"/>
            <w:tcBorders>
              <w:top w:val="nil"/>
              <w:left w:val="nil"/>
              <w:bottom w:val="single" w:sz="4" w:space="0" w:color="auto"/>
              <w:right w:val="single" w:sz="4" w:space="0" w:color="auto"/>
            </w:tcBorders>
            <w:shd w:val="clear" w:color="000000" w:fill="FFFFFF"/>
            <w:vAlign w:val="center"/>
            <w:hideMark/>
          </w:tcPr>
          <w:p w14:paraId="5FEF103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0" w:type="dxa"/>
            <w:tcBorders>
              <w:top w:val="nil"/>
              <w:left w:val="nil"/>
              <w:bottom w:val="single" w:sz="4" w:space="0" w:color="auto"/>
              <w:right w:val="single" w:sz="8" w:space="0" w:color="auto"/>
            </w:tcBorders>
            <w:shd w:val="clear" w:color="000000" w:fill="FFFFFF"/>
            <w:vAlign w:val="center"/>
            <w:hideMark/>
          </w:tcPr>
          <w:p w14:paraId="5FEF1037"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D845EC" w:rsidRPr="00795698" w14:paraId="5FEF1054"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103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4" w:space="0" w:color="auto"/>
              <w:right w:val="single" w:sz="4" w:space="0" w:color="auto"/>
            </w:tcBorders>
            <w:shd w:val="clear" w:color="000000" w:fill="D9D9D9"/>
            <w:vAlign w:val="center"/>
            <w:hideMark/>
          </w:tcPr>
          <w:p w14:paraId="5FEF103A"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13.2</w:t>
            </w:r>
          </w:p>
        </w:tc>
        <w:tc>
          <w:tcPr>
            <w:tcW w:w="350" w:type="dxa"/>
            <w:tcBorders>
              <w:top w:val="nil"/>
              <w:left w:val="nil"/>
              <w:bottom w:val="single" w:sz="4" w:space="0" w:color="auto"/>
              <w:right w:val="single" w:sz="4" w:space="0" w:color="auto"/>
            </w:tcBorders>
            <w:shd w:val="clear" w:color="000000" w:fill="D9D9D9"/>
            <w:vAlign w:val="center"/>
            <w:hideMark/>
          </w:tcPr>
          <w:p w14:paraId="5FEF103B"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4" w:space="0" w:color="auto"/>
              <w:right w:val="single" w:sz="4" w:space="0" w:color="auto"/>
            </w:tcBorders>
            <w:shd w:val="clear" w:color="000000" w:fill="D9D9D9"/>
            <w:vAlign w:val="center"/>
            <w:hideMark/>
          </w:tcPr>
          <w:p w14:paraId="5FEF103C"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103D"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103E"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103F"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104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2,734,000</w:t>
            </w:r>
          </w:p>
        </w:tc>
        <w:tc>
          <w:tcPr>
            <w:tcW w:w="228" w:type="dxa"/>
            <w:tcBorders>
              <w:top w:val="nil"/>
              <w:left w:val="nil"/>
              <w:bottom w:val="single" w:sz="4" w:space="0" w:color="auto"/>
              <w:right w:val="single" w:sz="4" w:space="0" w:color="auto"/>
            </w:tcBorders>
            <w:shd w:val="clear" w:color="000000" w:fill="D9D9D9"/>
            <w:vAlign w:val="center"/>
            <w:hideMark/>
          </w:tcPr>
          <w:p w14:paraId="5FEF104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104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2,734,000</w:t>
            </w:r>
          </w:p>
        </w:tc>
        <w:tc>
          <w:tcPr>
            <w:tcW w:w="303" w:type="dxa"/>
            <w:tcBorders>
              <w:top w:val="nil"/>
              <w:left w:val="nil"/>
              <w:bottom w:val="single" w:sz="4" w:space="0" w:color="auto"/>
              <w:right w:val="single" w:sz="4" w:space="0" w:color="auto"/>
            </w:tcBorders>
            <w:shd w:val="clear" w:color="000000" w:fill="D9D9D9"/>
            <w:vAlign w:val="center"/>
            <w:hideMark/>
          </w:tcPr>
          <w:p w14:paraId="5FEF104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2,734,000</w:t>
            </w:r>
          </w:p>
        </w:tc>
        <w:tc>
          <w:tcPr>
            <w:tcW w:w="228" w:type="dxa"/>
            <w:tcBorders>
              <w:top w:val="nil"/>
              <w:left w:val="nil"/>
              <w:bottom w:val="single" w:sz="4" w:space="0" w:color="auto"/>
              <w:right w:val="single" w:sz="4" w:space="0" w:color="auto"/>
            </w:tcBorders>
            <w:shd w:val="clear" w:color="000000" w:fill="D9D9D9"/>
            <w:vAlign w:val="center"/>
            <w:hideMark/>
          </w:tcPr>
          <w:p w14:paraId="5FEF104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104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2,734,000</w:t>
            </w:r>
          </w:p>
        </w:tc>
        <w:tc>
          <w:tcPr>
            <w:tcW w:w="303" w:type="dxa"/>
            <w:tcBorders>
              <w:top w:val="nil"/>
              <w:left w:val="nil"/>
              <w:bottom w:val="single" w:sz="4" w:space="0" w:color="auto"/>
              <w:right w:val="single" w:sz="4" w:space="0" w:color="auto"/>
            </w:tcBorders>
            <w:shd w:val="clear" w:color="000000" w:fill="D9D9D9"/>
            <w:vAlign w:val="center"/>
            <w:hideMark/>
          </w:tcPr>
          <w:p w14:paraId="5FEF104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2,734,000</w:t>
            </w:r>
          </w:p>
        </w:tc>
        <w:tc>
          <w:tcPr>
            <w:tcW w:w="228" w:type="dxa"/>
            <w:tcBorders>
              <w:top w:val="nil"/>
              <w:left w:val="nil"/>
              <w:bottom w:val="single" w:sz="4" w:space="0" w:color="auto"/>
              <w:right w:val="single" w:sz="4" w:space="0" w:color="auto"/>
            </w:tcBorders>
            <w:shd w:val="clear" w:color="000000" w:fill="D9D9D9"/>
            <w:vAlign w:val="center"/>
            <w:hideMark/>
          </w:tcPr>
          <w:p w14:paraId="5FEF104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104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2,734,000</w:t>
            </w:r>
          </w:p>
        </w:tc>
        <w:tc>
          <w:tcPr>
            <w:tcW w:w="345" w:type="dxa"/>
            <w:tcBorders>
              <w:top w:val="nil"/>
              <w:left w:val="nil"/>
              <w:bottom w:val="single" w:sz="4" w:space="0" w:color="auto"/>
              <w:right w:val="single" w:sz="4" w:space="0" w:color="auto"/>
            </w:tcBorders>
            <w:shd w:val="clear" w:color="000000" w:fill="D9D9D9"/>
            <w:vAlign w:val="center"/>
            <w:hideMark/>
          </w:tcPr>
          <w:p w14:paraId="5FEF104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8,202,000</w:t>
            </w:r>
          </w:p>
        </w:tc>
        <w:tc>
          <w:tcPr>
            <w:tcW w:w="228" w:type="dxa"/>
            <w:tcBorders>
              <w:top w:val="nil"/>
              <w:left w:val="nil"/>
              <w:bottom w:val="single" w:sz="4" w:space="0" w:color="auto"/>
              <w:right w:val="single" w:sz="4" w:space="0" w:color="auto"/>
            </w:tcBorders>
            <w:shd w:val="clear" w:color="000000" w:fill="D9D9D9"/>
            <w:vAlign w:val="center"/>
            <w:hideMark/>
          </w:tcPr>
          <w:p w14:paraId="5FEF104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104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8,202,000</w:t>
            </w:r>
          </w:p>
        </w:tc>
        <w:tc>
          <w:tcPr>
            <w:tcW w:w="345" w:type="dxa"/>
            <w:tcBorders>
              <w:top w:val="nil"/>
              <w:left w:val="nil"/>
              <w:bottom w:val="single" w:sz="4" w:space="0" w:color="auto"/>
              <w:right w:val="single" w:sz="4" w:space="0" w:color="auto"/>
            </w:tcBorders>
            <w:shd w:val="clear" w:color="000000" w:fill="D9D9D9"/>
            <w:vAlign w:val="center"/>
            <w:hideMark/>
          </w:tcPr>
          <w:p w14:paraId="5FEF104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8,202,000</w:t>
            </w:r>
          </w:p>
        </w:tc>
        <w:tc>
          <w:tcPr>
            <w:tcW w:w="228" w:type="dxa"/>
            <w:tcBorders>
              <w:top w:val="nil"/>
              <w:left w:val="nil"/>
              <w:bottom w:val="single" w:sz="4" w:space="0" w:color="auto"/>
              <w:right w:val="single" w:sz="4" w:space="0" w:color="auto"/>
            </w:tcBorders>
            <w:shd w:val="clear" w:color="000000" w:fill="D9D9D9"/>
            <w:vAlign w:val="center"/>
            <w:hideMark/>
          </w:tcPr>
          <w:p w14:paraId="5FEF104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104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8,202,000</w:t>
            </w:r>
          </w:p>
        </w:tc>
        <w:tc>
          <w:tcPr>
            <w:tcW w:w="218" w:type="dxa"/>
            <w:tcBorders>
              <w:top w:val="nil"/>
              <w:left w:val="nil"/>
              <w:bottom w:val="single" w:sz="4" w:space="0" w:color="auto"/>
              <w:right w:val="single" w:sz="4" w:space="0" w:color="auto"/>
            </w:tcBorders>
            <w:shd w:val="clear" w:color="000000" w:fill="D9D9D9"/>
            <w:vAlign w:val="center"/>
            <w:hideMark/>
          </w:tcPr>
          <w:p w14:paraId="5FEF104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105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105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105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105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106F" w14:textId="77777777" w:rsidTr="00D845EC">
        <w:trPr>
          <w:trHeight w:val="180"/>
        </w:trPr>
        <w:tc>
          <w:tcPr>
            <w:tcW w:w="164" w:type="dxa"/>
            <w:tcBorders>
              <w:top w:val="nil"/>
              <w:left w:val="single" w:sz="8" w:space="0" w:color="auto"/>
              <w:bottom w:val="single" w:sz="4" w:space="0" w:color="auto"/>
              <w:right w:val="single" w:sz="4" w:space="0" w:color="auto"/>
            </w:tcBorders>
            <w:shd w:val="clear" w:color="000000" w:fill="D9D9D9"/>
            <w:vAlign w:val="center"/>
            <w:hideMark/>
          </w:tcPr>
          <w:p w14:paraId="5FEF1055"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164" w:type="dxa"/>
            <w:gridSpan w:val="2"/>
            <w:tcBorders>
              <w:top w:val="single" w:sz="4" w:space="0" w:color="auto"/>
              <w:left w:val="nil"/>
              <w:bottom w:val="single" w:sz="4" w:space="0" w:color="auto"/>
              <w:right w:val="single" w:sz="4" w:space="0" w:color="auto"/>
            </w:tcBorders>
            <w:shd w:val="clear" w:color="000000" w:fill="D9D9D9"/>
            <w:vAlign w:val="center"/>
            <w:hideMark/>
          </w:tcPr>
          <w:p w14:paraId="5FEF1056"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13</w:t>
            </w:r>
          </w:p>
        </w:tc>
        <w:tc>
          <w:tcPr>
            <w:tcW w:w="458" w:type="dxa"/>
            <w:tcBorders>
              <w:top w:val="nil"/>
              <w:left w:val="nil"/>
              <w:bottom w:val="single" w:sz="4" w:space="0" w:color="auto"/>
              <w:right w:val="single" w:sz="4" w:space="0" w:color="auto"/>
            </w:tcBorders>
            <w:shd w:val="clear" w:color="000000" w:fill="D9D9D9"/>
            <w:vAlign w:val="center"/>
            <w:hideMark/>
          </w:tcPr>
          <w:p w14:paraId="5FEF1057"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442" w:type="dxa"/>
            <w:tcBorders>
              <w:top w:val="nil"/>
              <w:left w:val="nil"/>
              <w:bottom w:val="single" w:sz="4" w:space="0" w:color="auto"/>
              <w:right w:val="single" w:sz="4" w:space="0" w:color="auto"/>
            </w:tcBorders>
            <w:shd w:val="clear" w:color="000000" w:fill="D9D9D9"/>
            <w:vAlign w:val="center"/>
            <w:hideMark/>
          </w:tcPr>
          <w:p w14:paraId="5FEF1058"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1" w:type="dxa"/>
            <w:tcBorders>
              <w:top w:val="nil"/>
              <w:left w:val="nil"/>
              <w:bottom w:val="single" w:sz="4" w:space="0" w:color="auto"/>
              <w:right w:val="single" w:sz="4" w:space="0" w:color="auto"/>
            </w:tcBorders>
            <w:shd w:val="clear" w:color="000000" w:fill="D9D9D9"/>
            <w:vAlign w:val="center"/>
            <w:hideMark/>
          </w:tcPr>
          <w:p w14:paraId="5FEF1059"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54" w:type="dxa"/>
            <w:tcBorders>
              <w:top w:val="nil"/>
              <w:left w:val="nil"/>
              <w:bottom w:val="single" w:sz="4" w:space="0" w:color="auto"/>
              <w:right w:val="single" w:sz="4" w:space="0" w:color="auto"/>
            </w:tcBorders>
            <w:shd w:val="clear" w:color="000000" w:fill="D9D9D9"/>
            <w:vAlign w:val="center"/>
            <w:hideMark/>
          </w:tcPr>
          <w:p w14:paraId="5FEF105A"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3" w:type="dxa"/>
            <w:tcBorders>
              <w:top w:val="nil"/>
              <w:left w:val="nil"/>
              <w:bottom w:val="single" w:sz="4" w:space="0" w:color="auto"/>
              <w:right w:val="single" w:sz="4" w:space="0" w:color="auto"/>
            </w:tcBorders>
            <w:shd w:val="clear" w:color="000000" w:fill="D9D9D9"/>
            <w:vAlign w:val="center"/>
            <w:hideMark/>
          </w:tcPr>
          <w:p w14:paraId="5FEF105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5,364,000</w:t>
            </w:r>
          </w:p>
        </w:tc>
        <w:tc>
          <w:tcPr>
            <w:tcW w:w="228" w:type="dxa"/>
            <w:tcBorders>
              <w:top w:val="nil"/>
              <w:left w:val="nil"/>
              <w:bottom w:val="single" w:sz="4" w:space="0" w:color="auto"/>
              <w:right w:val="single" w:sz="4" w:space="0" w:color="auto"/>
            </w:tcBorders>
            <w:shd w:val="clear" w:color="000000" w:fill="D9D9D9"/>
            <w:vAlign w:val="center"/>
            <w:hideMark/>
          </w:tcPr>
          <w:p w14:paraId="5FEF105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105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5,364,000</w:t>
            </w:r>
          </w:p>
        </w:tc>
        <w:tc>
          <w:tcPr>
            <w:tcW w:w="303" w:type="dxa"/>
            <w:tcBorders>
              <w:top w:val="nil"/>
              <w:left w:val="nil"/>
              <w:bottom w:val="single" w:sz="4" w:space="0" w:color="auto"/>
              <w:right w:val="single" w:sz="4" w:space="0" w:color="auto"/>
            </w:tcBorders>
            <w:shd w:val="clear" w:color="000000" w:fill="D9D9D9"/>
            <w:vAlign w:val="center"/>
            <w:hideMark/>
          </w:tcPr>
          <w:p w14:paraId="5FEF105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5,364,000</w:t>
            </w:r>
          </w:p>
        </w:tc>
        <w:tc>
          <w:tcPr>
            <w:tcW w:w="228" w:type="dxa"/>
            <w:tcBorders>
              <w:top w:val="nil"/>
              <w:left w:val="nil"/>
              <w:bottom w:val="single" w:sz="4" w:space="0" w:color="auto"/>
              <w:right w:val="single" w:sz="4" w:space="0" w:color="auto"/>
            </w:tcBorders>
            <w:shd w:val="clear" w:color="000000" w:fill="D9D9D9"/>
            <w:vAlign w:val="center"/>
            <w:hideMark/>
          </w:tcPr>
          <w:p w14:paraId="5FEF105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106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5,364,000</w:t>
            </w:r>
          </w:p>
        </w:tc>
        <w:tc>
          <w:tcPr>
            <w:tcW w:w="303" w:type="dxa"/>
            <w:tcBorders>
              <w:top w:val="nil"/>
              <w:left w:val="nil"/>
              <w:bottom w:val="single" w:sz="4" w:space="0" w:color="auto"/>
              <w:right w:val="single" w:sz="4" w:space="0" w:color="auto"/>
            </w:tcBorders>
            <w:shd w:val="clear" w:color="000000" w:fill="D9D9D9"/>
            <w:vAlign w:val="center"/>
            <w:hideMark/>
          </w:tcPr>
          <w:p w14:paraId="5FEF106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5,364,000</w:t>
            </w:r>
          </w:p>
        </w:tc>
        <w:tc>
          <w:tcPr>
            <w:tcW w:w="228" w:type="dxa"/>
            <w:tcBorders>
              <w:top w:val="nil"/>
              <w:left w:val="nil"/>
              <w:bottom w:val="single" w:sz="4" w:space="0" w:color="auto"/>
              <w:right w:val="single" w:sz="4" w:space="0" w:color="auto"/>
            </w:tcBorders>
            <w:shd w:val="clear" w:color="000000" w:fill="D9D9D9"/>
            <w:vAlign w:val="center"/>
            <w:hideMark/>
          </w:tcPr>
          <w:p w14:paraId="5FEF106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4" w:space="0" w:color="auto"/>
              <w:right w:val="single" w:sz="4" w:space="0" w:color="auto"/>
            </w:tcBorders>
            <w:shd w:val="clear" w:color="000000" w:fill="D9D9D9"/>
            <w:vAlign w:val="center"/>
            <w:hideMark/>
          </w:tcPr>
          <w:p w14:paraId="5FEF106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5,364,000</w:t>
            </w:r>
          </w:p>
        </w:tc>
        <w:tc>
          <w:tcPr>
            <w:tcW w:w="345" w:type="dxa"/>
            <w:tcBorders>
              <w:top w:val="nil"/>
              <w:left w:val="nil"/>
              <w:bottom w:val="single" w:sz="4" w:space="0" w:color="auto"/>
              <w:right w:val="single" w:sz="4" w:space="0" w:color="auto"/>
            </w:tcBorders>
            <w:shd w:val="clear" w:color="000000" w:fill="D9D9D9"/>
            <w:vAlign w:val="center"/>
            <w:hideMark/>
          </w:tcPr>
          <w:p w14:paraId="5FEF106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16,092,000</w:t>
            </w:r>
          </w:p>
        </w:tc>
        <w:tc>
          <w:tcPr>
            <w:tcW w:w="228" w:type="dxa"/>
            <w:tcBorders>
              <w:top w:val="nil"/>
              <w:left w:val="nil"/>
              <w:bottom w:val="single" w:sz="4" w:space="0" w:color="auto"/>
              <w:right w:val="single" w:sz="4" w:space="0" w:color="auto"/>
            </w:tcBorders>
            <w:shd w:val="clear" w:color="000000" w:fill="D9D9D9"/>
            <w:vAlign w:val="center"/>
            <w:hideMark/>
          </w:tcPr>
          <w:p w14:paraId="5FEF106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106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16,092,000</w:t>
            </w:r>
          </w:p>
        </w:tc>
        <w:tc>
          <w:tcPr>
            <w:tcW w:w="345" w:type="dxa"/>
            <w:tcBorders>
              <w:top w:val="nil"/>
              <w:left w:val="nil"/>
              <w:bottom w:val="single" w:sz="4" w:space="0" w:color="auto"/>
              <w:right w:val="single" w:sz="4" w:space="0" w:color="auto"/>
            </w:tcBorders>
            <w:shd w:val="clear" w:color="000000" w:fill="D9D9D9"/>
            <w:vAlign w:val="center"/>
            <w:hideMark/>
          </w:tcPr>
          <w:p w14:paraId="5FEF106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16,092,000</w:t>
            </w:r>
          </w:p>
        </w:tc>
        <w:tc>
          <w:tcPr>
            <w:tcW w:w="228" w:type="dxa"/>
            <w:tcBorders>
              <w:top w:val="nil"/>
              <w:left w:val="nil"/>
              <w:bottom w:val="single" w:sz="4" w:space="0" w:color="auto"/>
              <w:right w:val="single" w:sz="4" w:space="0" w:color="auto"/>
            </w:tcBorders>
            <w:shd w:val="clear" w:color="000000" w:fill="D9D9D9"/>
            <w:vAlign w:val="center"/>
            <w:hideMark/>
          </w:tcPr>
          <w:p w14:paraId="5FEF106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FEF106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16,092,000</w:t>
            </w:r>
          </w:p>
        </w:tc>
        <w:tc>
          <w:tcPr>
            <w:tcW w:w="218" w:type="dxa"/>
            <w:tcBorders>
              <w:top w:val="nil"/>
              <w:left w:val="nil"/>
              <w:bottom w:val="single" w:sz="4" w:space="0" w:color="auto"/>
              <w:right w:val="single" w:sz="4" w:space="0" w:color="auto"/>
            </w:tcBorders>
            <w:shd w:val="clear" w:color="000000" w:fill="D9D9D9"/>
            <w:vAlign w:val="center"/>
            <w:hideMark/>
          </w:tcPr>
          <w:p w14:paraId="5FEF106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4" w:space="0" w:color="auto"/>
              <w:right w:val="single" w:sz="4" w:space="0" w:color="auto"/>
            </w:tcBorders>
            <w:shd w:val="clear" w:color="000000" w:fill="D9D9D9"/>
            <w:vAlign w:val="center"/>
            <w:hideMark/>
          </w:tcPr>
          <w:p w14:paraId="5FEF106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4" w:space="0" w:color="auto"/>
              <w:right w:val="single" w:sz="4" w:space="0" w:color="auto"/>
            </w:tcBorders>
            <w:shd w:val="clear" w:color="000000" w:fill="D9D9D9"/>
            <w:vAlign w:val="center"/>
            <w:hideMark/>
          </w:tcPr>
          <w:p w14:paraId="5FEF106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4" w:space="0" w:color="auto"/>
              <w:right w:val="single" w:sz="4" w:space="0" w:color="auto"/>
            </w:tcBorders>
            <w:shd w:val="clear" w:color="000000" w:fill="D9D9D9"/>
            <w:vAlign w:val="center"/>
            <w:hideMark/>
          </w:tcPr>
          <w:p w14:paraId="5FEF106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4" w:space="0" w:color="auto"/>
              <w:right w:val="single" w:sz="4" w:space="0" w:color="auto"/>
            </w:tcBorders>
            <w:shd w:val="clear" w:color="000000" w:fill="D9D9D9"/>
            <w:vAlign w:val="center"/>
            <w:hideMark/>
          </w:tcPr>
          <w:p w14:paraId="5FEF106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D845EC" w:rsidRPr="00795698" w14:paraId="5FEF108B" w14:textId="77777777" w:rsidTr="00D845EC">
        <w:trPr>
          <w:trHeight w:val="180"/>
        </w:trPr>
        <w:tc>
          <w:tcPr>
            <w:tcW w:w="164" w:type="dxa"/>
            <w:tcBorders>
              <w:top w:val="nil"/>
              <w:left w:val="single" w:sz="8" w:space="0" w:color="auto"/>
              <w:bottom w:val="single" w:sz="8" w:space="0" w:color="auto"/>
              <w:right w:val="single" w:sz="4" w:space="0" w:color="auto"/>
            </w:tcBorders>
            <w:shd w:val="clear" w:color="000000" w:fill="A9D08E"/>
            <w:noWrap/>
            <w:vAlign w:val="bottom"/>
            <w:hideMark/>
          </w:tcPr>
          <w:p w14:paraId="5FEF1070" w14:textId="77777777" w:rsidR="00D845EC" w:rsidRPr="00795698" w:rsidRDefault="00D845EC" w:rsidP="00D845EC">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814" w:type="dxa"/>
            <w:tcBorders>
              <w:top w:val="nil"/>
              <w:left w:val="nil"/>
              <w:bottom w:val="single" w:sz="8" w:space="0" w:color="auto"/>
              <w:right w:val="single" w:sz="4" w:space="0" w:color="auto"/>
            </w:tcBorders>
            <w:shd w:val="clear" w:color="000000" w:fill="A9D08E"/>
            <w:noWrap/>
            <w:vAlign w:val="center"/>
            <w:hideMark/>
          </w:tcPr>
          <w:p w14:paraId="5FEF1071" w14:textId="77777777" w:rsidR="00D845EC" w:rsidRPr="00795698" w:rsidRDefault="00D845EC" w:rsidP="00D845EC">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e Planit të Veprimit</w:t>
            </w:r>
          </w:p>
        </w:tc>
        <w:tc>
          <w:tcPr>
            <w:tcW w:w="350" w:type="dxa"/>
            <w:tcBorders>
              <w:top w:val="nil"/>
              <w:left w:val="nil"/>
              <w:bottom w:val="single" w:sz="8" w:space="0" w:color="auto"/>
              <w:right w:val="single" w:sz="4" w:space="0" w:color="auto"/>
            </w:tcBorders>
            <w:shd w:val="clear" w:color="000000" w:fill="A9D08E"/>
            <w:noWrap/>
            <w:vAlign w:val="center"/>
            <w:hideMark/>
          </w:tcPr>
          <w:p w14:paraId="5FEF1072"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58" w:type="dxa"/>
            <w:tcBorders>
              <w:top w:val="nil"/>
              <w:left w:val="nil"/>
              <w:bottom w:val="single" w:sz="8" w:space="0" w:color="auto"/>
              <w:right w:val="single" w:sz="4" w:space="0" w:color="auto"/>
            </w:tcBorders>
            <w:shd w:val="clear" w:color="000000" w:fill="A9D08E"/>
            <w:noWrap/>
            <w:vAlign w:val="bottom"/>
            <w:hideMark/>
          </w:tcPr>
          <w:p w14:paraId="5FEF1073" w14:textId="77777777" w:rsidR="00D845EC" w:rsidRPr="00795698" w:rsidRDefault="00D845EC" w:rsidP="00D845EC">
            <w:pP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1442" w:type="dxa"/>
            <w:tcBorders>
              <w:top w:val="nil"/>
              <w:left w:val="nil"/>
              <w:bottom w:val="single" w:sz="8" w:space="0" w:color="auto"/>
              <w:right w:val="single" w:sz="4" w:space="0" w:color="auto"/>
            </w:tcBorders>
            <w:shd w:val="clear" w:color="000000" w:fill="A9D08E"/>
            <w:noWrap/>
            <w:vAlign w:val="bottom"/>
            <w:hideMark/>
          </w:tcPr>
          <w:p w14:paraId="5FEF1074"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1" w:type="dxa"/>
            <w:tcBorders>
              <w:top w:val="nil"/>
              <w:left w:val="nil"/>
              <w:bottom w:val="single" w:sz="8" w:space="0" w:color="auto"/>
              <w:right w:val="single" w:sz="4" w:space="0" w:color="auto"/>
            </w:tcBorders>
            <w:shd w:val="clear" w:color="000000" w:fill="A9D08E"/>
            <w:noWrap/>
            <w:vAlign w:val="bottom"/>
            <w:hideMark/>
          </w:tcPr>
          <w:p w14:paraId="5FEF1075"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54" w:type="dxa"/>
            <w:tcBorders>
              <w:top w:val="nil"/>
              <w:left w:val="nil"/>
              <w:bottom w:val="single" w:sz="8" w:space="0" w:color="auto"/>
              <w:right w:val="single" w:sz="4" w:space="0" w:color="auto"/>
            </w:tcBorders>
            <w:shd w:val="clear" w:color="000000" w:fill="A9D08E"/>
            <w:noWrap/>
            <w:vAlign w:val="bottom"/>
            <w:hideMark/>
          </w:tcPr>
          <w:p w14:paraId="5FEF1076" w14:textId="77777777" w:rsidR="00D845EC" w:rsidRPr="00795698" w:rsidRDefault="00D845EC" w:rsidP="00D845EC">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3" w:type="dxa"/>
            <w:tcBorders>
              <w:top w:val="nil"/>
              <w:left w:val="nil"/>
              <w:bottom w:val="single" w:sz="8" w:space="0" w:color="auto"/>
              <w:right w:val="single" w:sz="4" w:space="0" w:color="auto"/>
            </w:tcBorders>
            <w:shd w:val="clear" w:color="000000" w:fill="A9D08E"/>
            <w:noWrap/>
            <w:vAlign w:val="center"/>
            <w:hideMark/>
          </w:tcPr>
          <w:p w14:paraId="5FEF107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774,667,838</w:t>
            </w:r>
          </w:p>
        </w:tc>
        <w:tc>
          <w:tcPr>
            <w:tcW w:w="228" w:type="dxa"/>
            <w:tcBorders>
              <w:top w:val="nil"/>
              <w:left w:val="nil"/>
              <w:bottom w:val="single" w:sz="8" w:space="0" w:color="auto"/>
              <w:right w:val="single" w:sz="4" w:space="0" w:color="auto"/>
            </w:tcBorders>
            <w:shd w:val="clear" w:color="000000" w:fill="A9D08E"/>
            <w:noWrap/>
            <w:vAlign w:val="center"/>
            <w:hideMark/>
          </w:tcPr>
          <w:p w14:paraId="5FEF107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8" w:space="0" w:color="auto"/>
              <w:right w:val="single" w:sz="4" w:space="0" w:color="auto"/>
            </w:tcBorders>
            <w:shd w:val="clear" w:color="000000" w:fill="A9D08E"/>
            <w:noWrap/>
            <w:vAlign w:val="center"/>
            <w:hideMark/>
          </w:tcPr>
          <w:p w14:paraId="5FEF107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774,653,838</w:t>
            </w:r>
          </w:p>
        </w:tc>
        <w:tc>
          <w:tcPr>
            <w:tcW w:w="303" w:type="dxa"/>
            <w:tcBorders>
              <w:top w:val="nil"/>
              <w:left w:val="nil"/>
              <w:bottom w:val="single" w:sz="8" w:space="0" w:color="auto"/>
              <w:right w:val="single" w:sz="4" w:space="0" w:color="auto"/>
            </w:tcBorders>
            <w:shd w:val="clear" w:color="000000" w:fill="A9D08E"/>
            <w:noWrap/>
            <w:vAlign w:val="center"/>
            <w:hideMark/>
          </w:tcPr>
          <w:p w14:paraId="5FEF107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774,667,838</w:t>
            </w:r>
          </w:p>
        </w:tc>
        <w:tc>
          <w:tcPr>
            <w:tcW w:w="228" w:type="dxa"/>
            <w:tcBorders>
              <w:top w:val="nil"/>
              <w:left w:val="nil"/>
              <w:bottom w:val="single" w:sz="8" w:space="0" w:color="auto"/>
              <w:right w:val="single" w:sz="4" w:space="0" w:color="auto"/>
            </w:tcBorders>
            <w:shd w:val="clear" w:color="000000" w:fill="A9D08E"/>
            <w:noWrap/>
            <w:vAlign w:val="center"/>
            <w:hideMark/>
          </w:tcPr>
          <w:p w14:paraId="5FEF107B"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8" w:space="0" w:color="auto"/>
              <w:right w:val="single" w:sz="4" w:space="0" w:color="auto"/>
            </w:tcBorders>
            <w:shd w:val="clear" w:color="000000" w:fill="A9D08E"/>
            <w:noWrap/>
            <w:vAlign w:val="center"/>
            <w:hideMark/>
          </w:tcPr>
          <w:p w14:paraId="5FEF107C"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774,653,838</w:t>
            </w:r>
          </w:p>
        </w:tc>
        <w:tc>
          <w:tcPr>
            <w:tcW w:w="303" w:type="dxa"/>
            <w:tcBorders>
              <w:top w:val="nil"/>
              <w:left w:val="nil"/>
              <w:bottom w:val="single" w:sz="8" w:space="0" w:color="auto"/>
              <w:right w:val="single" w:sz="4" w:space="0" w:color="auto"/>
            </w:tcBorders>
            <w:shd w:val="clear" w:color="000000" w:fill="A9D08E"/>
            <w:noWrap/>
            <w:vAlign w:val="center"/>
            <w:hideMark/>
          </w:tcPr>
          <w:p w14:paraId="5FEF107D"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777,613,838</w:t>
            </w:r>
          </w:p>
        </w:tc>
        <w:tc>
          <w:tcPr>
            <w:tcW w:w="228" w:type="dxa"/>
            <w:tcBorders>
              <w:top w:val="nil"/>
              <w:left w:val="nil"/>
              <w:bottom w:val="single" w:sz="8" w:space="0" w:color="auto"/>
              <w:right w:val="single" w:sz="4" w:space="0" w:color="auto"/>
            </w:tcBorders>
            <w:shd w:val="clear" w:color="000000" w:fill="A9D08E"/>
            <w:noWrap/>
            <w:vAlign w:val="center"/>
            <w:hideMark/>
          </w:tcPr>
          <w:p w14:paraId="5FEF107E"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3" w:type="dxa"/>
            <w:tcBorders>
              <w:top w:val="nil"/>
              <w:left w:val="nil"/>
              <w:bottom w:val="single" w:sz="8" w:space="0" w:color="auto"/>
              <w:right w:val="single" w:sz="4" w:space="0" w:color="auto"/>
            </w:tcBorders>
            <w:shd w:val="clear" w:color="000000" w:fill="A9D08E"/>
            <w:noWrap/>
            <w:vAlign w:val="center"/>
            <w:hideMark/>
          </w:tcPr>
          <w:p w14:paraId="5FEF107F"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777,599,838</w:t>
            </w:r>
          </w:p>
        </w:tc>
        <w:tc>
          <w:tcPr>
            <w:tcW w:w="345" w:type="dxa"/>
            <w:tcBorders>
              <w:top w:val="nil"/>
              <w:left w:val="nil"/>
              <w:bottom w:val="single" w:sz="8" w:space="0" w:color="auto"/>
              <w:right w:val="single" w:sz="4" w:space="0" w:color="auto"/>
            </w:tcBorders>
            <w:shd w:val="clear" w:color="000000" w:fill="A9D08E"/>
            <w:noWrap/>
            <w:vAlign w:val="center"/>
            <w:hideMark/>
          </w:tcPr>
          <w:p w14:paraId="5FEF1080"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2,326,949,515</w:t>
            </w:r>
          </w:p>
        </w:tc>
        <w:tc>
          <w:tcPr>
            <w:tcW w:w="228" w:type="dxa"/>
            <w:tcBorders>
              <w:top w:val="nil"/>
              <w:left w:val="nil"/>
              <w:bottom w:val="single" w:sz="8" w:space="0" w:color="auto"/>
              <w:right w:val="single" w:sz="4" w:space="0" w:color="auto"/>
            </w:tcBorders>
            <w:shd w:val="clear" w:color="000000" w:fill="A9D08E"/>
            <w:noWrap/>
            <w:vAlign w:val="center"/>
            <w:hideMark/>
          </w:tcPr>
          <w:p w14:paraId="5FEF1081"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8" w:space="0" w:color="auto"/>
              <w:right w:val="single" w:sz="4" w:space="0" w:color="auto"/>
            </w:tcBorders>
            <w:shd w:val="clear" w:color="000000" w:fill="A9D08E"/>
            <w:noWrap/>
            <w:vAlign w:val="center"/>
            <w:hideMark/>
          </w:tcPr>
          <w:p w14:paraId="5FEF1082"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2,326,949,515</w:t>
            </w:r>
          </w:p>
        </w:tc>
        <w:tc>
          <w:tcPr>
            <w:tcW w:w="345" w:type="dxa"/>
            <w:tcBorders>
              <w:top w:val="nil"/>
              <w:left w:val="nil"/>
              <w:bottom w:val="single" w:sz="8" w:space="0" w:color="auto"/>
              <w:right w:val="single" w:sz="4" w:space="0" w:color="auto"/>
            </w:tcBorders>
            <w:shd w:val="clear" w:color="000000" w:fill="A9D08E"/>
            <w:noWrap/>
            <w:vAlign w:val="center"/>
            <w:hideMark/>
          </w:tcPr>
          <w:p w14:paraId="5FEF1083"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2,326,949,515</w:t>
            </w:r>
          </w:p>
        </w:tc>
        <w:tc>
          <w:tcPr>
            <w:tcW w:w="228" w:type="dxa"/>
            <w:tcBorders>
              <w:top w:val="nil"/>
              <w:left w:val="nil"/>
              <w:bottom w:val="single" w:sz="8" w:space="0" w:color="auto"/>
              <w:right w:val="single" w:sz="4" w:space="0" w:color="auto"/>
            </w:tcBorders>
            <w:shd w:val="clear" w:color="000000" w:fill="A9D08E"/>
            <w:noWrap/>
            <w:vAlign w:val="center"/>
            <w:hideMark/>
          </w:tcPr>
          <w:p w14:paraId="5FEF1084"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45" w:type="dxa"/>
            <w:tcBorders>
              <w:top w:val="nil"/>
              <w:left w:val="nil"/>
              <w:bottom w:val="single" w:sz="8" w:space="0" w:color="auto"/>
              <w:right w:val="single" w:sz="4" w:space="0" w:color="auto"/>
            </w:tcBorders>
            <w:shd w:val="clear" w:color="000000" w:fill="A9D08E"/>
            <w:noWrap/>
            <w:vAlign w:val="center"/>
            <w:hideMark/>
          </w:tcPr>
          <w:p w14:paraId="5FEF1085"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2,326,949,515</w:t>
            </w:r>
          </w:p>
        </w:tc>
        <w:tc>
          <w:tcPr>
            <w:tcW w:w="218" w:type="dxa"/>
            <w:tcBorders>
              <w:top w:val="nil"/>
              <w:left w:val="nil"/>
              <w:bottom w:val="single" w:sz="8" w:space="0" w:color="auto"/>
              <w:right w:val="single" w:sz="4" w:space="0" w:color="auto"/>
            </w:tcBorders>
            <w:shd w:val="clear" w:color="000000" w:fill="A9D08E"/>
            <w:noWrap/>
            <w:vAlign w:val="center"/>
            <w:hideMark/>
          </w:tcPr>
          <w:p w14:paraId="5FEF1086"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28" w:type="dxa"/>
            <w:tcBorders>
              <w:top w:val="nil"/>
              <w:left w:val="nil"/>
              <w:bottom w:val="single" w:sz="8" w:space="0" w:color="auto"/>
              <w:right w:val="single" w:sz="4" w:space="0" w:color="auto"/>
            </w:tcBorders>
            <w:shd w:val="clear" w:color="000000" w:fill="A9D08E"/>
            <w:noWrap/>
            <w:vAlign w:val="center"/>
            <w:hideMark/>
          </w:tcPr>
          <w:p w14:paraId="5FEF1087"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34" w:type="dxa"/>
            <w:tcBorders>
              <w:top w:val="nil"/>
              <w:left w:val="nil"/>
              <w:bottom w:val="single" w:sz="8" w:space="0" w:color="auto"/>
              <w:right w:val="single" w:sz="4" w:space="0" w:color="auto"/>
            </w:tcBorders>
            <w:shd w:val="clear" w:color="000000" w:fill="A9D08E"/>
            <w:noWrap/>
            <w:vAlign w:val="center"/>
            <w:hideMark/>
          </w:tcPr>
          <w:p w14:paraId="5FEF1088"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9" w:type="dxa"/>
            <w:tcBorders>
              <w:top w:val="nil"/>
              <w:left w:val="nil"/>
              <w:bottom w:val="single" w:sz="8" w:space="0" w:color="auto"/>
              <w:right w:val="single" w:sz="4" w:space="0" w:color="auto"/>
            </w:tcBorders>
            <w:shd w:val="clear" w:color="000000" w:fill="A9D08E"/>
            <w:noWrap/>
            <w:vAlign w:val="center"/>
            <w:hideMark/>
          </w:tcPr>
          <w:p w14:paraId="5FEF1089"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0" w:type="dxa"/>
            <w:tcBorders>
              <w:top w:val="nil"/>
              <w:left w:val="nil"/>
              <w:bottom w:val="single" w:sz="8" w:space="0" w:color="auto"/>
              <w:right w:val="single" w:sz="4" w:space="0" w:color="auto"/>
            </w:tcBorders>
            <w:shd w:val="clear" w:color="000000" w:fill="A9D08E"/>
            <w:noWrap/>
            <w:vAlign w:val="center"/>
            <w:hideMark/>
          </w:tcPr>
          <w:p w14:paraId="5FEF108A" w14:textId="77777777" w:rsidR="00D845EC" w:rsidRPr="00795698" w:rsidRDefault="00D845EC" w:rsidP="00D845EC">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bl>
    <w:p w14:paraId="5FEF108C" w14:textId="77777777" w:rsidR="00B91F3F" w:rsidRPr="00795698" w:rsidRDefault="00B91F3F" w:rsidP="00876727">
      <w:pPr>
        <w:ind w:firstLine="284"/>
        <w:rPr>
          <w:rFonts w:ascii="Garamond" w:eastAsia="MS Mincho" w:hAnsi="Garamond"/>
        </w:rPr>
      </w:pPr>
    </w:p>
    <w:p w14:paraId="5FEF108D" w14:textId="77777777" w:rsidR="00876727" w:rsidRPr="00795698" w:rsidRDefault="00876727" w:rsidP="00484F64">
      <w:pPr>
        <w:pStyle w:val="TEKSTIIIII"/>
        <w:rPr>
          <w:i/>
          <w:sz w:val="18"/>
          <w:lang w:val="sq-AL"/>
        </w:rPr>
      </w:pPr>
    </w:p>
    <w:p w14:paraId="5FEF108E" w14:textId="77777777" w:rsidR="00AC030C" w:rsidRPr="00795698" w:rsidRDefault="00AC030C" w:rsidP="00484F64">
      <w:pPr>
        <w:pStyle w:val="TEKSTIIIII"/>
        <w:rPr>
          <w:i/>
          <w:sz w:val="18"/>
          <w:lang w:val="sq-AL"/>
        </w:rPr>
      </w:pPr>
    </w:p>
    <w:p w14:paraId="5FEF108F" w14:textId="77777777" w:rsidR="00AC030C" w:rsidRPr="00795698" w:rsidRDefault="00AC030C" w:rsidP="00484F64">
      <w:pPr>
        <w:pStyle w:val="TEKSTIIIII"/>
        <w:rPr>
          <w:i/>
          <w:sz w:val="18"/>
          <w:lang w:val="sq-AL"/>
        </w:rPr>
      </w:pPr>
    </w:p>
    <w:p w14:paraId="5FEF1090" w14:textId="77777777" w:rsidR="00AC030C" w:rsidRPr="00795698" w:rsidRDefault="00AC030C" w:rsidP="00484F64">
      <w:pPr>
        <w:pStyle w:val="TEKSTIIIII"/>
        <w:rPr>
          <w:i/>
          <w:sz w:val="18"/>
          <w:lang w:val="sq-AL"/>
        </w:rPr>
      </w:pPr>
    </w:p>
    <w:p w14:paraId="5FEF1091" w14:textId="77777777" w:rsidR="00AC030C" w:rsidRPr="00795698" w:rsidRDefault="00AC030C" w:rsidP="00484F64">
      <w:pPr>
        <w:pStyle w:val="TEKSTIIIII"/>
        <w:rPr>
          <w:i/>
          <w:sz w:val="18"/>
          <w:lang w:val="sq-AL"/>
        </w:rPr>
      </w:pPr>
    </w:p>
    <w:p w14:paraId="5FEF1092" w14:textId="77777777" w:rsidR="00AC030C" w:rsidRPr="00795698" w:rsidRDefault="00AC030C" w:rsidP="00484F64">
      <w:pPr>
        <w:pStyle w:val="TEKSTIIIII"/>
        <w:rPr>
          <w:i/>
          <w:sz w:val="18"/>
          <w:lang w:val="sq-AL"/>
        </w:rPr>
      </w:pPr>
    </w:p>
    <w:p w14:paraId="5FEF1093" w14:textId="77777777" w:rsidR="00AC030C" w:rsidRPr="00795698" w:rsidRDefault="00AC030C" w:rsidP="00484F64">
      <w:pPr>
        <w:pStyle w:val="TEKSTIIIII"/>
        <w:rPr>
          <w:i/>
          <w:sz w:val="18"/>
          <w:lang w:val="sq-AL"/>
        </w:rPr>
      </w:pPr>
    </w:p>
    <w:p w14:paraId="5FEF1094" w14:textId="77777777" w:rsidR="00AC030C" w:rsidRPr="00795698" w:rsidRDefault="00AC030C" w:rsidP="00484F64">
      <w:pPr>
        <w:pStyle w:val="TEKSTIIIII"/>
        <w:rPr>
          <w:i/>
          <w:sz w:val="18"/>
          <w:lang w:val="sq-AL"/>
        </w:rPr>
      </w:pPr>
    </w:p>
    <w:p w14:paraId="5FEF1095" w14:textId="77777777" w:rsidR="00AC030C" w:rsidRPr="00795698" w:rsidRDefault="00AC030C" w:rsidP="00484F64">
      <w:pPr>
        <w:pStyle w:val="TEKSTIIIII"/>
        <w:rPr>
          <w:i/>
          <w:sz w:val="18"/>
          <w:lang w:val="sq-AL"/>
        </w:rPr>
      </w:pPr>
    </w:p>
    <w:p w14:paraId="5FEF1096" w14:textId="77777777" w:rsidR="00E2233D" w:rsidRPr="00795698" w:rsidRDefault="00E2233D" w:rsidP="00484F64">
      <w:pPr>
        <w:pStyle w:val="TEKSTIIIII"/>
        <w:rPr>
          <w:i/>
          <w:sz w:val="18"/>
          <w:lang w:val="sq-AL"/>
        </w:rPr>
      </w:pPr>
    </w:p>
    <w:p w14:paraId="5FEF1097" w14:textId="77777777" w:rsidR="00E2233D" w:rsidRPr="00795698" w:rsidRDefault="00E2233D" w:rsidP="00484F64">
      <w:pPr>
        <w:pStyle w:val="TEKSTIIIII"/>
        <w:rPr>
          <w:i/>
          <w:sz w:val="18"/>
          <w:lang w:val="sq-AL"/>
        </w:rPr>
      </w:pPr>
    </w:p>
    <w:p w14:paraId="5FEF1098" w14:textId="77777777" w:rsidR="00E2233D" w:rsidRPr="00795698" w:rsidRDefault="00E2233D" w:rsidP="00484F64">
      <w:pPr>
        <w:pStyle w:val="TEKSTIIIII"/>
        <w:rPr>
          <w:i/>
          <w:sz w:val="18"/>
          <w:lang w:val="sq-AL"/>
        </w:rPr>
      </w:pPr>
    </w:p>
    <w:p w14:paraId="5FEF1099" w14:textId="77777777" w:rsidR="00E2233D" w:rsidRPr="00795698" w:rsidRDefault="00E2233D" w:rsidP="00484F64">
      <w:pPr>
        <w:pStyle w:val="TEKSTIIIII"/>
        <w:rPr>
          <w:i/>
          <w:sz w:val="18"/>
          <w:lang w:val="sq-AL"/>
        </w:rPr>
      </w:pPr>
    </w:p>
    <w:p w14:paraId="5FEF109A" w14:textId="77777777" w:rsidR="00E2233D" w:rsidRPr="00795698" w:rsidRDefault="00E2233D" w:rsidP="00484F64">
      <w:pPr>
        <w:pStyle w:val="TEKSTIIIII"/>
        <w:rPr>
          <w:i/>
          <w:sz w:val="18"/>
          <w:lang w:val="sq-AL"/>
        </w:rPr>
      </w:pPr>
    </w:p>
    <w:p w14:paraId="5FEF109B" w14:textId="77777777" w:rsidR="00E2233D" w:rsidRPr="00795698" w:rsidRDefault="00E2233D" w:rsidP="00484F64">
      <w:pPr>
        <w:pStyle w:val="TEKSTIIIII"/>
        <w:rPr>
          <w:i/>
          <w:sz w:val="18"/>
          <w:lang w:val="sq-AL"/>
        </w:rPr>
      </w:pPr>
    </w:p>
    <w:p w14:paraId="5FEF109C" w14:textId="77777777" w:rsidR="00E2233D" w:rsidRPr="00795698" w:rsidRDefault="00E2233D" w:rsidP="00484F64">
      <w:pPr>
        <w:pStyle w:val="TEKSTIIIII"/>
        <w:rPr>
          <w:i/>
          <w:sz w:val="18"/>
          <w:lang w:val="sq-AL"/>
        </w:rPr>
      </w:pPr>
    </w:p>
    <w:p w14:paraId="5FEF109D" w14:textId="77777777" w:rsidR="00E2233D" w:rsidRPr="00795698" w:rsidRDefault="00E2233D" w:rsidP="00484F64">
      <w:pPr>
        <w:pStyle w:val="TEKSTIIIII"/>
        <w:rPr>
          <w:i/>
          <w:sz w:val="18"/>
          <w:lang w:val="sq-AL"/>
        </w:rPr>
      </w:pPr>
    </w:p>
    <w:p w14:paraId="5FEF109E" w14:textId="77777777" w:rsidR="00E2233D" w:rsidRPr="00795698" w:rsidRDefault="00E2233D" w:rsidP="00484F64">
      <w:pPr>
        <w:pStyle w:val="TEKSTIIIII"/>
        <w:rPr>
          <w:i/>
          <w:sz w:val="18"/>
          <w:lang w:val="sq-AL"/>
        </w:rPr>
      </w:pPr>
    </w:p>
    <w:p w14:paraId="5FEF109F" w14:textId="77777777" w:rsidR="00E2233D" w:rsidRPr="00795698" w:rsidRDefault="00E2233D" w:rsidP="00484F64">
      <w:pPr>
        <w:pStyle w:val="TEKSTIIIII"/>
        <w:rPr>
          <w:i/>
          <w:sz w:val="18"/>
          <w:lang w:val="sq-AL"/>
        </w:rPr>
      </w:pPr>
    </w:p>
    <w:p w14:paraId="5FEF10A0" w14:textId="77777777" w:rsidR="00E2233D" w:rsidRPr="00795698" w:rsidRDefault="00E2233D" w:rsidP="00484F64">
      <w:pPr>
        <w:pStyle w:val="TEKSTIIIII"/>
        <w:rPr>
          <w:i/>
          <w:sz w:val="18"/>
          <w:lang w:val="sq-AL"/>
        </w:rPr>
      </w:pPr>
    </w:p>
    <w:tbl>
      <w:tblPr>
        <w:tblW w:w="13859" w:type="dxa"/>
        <w:jc w:val="center"/>
        <w:tblLook w:val="04A0" w:firstRow="1" w:lastRow="0" w:firstColumn="1" w:lastColumn="0" w:noHBand="0" w:noVBand="1"/>
      </w:tblPr>
      <w:tblGrid>
        <w:gridCol w:w="1622"/>
        <w:gridCol w:w="981"/>
        <w:gridCol w:w="2412"/>
        <w:gridCol w:w="452"/>
        <w:gridCol w:w="554"/>
        <w:gridCol w:w="728"/>
        <w:gridCol w:w="728"/>
        <w:gridCol w:w="728"/>
        <w:gridCol w:w="728"/>
        <w:gridCol w:w="661"/>
        <w:gridCol w:w="728"/>
        <w:gridCol w:w="728"/>
        <w:gridCol w:w="528"/>
        <w:gridCol w:w="408"/>
        <w:gridCol w:w="554"/>
        <w:gridCol w:w="1319"/>
      </w:tblGrid>
      <w:tr w:rsidR="00E2233D" w:rsidRPr="00795698" w14:paraId="5FEF10A2"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0A1" w14:textId="77777777"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 I: MBAJTJA E KËRCËNIMIT TERRORIST NË NIVEL “TË ULËT”</w:t>
            </w:r>
          </w:p>
        </w:tc>
      </w:tr>
      <w:tr w:rsidR="00E2233D" w:rsidRPr="00795698" w14:paraId="5FEF10AA"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0A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lastRenderedPageBreak/>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0A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0A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0A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0A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0A8" w14:textId="23FAFE6C"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0A9" w14:textId="3CE4DDA5"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0B5"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0AB"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0A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0A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0A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0AF" w14:textId="2018B6A2"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0B0"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0B1" w14:textId="30EE0AEC"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0B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0B3"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0B4" w14:textId="77777777" w:rsidR="00E2233D" w:rsidRPr="00795698" w:rsidRDefault="00E2233D" w:rsidP="00E2233D">
            <w:pPr>
              <w:rPr>
                <w:rFonts w:ascii="Arial" w:hAnsi="Arial" w:cs="Arial"/>
                <w:b/>
                <w:bCs/>
                <w:color w:val="000000"/>
                <w:sz w:val="8"/>
                <w:szCs w:val="8"/>
                <w:lang w:eastAsia="sq-AL"/>
              </w:rPr>
            </w:pPr>
          </w:p>
        </w:tc>
      </w:tr>
      <w:tr w:rsidR="00E2233D" w:rsidRPr="00795698" w14:paraId="5FEF10C6"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0B6"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0B7"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0B8"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0B9"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0BA"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0B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0B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0B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0B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0B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0C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0C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0C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0C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tcBorders>
              <w:top w:val="nil"/>
              <w:left w:val="nil"/>
              <w:bottom w:val="single" w:sz="8" w:space="0" w:color="auto"/>
              <w:right w:val="single" w:sz="8" w:space="0" w:color="auto"/>
            </w:tcBorders>
            <w:shd w:val="clear" w:color="auto" w:fill="auto"/>
            <w:vAlign w:val="center"/>
            <w:hideMark/>
          </w:tcPr>
          <w:p w14:paraId="5FEF10C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1319" w:type="dxa"/>
            <w:vMerge/>
            <w:tcBorders>
              <w:top w:val="nil"/>
              <w:left w:val="single" w:sz="8" w:space="0" w:color="auto"/>
              <w:bottom w:val="single" w:sz="4" w:space="0" w:color="000000"/>
              <w:right w:val="single" w:sz="8" w:space="0" w:color="auto"/>
            </w:tcBorders>
            <w:vAlign w:val="center"/>
            <w:hideMark/>
          </w:tcPr>
          <w:p w14:paraId="5FEF10C5" w14:textId="77777777" w:rsidR="00E2233D" w:rsidRPr="00795698" w:rsidRDefault="00E2233D" w:rsidP="00E2233D">
            <w:pPr>
              <w:rPr>
                <w:rFonts w:ascii="Arial" w:hAnsi="Arial" w:cs="Arial"/>
                <w:b/>
                <w:bCs/>
                <w:color w:val="000000"/>
                <w:sz w:val="8"/>
                <w:szCs w:val="8"/>
                <w:lang w:eastAsia="sq-AL"/>
              </w:rPr>
            </w:pPr>
          </w:p>
        </w:tc>
      </w:tr>
      <w:tr w:rsidR="00E2233D" w:rsidRPr="00795698" w14:paraId="5FEF10D7"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0C7"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PARANDALIMI I KËRCËNIMEVE TERRORISTE</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0C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DPPSH/DAT</w:t>
            </w:r>
            <w:r w:rsidRPr="00795698">
              <w:rPr>
                <w:rFonts w:ascii="Arial" w:hAnsi="Arial" w:cs="Arial"/>
                <w:color w:val="000000"/>
                <w:sz w:val="8"/>
                <w:szCs w:val="8"/>
                <w:lang w:eastAsia="sq-AL"/>
              </w:rPr>
              <w:br/>
              <w:t>MM/AISM</w:t>
            </w:r>
            <w:r w:rsidRPr="00795698">
              <w:rPr>
                <w:rFonts w:ascii="Arial" w:hAnsi="Arial" w:cs="Arial"/>
                <w:color w:val="000000"/>
                <w:sz w:val="8"/>
                <w:szCs w:val="8"/>
                <w:lang w:eastAsia="sq-AL"/>
              </w:rPr>
              <w:br/>
              <w:t>PSH/DKM</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0C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SHISH/ MM/AISM/PP/SPAK/MFE/ DPPPP/MD/DPB</w:t>
            </w:r>
            <w:r w:rsidRPr="00795698">
              <w:rPr>
                <w:rFonts w:ascii="Arial" w:hAnsi="Arial" w:cs="Arial"/>
                <w:color w:val="000000"/>
                <w:sz w:val="8"/>
                <w:szCs w:val="8"/>
                <w:lang w:eastAsia="sq-AL"/>
              </w:rPr>
              <w:br/>
              <w:t>MEPJ</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0C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0C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0C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134,304,000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0C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0C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134,304,000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0C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134,304,000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0D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0D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134,304,000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0D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0D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0D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0D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0D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1,091,902</w:t>
            </w:r>
          </w:p>
        </w:tc>
      </w:tr>
      <w:tr w:rsidR="00E2233D" w:rsidRPr="00795698" w14:paraId="5FEF10E8"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0D8"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PARANDALIMI I FINANCIMIT TË TERRORIZMIT</w:t>
            </w:r>
          </w:p>
        </w:tc>
        <w:tc>
          <w:tcPr>
            <w:tcW w:w="981" w:type="dxa"/>
            <w:tcBorders>
              <w:top w:val="nil"/>
              <w:left w:val="nil"/>
              <w:bottom w:val="single" w:sz="4" w:space="0" w:color="auto"/>
              <w:right w:val="single" w:sz="4" w:space="0" w:color="auto"/>
            </w:tcBorders>
            <w:shd w:val="clear" w:color="auto" w:fill="auto"/>
            <w:vAlign w:val="center"/>
            <w:hideMark/>
          </w:tcPr>
          <w:p w14:paraId="5FEF10D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PSH/DAT</w:t>
            </w:r>
            <w:r w:rsidRPr="00795698">
              <w:rPr>
                <w:rFonts w:ascii="Arial" w:hAnsi="Arial" w:cs="Arial"/>
                <w:color w:val="000000"/>
                <w:sz w:val="8"/>
                <w:szCs w:val="8"/>
                <w:lang w:eastAsia="sq-AL"/>
              </w:rPr>
              <w:br/>
              <w:t>DPPPPP</w:t>
            </w:r>
          </w:p>
        </w:tc>
        <w:tc>
          <w:tcPr>
            <w:tcW w:w="2412" w:type="dxa"/>
            <w:tcBorders>
              <w:top w:val="nil"/>
              <w:left w:val="nil"/>
              <w:bottom w:val="single" w:sz="4" w:space="0" w:color="auto"/>
              <w:right w:val="single" w:sz="4" w:space="0" w:color="auto"/>
            </w:tcBorders>
            <w:shd w:val="clear" w:color="auto" w:fill="auto"/>
            <w:vAlign w:val="center"/>
            <w:hideMark/>
          </w:tcPr>
          <w:p w14:paraId="5FEF10D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SHISH/ MM/AISM/MFE/PP/SPAK/DPPPP/BSH/ MEPJ/SPAK</w:t>
            </w:r>
          </w:p>
        </w:tc>
        <w:tc>
          <w:tcPr>
            <w:tcW w:w="452" w:type="dxa"/>
            <w:tcBorders>
              <w:top w:val="nil"/>
              <w:left w:val="nil"/>
              <w:bottom w:val="single" w:sz="4" w:space="0" w:color="auto"/>
              <w:right w:val="single" w:sz="4" w:space="0" w:color="auto"/>
            </w:tcBorders>
            <w:shd w:val="clear" w:color="auto" w:fill="auto"/>
            <w:vAlign w:val="center"/>
            <w:hideMark/>
          </w:tcPr>
          <w:p w14:paraId="5FEF10D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0D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0D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79,794,000</w:t>
            </w:r>
          </w:p>
        </w:tc>
        <w:tc>
          <w:tcPr>
            <w:tcW w:w="728" w:type="dxa"/>
            <w:tcBorders>
              <w:top w:val="nil"/>
              <w:left w:val="nil"/>
              <w:bottom w:val="single" w:sz="4" w:space="0" w:color="auto"/>
              <w:right w:val="single" w:sz="4" w:space="0" w:color="auto"/>
            </w:tcBorders>
            <w:shd w:val="clear" w:color="auto" w:fill="auto"/>
            <w:vAlign w:val="center"/>
            <w:hideMark/>
          </w:tcPr>
          <w:p w14:paraId="5FEF10D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0D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79,794,000</w:t>
            </w:r>
          </w:p>
        </w:tc>
        <w:tc>
          <w:tcPr>
            <w:tcW w:w="728" w:type="dxa"/>
            <w:tcBorders>
              <w:top w:val="nil"/>
              <w:left w:val="nil"/>
              <w:bottom w:val="single" w:sz="4" w:space="0" w:color="auto"/>
              <w:right w:val="single" w:sz="4" w:space="0" w:color="auto"/>
            </w:tcBorders>
            <w:shd w:val="clear" w:color="auto" w:fill="auto"/>
            <w:vAlign w:val="center"/>
            <w:hideMark/>
          </w:tcPr>
          <w:p w14:paraId="5FEF10E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79,794,000</w:t>
            </w:r>
          </w:p>
        </w:tc>
        <w:tc>
          <w:tcPr>
            <w:tcW w:w="661" w:type="dxa"/>
            <w:tcBorders>
              <w:top w:val="nil"/>
              <w:left w:val="nil"/>
              <w:bottom w:val="single" w:sz="4" w:space="0" w:color="auto"/>
              <w:right w:val="single" w:sz="4" w:space="0" w:color="auto"/>
            </w:tcBorders>
            <w:shd w:val="clear" w:color="auto" w:fill="auto"/>
            <w:vAlign w:val="center"/>
            <w:hideMark/>
          </w:tcPr>
          <w:p w14:paraId="5FEF10E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0E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79,794,000</w:t>
            </w:r>
          </w:p>
        </w:tc>
        <w:tc>
          <w:tcPr>
            <w:tcW w:w="728" w:type="dxa"/>
            <w:tcBorders>
              <w:top w:val="nil"/>
              <w:left w:val="nil"/>
              <w:bottom w:val="single" w:sz="4" w:space="0" w:color="auto"/>
              <w:right w:val="single" w:sz="4" w:space="0" w:color="auto"/>
            </w:tcBorders>
            <w:shd w:val="clear" w:color="auto" w:fill="auto"/>
            <w:vAlign w:val="center"/>
            <w:hideMark/>
          </w:tcPr>
          <w:p w14:paraId="5FEF10E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0E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0E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0E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0E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648,732</w:t>
            </w:r>
          </w:p>
        </w:tc>
      </w:tr>
      <w:tr w:rsidR="00E2233D" w:rsidRPr="00795698" w14:paraId="5FEF10F9"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center"/>
            <w:hideMark/>
          </w:tcPr>
          <w:p w14:paraId="5FEF10E9" w14:textId="6E378214"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INTENSIFIKIMI I MASAVE PËR NDJEKJEN DHE MONITORIMIN E SITUATËS LIDHUR ME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SHTETASIT</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SHQIPTARË LHT QË MUND TË KTHEHEN NGA ZONAT E KONFLIKTIT SIRI/IRAK, SI DHE ÇDO INDIVIDI TË DYSHUAR PËR VEPRA ME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QËLLIME TERRORISTE.</w:t>
            </w:r>
          </w:p>
        </w:tc>
        <w:tc>
          <w:tcPr>
            <w:tcW w:w="981" w:type="dxa"/>
            <w:tcBorders>
              <w:top w:val="nil"/>
              <w:left w:val="nil"/>
              <w:bottom w:val="single" w:sz="4" w:space="0" w:color="auto"/>
              <w:right w:val="single" w:sz="4" w:space="0" w:color="auto"/>
            </w:tcBorders>
            <w:shd w:val="clear" w:color="auto" w:fill="auto"/>
            <w:vAlign w:val="center"/>
            <w:hideMark/>
          </w:tcPr>
          <w:p w14:paraId="5FEF10EA"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DPPSH/DAT</w:t>
            </w:r>
          </w:p>
        </w:tc>
        <w:tc>
          <w:tcPr>
            <w:tcW w:w="2412" w:type="dxa"/>
            <w:tcBorders>
              <w:top w:val="nil"/>
              <w:left w:val="nil"/>
              <w:bottom w:val="single" w:sz="4" w:space="0" w:color="auto"/>
              <w:right w:val="single" w:sz="4" w:space="0" w:color="auto"/>
            </w:tcBorders>
            <w:shd w:val="clear" w:color="auto" w:fill="auto"/>
            <w:vAlign w:val="center"/>
            <w:hideMark/>
          </w:tcPr>
          <w:p w14:paraId="5FEF10E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SHISH/ MM/AISM/MFE/PP/SPAK/DPPPP/CVE/MASR/MSHMS/MEPJ</w:t>
            </w:r>
          </w:p>
        </w:tc>
        <w:tc>
          <w:tcPr>
            <w:tcW w:w="452" w:type="dxa"/>
            <w:tcBorders>
              <w:top w:val="nil"/>
              <w:left w:val="nil"/>
              <w:bottom w:val="single" w:sz="4" w:space="0" w:color="auto"/>
              <w:right w:val="single" w:sz="4" w:space="0" w:color="auto"/>
            </w:tcBorders>
            <w:shd w:val="clear" w:color="auto" w:fill="auto"/>
            <w:vAlign w:val="center"/>
            <w:hideMark/>
          </w:tcPr>
          <w:p w14:paraId="5FEF10E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0E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0E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11,400,000</w:t>
            </w:r>
          </w:p>
        </w:tc>
        <w:tc>
          <w:tcPr>
            <w:tcW w:w="728" w:type="dxa"/>
            <w:tcBorders>
              <w:top w:val="nil"/>
              <w:left w:val="nil"/>
              <w:bottom w:val="single" w:sz="4" w:space="0" w:color="auto"/>
              <w:right w:val="single" w:sz="4" w:space="0" w:color="auto"/>
            </w:tcBorders>
            <w:shd w:val="clear" w:color="auto" w:fill="auto"/>
            <w:vAlign w:val="center"/>
            <w:hideMark/>
          </w:tcPr>
          <w:p w14:paraId="5FEF10E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0F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11,400,000</w:t>
            </w:r>
          </w:p>
        </w:tc>
        <w:tc>
          <w:tcPr>
            <w:tcW w:w="728" w:type="dxa"/>
            <w:tcBorders>
              <w:top w:val="nil"/>
              <w:left w:val="nil"/>
              <w:bottom w:val="single" w:sz="4" w:space="0" w:color="auto"/>
              <w:right w:val="single" w:sz="4" w:space="0" w:color="auto"/>
            </w:tcBorders>
            <w:shd w:val="clear" w:color="auto" w:fill="auto"/>
            <w:vAlign w:val="center"/>
            <w:hideMark/>
          </w:tcPr>
          <w:p w14:paraId="5FEF10F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11,400,000</w:t>
            </w:r>
          </w:p>
        </w:tc>
        <w:tc>
          <w:tcPr>
            <w:tcW w:w="661" w:type="dxa"/>
            <w:tcBorders>
              <w:top w:val="nil"/>
              <w:left w:val="nil"/>
              <w:bottom w:val="single" w:sz="4" w:space="0" w:color="auto"/>
              <w:right w:val="single" w:sz="4" w:space="0" w:color="auto"/>
            </w:tcBorders>
            <w:shd w:val="clear" w:color="auto" w:fill="auto"/>
            <w:vAlign w:val="center"/>
            <w:hideMark/>
          </w:tcPr>
          <w:p w14:paraId="5FEF10F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0F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11,400,000</w:t>
            </w:r>
          </w:p>
        </w:tc>
        <w:tc>
          <w:tcPr>
            <w:tcW w:w="728" w:type="dxa"/>
            <w:tcBorders>
              <w:top w:val="nil"/>
              <w:left w:val="nil"/>
              <w:bottom w:val="single" w:sz="4" w:space="0" w:color="auto"/>
              <w:right w:val="single" w:sz="4" w:space="0" w:color="auto"/>
            </w:tcBorders>
            <w:shd w:val="clear" w:color="auto" w:fill="auto"/>
            <w:vAlign w:val="center"/>
            <w:hideMark/>
          </w:tcPr>
          <w:p w14:paraId="5FEF10F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0F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0F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0F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0F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92,683</w:t>
            </w:r>
          </w:p>
        </w:tc>
      </w:tr>
      <w:tr w:rsidR="00E2233D" w:rsidRPr="00795698" w14:paraId="5FEF110A"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0FA"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4: FORCIMI I BASHKËPUNIMIT DHE KOORDINIMIT BRENDA STRUKTURAVE TË POLICISË SË SHTETIT, AGJENCIVE INTELIGJENTE DHE LIGJZBATUESE NË VEND DHE TË HUAJA QË KANË DETYRIME NË LUFTËN KUNDËR TERRORIZMIT.</w:t>
            </w:r>
          </w:p>
        </w:tc>
        <w:tc>
          <w:tcPr>
            <w:tcW w:w="981" w:type="dxa"/>
            <w:tcBorders>
              <w:top w:val="nil"/>
              <w:left w:val="nil"/>
              <w:bottom w:val="single" w:sz="4" w:space="0" w:color="auto"/>
              <w:right w:val="single" w:sz="4" w:space="0" w:color="auto"/>
            </w:tcBorders>
            <w:shd w:val="clear" w:color="auto" w:fill="auto"/>
            <w:vAlign w:val="center"/>
            <w:hideMark/>
          </w:tcPr>
          <w:p w14:paraId="5FEF10FB"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PSH/DAT</w:t>
            </w:r>
            <w:r w:rsidRPr="00795698">
              <w:rPr>
                <w:rFonts w:ascii="Arial" w:hAnsi="Arial" w:cs="Arial"/>
                <w:color w:val="000000"/>
                <w:sz w:val="8"/>
                <w:szCs w:val="8"/>
                <w:lang w:eastAsia="sq-AL"/>
              </w:rPr>
              <w:br/>
              <w:t>MM/AISM</w:t>
            </w:r>
          </w:p>
        </w:tc>
        <w:tc>
          <w:tcPr>
            <w:tcW w:w="2412" w:type="dxa"/>
            <w:tcBorders>
              <w:top w:val="nil"/>
              <w:left w:val="nil"/>
              <w:bottom w:val="single" w:sz="4" w:space="0" w:color="auto"/>
              <w:right w:val="single" w:sz="4" w:space="0" w:color="auto"/>
            </w:tcBorders>
            <w:shd w:val="clear" w:color="auto" w:fill="auto"/>
            <w:vAlign w:val="center"/>
            <w:hideMark/>
          </w:tcPr>
          <w:p w14:paraId="5FEF10F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SHISH/ MM/AISM/MFE/DPPPP/PP/SPAK/ Europol, SELEC dhe INTERPOL</w:t>
            </w:r>
          </w:p>
        </w:tc>
        <w:tc>
          <w:tcPr>
            <w:tcW w:w="452" w:type="dxa"/>
            <w:tcBorders>
              <w:top w:val="nil"/>
              <w:left w:val="nil"/>
              <w:bottom w:val="single" w:sz="4" w:space="0" w:color="auto"/>
              <w:right w:val="single" w:sz="4" w:space="0" w:color="auto"/>
            </w:tcBorders>
            <w:shd w:val="clear" w:color="auto" w:fill="auto"/>
            <w:vAlign w:val="center"/>
            <w:hideMark/>
          </w:tcPr>
          <w:p w14:paraId="5FEF10F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0F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0F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128,952,000</w:t>
            </w:r>
          </w:p>
        </w:tc>
        <w:tc>
          <w:tcPr>
            <w:tcW w:w="728" w:type="dxa"/>
            <w:tcBorders>
              <w:top w:val="nil"/>
              <w:left w:val="nil"/>
              <w:bottom w:val="single" w:sz="4" w:space="0" w:color="auto"/>
              <w:right w:val="single" w:sz="4" w:space="0" w:color="auto"/>
            </w:tcBorders>
            <w:shd w:val="clear" w:color="auto" w:fill="auto"/>
            <w:vAlign w:val="center"/>
            <w:hideMark/>
          </w:tcPr>
          <w:p w14:paraId="5FEF110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10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128,952,000</w:t>
            </w:r>
          </w:p>
        </w:tc>
        <w:tc>
          <w:tcPr>
            <w:tcW w:w="728" w:type="dxa"/>
            <w:tcBorders>
              <w:top w:val="nil"/>
              <w:left w:val="nil"/>
              <w:bottom w:val="single" w:sz="4" w:space="0" w:color="auto"/>
              <w:right w:val="single" w:sz="4" w:space="0" w:color="auto"/>
            </w:tcBorders>
            <w:shd w:val="clear" w:color="auto" w:fill="auto"/>
            <w:vAlign w:val="center"/>
            <w:hideMark/>
          </w:tcPr>
          <w:p w14:paraId="5FEF110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128,952,000</w:t>
            </w:r>
          </w:p>
        </w:tc>
        <w:tc>
          <w:tcPr>
            <w:tcW w:w="661" w:type="dxa"/>
            <w:tcBorders>
              <w:top w:val="nil"/>
              <w:left w:val="nil"/>
              <w:bottom w:val="single" w:sz="4" w:space="0" w:color="auto"/>
              <w:right w:val="single" w:sz="4" w:space="0" w:color="auto"/>
            </w:tcBorders>
            <w:shd w:val="clear" w:color="auto" w:fill="auto"/>
            <w:vAlign w:val="center"/>
            <w:hideMark/>
          </w:tcPr>
          <w:p w14:paraId="5FEF110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10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128,952,000</w:t>
            </w:r>
          </w:p>
        </w:tc>
        <w:tc>
          <w:tcPr>
            <w:tcW w:w="728" w:type="dxa"/>
            <w:tcBorders>
              <w:top w:val="nil"/>
              <w:left w:val="nil"/>
              <w:bottom w:val="single" w:sz="4" w:space="0" w:color="auto"/>
              <w:right w:val="single" w:sz="4" w:space="0" w:color="auto"/>
            </w:tcBorders>
            <w:shd w:val="clear" w:color="auto" w:fill="auto"/>
            <w:vAlign w:val="center"/>
            <w:hideMark/>
          </w:tcPr>
          <w:p w14:paraId="5FEF110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10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10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10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10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1,048,390</w:t>
            </w:r>
          </w:p>
        </w:tc>
      </w:tr>
      <w:tr w:rsidR="00E2233D" w:rsidRPr="00795698" w14:paraId="5FEF111B"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10B"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Kosto totale Qëllimi I Politikës I</w:t>
            </w:r>
            <w:r w:rsidRPr="00795698">
              <w:rPr>
                <w:rFonts w:ascii="Arial" w:hAnsi="Arial" w:cs="Arial"/>
                <w:b/>
                <w:bCs/>
                <w:color w:val="FF0000"/>
                <w:sz w:val="8"/>
                <w:szCs w:val="8"/>
                <w:lang w:eastAsia="sq-AL"/>
              </w:rPr>
              <w:br/>
              <w:t>1.1 +1.2 +1.3 +1.4)</w:t>
            </w:r>
          </w:p>
        </w:tc>
        <w:tc>
          <w:tcPr>
            <w:tcW w:w="981" w:type="dxa"/>
            <w:tcBorders>
              <w:top w:val="nil"/>
              <w:left w:val="nil"/>
              <w:bottom w:val="nil"/>
              <w:right w:val="single" w:sz="4" w:space="0" w:color="auto"/>
            </w:tcBorders>
            <w:shd w:val="clear" w:color="auto" w:fill="auto"/>
            <w:noWrap/>
            <w:vAlign w:val="bottom"/>
            <w:hideMark/>
          </w:tcPr>
          <w:p w14:paraId="5FEF110C"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nil"/>
              <w:right w:val="single" w:sz="4" w:space="0" w:color="auto"/>
            </w:tcBorders>
            <w:shd w:val="clear" w:color="auto" w:fill="auto"/>
            <w:noWrap/>
            <w:vAlign w:val="bottom"/>
            <w:hideMark/>
          </w:tcPr>
          <w:p w14:paraId="5FEF110D"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nil"/>
              <w:right w:val="single" w:sz="4" w:space="0" w:color="auto"/>
            </w:tcBorders>
            <w:shd w:val="clear" w:color="auto" w:fill="auto"/>
            <w:noWrap/>
            <w:vAlign w:val="bottom"/>
            <w:hideMark/>
          </w:tcPr>
          <w:p w14:paraId="5FEF110E"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nil"/>
              <w:right w:val="single" w:sz="4" w:space="0" w:color="auto"/>
            </w:tcBorders>
            <w:shd w:val="clear" w:color="auto" w:fill="auto"/>
            <w:noWrap/>
            <w:vAlign w:val="bottom"/>
            <w:hideMark/>
          </w:tcPr>
          <w:p w14:paraId="5FEF110F"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nil"/>
              <w:right w:val="single" w:sz="4" w:space="0" w:color="auto"/>
            </w:tcBorders>
            <w:shd w:val="clear" w:color="auto" w:fill="auto"/>
            <w:noWrap/>
            <w:vAlign w:val="center"/>
            <w:hideMark/>
          </w:tcPr>
          <w:p w14:paraId="5FEF111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354,450,000</w:t>
            </w:r>
          </w:p>
        </w:tc>
        <w:tc>
          <w:tcPr>
            <w:tcW w:w="728" w:type="dxa"/>
            <w:tcBorders>
              <w:top w:val="nil"/>
              <w:left w:val="nil"/>
              <w:bottom w:val="nil"/>
              <w:right w:val="single" w:sz="4" w:space="0" w:color="auto"/>
            </w:tcBorders>
            <w:shd w:val="clear" w:color="auto" w:fill="auto"/>
            <w:noWrap/>
            <w:vAlign w:val="center"/>
            <w:hideMark/>
          </w:tcPr>
          <w:p w14:paraId="5FEF111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nil"/>
              <w:right w:val="single" w:sz="4" w:space="0" w:color="auto"/>
            </w:tcBorders>
            <w:shd w:val="clear" w:color="auto" w:fill="auto"/>
            <w:noWrap/>
            <w:vAlign w:val="center"/>
            <w:hideMark/>
          </w:tcPr>
          <w:p w14:paraId="5FEF111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354,450,000</w:t>
            </w:r>
          </w:p>
        </w:tc>
        <w:tc>
          <w:tcPr>
            <w:tcW w:w="728" w:type="dxa"/>
            <w:tcBorders>
              <w:top w:val="nil"/>
              <w:left w:val="nil"/>
              <w:bottom w:val="nil"/>
              <w:right w:val="single" w:sz="4" w:space="0" w:color="auto"/>
            </w:tcBorders>
            <w:shd w:val="clear" w:color="auto" w:fill="auto"/>
            <w:noWrap/>
            <w:vAlign w:val="center"/>
            <w:hideMark/>
          </w:tcPr>
          <w:p w14:paraId="5FEF111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354,450,000</w:t>
            </w:r>
          </w:p>
        </w:tc>
        <w:tc>
          <w:tcPr>
            <w:tcW w:w="661" w:type="dxa"/>
            <w:tcBorders>
              <w:top w:val="nil"/>
              <w:left w:val="nil"/>
              <w:bottom w:val="nil"/>
              <w:right w:val="single" w:sz="4" w:space="0" w:color="auto"/>
            </w:tcBorders>
            <w:shd w:val="clear" w:color="auto" w:fill="auto"/>
            <w:noWrap/>
            <w:vAlign w:val="center"/>
            <w:hideMark/>
          </w:tcPr>
          <w:p w14:paraId="5FEF111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nil"/>
              <w:right w:val="single" w:sz="4" w:space="0" w:color="auto"/>
            </w:tcBorders>
            <w:shd w:val="clear" w:color="auto" w:fill="auto"/>
            <w:noWrap/>
            <w:vAlign w:val="center"/>
            <w:hideMark/>
          </w:tcPr>
          <w:p w14:paraId="5FEF111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354,450,000</w:t>
            </w:r>
          </w:p>
        </w:tc>
        <w:tc>
          <w:tcPr>
            <w:tcW w:w="728" w:type="dxa"/>
            <w:tcBorders>
              <w:top w:val="nil"/>
              <w:left w:val="nil"/>
              <w:bottom w:val="nil"/>
              <w:right w:val="single" w:sz="4" w:space="0" w:color="auto"/>
            </w:tcBorders>
            <w:shd w:val="clear" w:color="auto" w:fill="auto"/>
            <w:noWrap/>
            <w:vAlign w:val="center"/>
            <w:hideMark/>
          </w:tcPr>
          <w:p w14:paraId="5FEF111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nil"/>
              <w:right w:val="single" w:sz="4" w:space="0" w:color="auto"/>
            </w:tcBorders>
            <w:shd w:val="clear" w:color="auto" w:fill="auto"/>
            <w:noWrap/>
            <w:vAlign w:val="center"/>
            <w:hideMark/>
          </w:tcPr>
          <w:p w14:paraId="5FEF111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nil"/>
              <w:right w:val="single" w:sz="4" w:space="0" w:color="auto"/>
            </w:tcBorders>
            <w:shd w:val="clear" w:color="auto" w:fill="auto"/>
            <w:noWrap/>
            <w:vAlign w:val="center"/>
            <w:hideMark/>
          </w:tcPr>
          <w:p w14:paraId="5FEF1118"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nil"/>
              <w:right w:val="single" w:sz="4" w:space="0" w:color="auto"/>
            </w:tcBorders>
            <w:shd w:val="clear" w:color="auto" w:fill="auto"/>
            <w:noWrap/>
            <w:vAlign w:val="center"/>
            <w:hideMark/>
          </w:tcPr>
          <w:p w14:paraId="5FEF111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nil"/>
              <w:right w:val="single" w:sz="4" w:space="0" w:color="auto"/>
            </w:tcBorders>
            <w:shd w:val="clear" w:color="000000" w:fill="92D050"/>
            <w:noWrap/>
            <w:vAlign w:val="center"/>
            <w:hideMark/>
          </w:tcPr>
          <w:p w14:paraId="5FEF111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2,881,707</w:t>
            </w:r>
          </w:p>
        </w:tc>
      </w:tr>
      <w:tr w:rsidR="00E2233D" w:rsidRPr="00795698" w14:paraId="5FEF111D"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11C" w14:textId="77777777"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 II: NDËRPRERJA E AKTIVITETEVE TË FAQEVE DHE PLATFORMAVE DIXHITALE SI DHE INDIVIDËVE QË TËRHEQIN NJERËZ NË TERRORIZËM</w:t>
            </w:r>
          </w:p>
        </w:tc>
      </w:tr>
      <w:tr w:rsidR="00E2233D" w:rsidRPr="00795698" w14:paraId="5FEF1125"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11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11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12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12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12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23" w14:textId="4EACB592"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124" w14:textId="329257F4"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130"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126"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2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2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2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2A" w14:textId="4F77A373"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12B"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12C" w14:textId="3F63ED3E"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12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12E"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12F" w14:textId="77777777" w:rsidR="00E2233D" w:rsidRPr="00795698" w:rsidRDefault="00E2233D" w:rsidP="00E2233D">
            <w:pPr>
              <w:rPr>
                <w:rFonts w:ascii="Arial" w:hAnsi="Arial" w:cs="Arial"/>
                <w:b/>
                <w:bCs/>
                <w:color w:val="000000"/>
                <w:sz w:val="8"/>
                <w:szCs w:val="8"/>
                <w:lang w:eastAsia="sq-AL"/>
              </w:rPr>
            </w:pPr>
          </w:p>
        </w:tc>
      </w:tr>
      <w:tr w:rsidR="00E2233D" w:rsidRPr="00795698" w14:paraId="5FEF1141"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131"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132"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133"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134"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135"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13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13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13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13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13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13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13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13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13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tcBorders>
              <w:top w:val="nil"/>
              <w:left w:val="nil"/>
              <w:bottom w:val="single" w:sz="8" w:space="0" w:color="auto"/>
              <w:right w:val="single" w:sz="8" w:space="0" w:color="auto"/>
            </w:tcBorders>
            <w:shd w:val="clear" w:color="auto" w:fill="auto"/>
            <w:vAlign w:val="center"/>
            <w:hideMark/>
          </w:tcPr>
          <w:p w14:paraId="5FEF113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1319" w:type="dxa"/>
            <w:vMerge/>
            <w:tcBorders>
              <w:top w:val="nil"/>
              <w:left w:val="single" w:sz="8" w:space="0" w:color="auto"/>
              <w:bottom w:val="single" w:sz="4" w:space="0" w:color="000000"/>
              <w:right w:val="single" w:sz="8" w:space="0" w:color="auto"/>
            </w:tcBorders>
            <w:vAlign w:val="center"/>
            <w:hideMark/>
          </w:tcPr>
          <w:p w14:paraId="5FEF1140" w14:textId="77777777" w:rsidR="00E2233D" w:rsidRPr="00795698" w:rsidRDefault="00E2233D" w:rsidP="00E2233D">
            <w:pPr>
              <w:rPr>
                <w:rFonts w:ascii="Arial" w:hAnsi="Arial" w:cs="Arial"/>
                <w:b/>
                <w:bCs/>
                <w:color w:val="000000"/>
                <w:sz w:val="8"/>
                <w:szCs w:val="8"/>
                <w:lang w:eastAsia="sq-AL"/>
              </w:rPr>
            </w:pPr>
          </w:p>
        </w:tc>
      </w:tr>
      <w:tr w:rsidR="00E2233D" w:rsidRPr="00795698" w14:paraId="5FEF1152"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142"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PARANDALIMI I RADIKALIZIMIT NËPËRMJET INTERNETIT</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14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CVE</w:t>
            </w:r>
            <w:r w:rsidRPr="00795698">
              <w:rPr>
                <w:rFonts w:ascii="Arial" w:hAnsi="Arial" w:cs="Arial"/>
                <w:color w:val="000000"/>
                <w:sz w:val="8"/>
                <w:szCs w:val="8"/>
                <w:lang w:eastAsia="sq-AL"/>
              </w:rPr>
              <w:br/>
              <w:t>PSH/DAT</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14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AKCESK / AKEP/ DPPSH/MB/DPPSH/MASR</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14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14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4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454,303,800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4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4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454,303,800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4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454,303,800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14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4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454,303,800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4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14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14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15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15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3,693,527</w:t>
            </w:r>
          </w:p>
        </w:tc>
      </w:tr>
      <w:tr w:rsidR="00E2233D" w:rsidRPr="00795698" w14:paraId="5FEF1163"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153"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PARANDALIMI I RADIKALIZIMIT DHE REKRUTIMEVE TERRORISTE DUKE RRITUR BASHKËPUNIMIN BILATERAL, RAJONAL DHE NDËRKOMBËTAR DHE ME PRODHUESIT E APLIKACIONEVE NË INTERNET</w:t>
            </w:r>
          </w:p>
        </w:tc>
        <w:tc>
          <w:tcPr>
            <w:tcW w:w="981" w:type="dxa"/>
            <w:tcBorders>
              <w:top w:val="nil"/>
              <w:left w:val="nil"/>
              <w:bottom w:val="single" w:sz="4" w:space="0" w:color="auto"/>
              <w:right w:val="single" w:sz="4" w:space="0" w:color="auto"/>
            </w:tcBorders>
            <w:shd w:val="clear" w:color="auto" w:fill="auto"/>
            <w:vAlign w:val="center"/>
            <w:hideMark/>
          </w:tcPr>
          <w:p w14:paraId="5FEF115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PSH</w:t>
            </w:r>
          </w:p>
        </w:tc>
        <w:tc>
          <w:tcPr>
            <w:tcW w:w="2412" w:type="dxa"/>
            <w:tcBorders>
              <w:top w:val="nil"/>
              <w:left w:val="nil"/>
              <w:bottom w:val="single" w:sz="4" w:space="0" w:color="auto"/>
              <w:right w:val="single" w:sz="4" w:space="0" w:color="auto"/>
            </w:tcBorders>
            <w:shd w:val="clear" w:color="auto" w:fill="auto"/>
            <w:vAlign w:val="center"/>
            <w:hideMark/>
          </w:tcPr>
          <w:p w14:paraId="5FEF115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AKCESK/AKEP/CVE</w:t>
            </w:r>
          </w:p>
        </w:tc>
        <w:tc>
          <w:tcPr>
            <w:tcW w:w="452" w:type="dxa"/>
            <w:tcBorders>
              <w:top w:val="nil"/>
              <w:left w:val="nil"/>
              <w:bottom w:val="single" w:sz="4" w:space="0" w:color="auto"/>
              <w:right w:val="single" w:sz="4" w:space="0" w:color="auto"/>
            </w:tcBorders>
            <w:shd w:val="clear" w:color="auto" w:fill="auto"/>
            <w:vAlign w:val="center"/>
            <w:hideMark/>
          </w:tcPr>
          <w:p w14:paraId="5FEF115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15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15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1,500,000</w:t>
            </w:r>
          </w:p>
        </w:tc>
        <w:tc>
          <w:tcPr>
            <w:tcW w:w="728" w:type="dxa"/>
            <w:tcBorders>
              <w:top w:val="nil"/>
              <w:left w:val="nil"/>
              <w:bottom w:val="single" w:sz="4" w:space="0" w:color="auto"/>
              <w:right w:val="single" w:sz="4" w:space="0" w:color="auto"/>
            </w:tcBorders>
            <w:shd w:val="clear" w:color="auto" w:fill="auto"/>
            <w:vAlign w:val="center"/>
            <w:hideMark/>
          </w:tcPr>
          <w:p w14:paraId="5FEF115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15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1,500,000</w:t>
            </w:r>
          </w:p>
        </w:tc>
        <w:tc>
          <w:tcPr>
            <w:tcW w:w="728" w:type="dxa"/>
            <w:tcBorders>
              <w:top w:val="nil"/>
              <w:left w:val="nil"/>
              <w:bottom w:val="single" w:sz="4" w:space="0" w:color="auto"/>
              <w:right w:val="single" w:sz="4" w:space="0" w:color="auto"/>
            </w:tcBorders>
            <w:shd w:val="clear" w:color="auto" w:fill="auto"/>
            <w:vAlign w:val="center"/>
            <w:hideMark/>
          </w:tcPr>
          <w:p w14:paraId="5FEF115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1,500,000</w:t>
            </w:r>
          </w:p>
        </w:tc>
        <w:tc>
          <w:tcPr>
            <w:tcW w:w="661" w:type="dxa"/>
            <w:tcBorders>
              <w:top w:val="nil"/>
              <w:left w:val="nil"/>
              <w:bottom w:val="single" w:sz="4" w:space="0" w:color="auto"/>
              <w:right w:val="single" w:sz="4" w:space="0" w:color="auto"/>
            </w:tcBorders>
            <w:shd w:val="clear" w:color="auto" w:fill="auto"/>
            <w:vAlign w:val="center"/>
            <w:hideMark/>
          </w:tcPr>
          <w:p w14:paraId="5FEF115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15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1,500,000</w:t>
            </w:r>
          </w:p>
        </w:tc>
        <w:tc>
          <w:tcPr>
            <w:tcW w:w="728" w:type="dxa"/>
            <w:tcBorders>
              <w:top w:val="nil"/>
              <w:left w:val="nil"/>
              <w:bottom w:val="single" w:sz="4" w:space="0" w:color="auto"/>
              <w:right w:val="single" w:sz="4" w:space="0" w:color="auto"/>
            </w:tcBorders>
            <w:shd w:val="clear" w:color="auto" w:fill="auto"/>
            <w:vAlign w:val="center"/>
            <w:hideMark/>
          </w:tcPr>
          <w:p w14:paraId="5FEF115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15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16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16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16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12,195</w:t>
            </w:r>
          </w:p>
        </w:tc>
      </w:tr>
      <w:tr w:rsidR="00E2233D" w:rsidRPr="00795698" w14:paraId="5FEF1174"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164"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OBJEKTIVI SPECIFIK: RRITJA E PREZENCËS SË STRUKTURAVE TË ANTITERRORIT NË MJEDISIN VIRTUAL PËRMES KONTROLLIT DHE MONITORIMIT TË HAPËSIRAVE VIRTUALE PËRFSHIRË DARKNET-IN;</w:t>
            </w:r>
          </w:p>
        </w:tc>
        <w:tc>
          <w:tcPr>
            <w:tcW w:w="981" w:type="dxa"/>
            <w:tcBorders>
              <w:top w:val="nil"/>
              <w:left w:val="nil"/>
              <w:bottom w:val="single" w:sz="4" w:space="0" w:color="auto"/>
              <w:right w:val="single" w:sz="4" w:space="0" w:color="auto"/>
            </w:tcBorders>
            <w:shd w:val="clear" w:color="auto" w:fill="auto"/>
            <w:vAlign w:val="center"/>
            <w:hideMark/>
          </w:tcPr>
          <w:p w14:paraId="5FEF116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MB/DPPSH</w:t>
            </w:r>
          </w:p>
        </w:tc>
        <w:tc>
          <w:tcPr>
            <w:tcW w:w="2412" w:type="dxa"/>
            <w:tcBorders>
              <w:top w:val="nil"/>
              <w:left w:val="nil"/>
              <w:bottom w:val="single" w:sz="4" w:space="0" w:color="auto"/>
              <w:right w:val="single" w:sz="4" w:space="0" w:color="auto"/>
            </w:tcBorders>
            <w:shd w:val="clear" w:color="auto" w:fill="auto"/>
            <w:vAlign w:val="center"/>
            <w:hideMark/>
          </w:tcPr>
          <w:p w14:paraId="5FEF116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MEPJ/CVE/MASR/AKCESK/MFE/DPPPP</w:t>
            </w:r>
          </w:p>
        </w:tc>
        <w:tc>
          <w:tcPr>
            <w:tcW w:w="452" w:type="dxa"/>
            <w:tcBorders>
              <w:top w:val="nil"/>
              <w:left w:val="nil"/>
              <w:bottom w:val="single" w:sz="4" w:space="0" w:color="auto"/>
              <w:right w:val="single" w:sz="4" w:space="0" w:color="auto"/>
            </w:tcBorders>
            <w:shd w:val="clear" w:color="auto" w:fill="auto"/>
            <w:vAlign w:val="center"/>
            <w:hideMark/>
          </w:tcPr>
          <w:p w14:paraId="5FEF116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16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16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2,700,000</w:t>
            </w:r>
          </w:p>
        </w:tc>
        <w:tc>
          <w:tcPr>
            <w:tcW w:w="728" w:type="dxa"/>
            <w:tcBorders>
              <w:top w:val="nil"/>
              <w:left w:val="nil"/>
              <w:bottom w:val="single" w:sz="4" w:space="0" w:color="auto"/>
              <w:right w:val="single" w:sz="4" w:space="0" w:color="auto"/>
            </w:tcBorders>
            <w:shd w:val="clear" w:color="auto" w:fill="auto"/>
            <w:vAlign w:val="center"/>
            <w:hideMark/>
          </w:tcPr>
          <w:p w14:paraId="5FEF116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16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2,700,000</w:t>
            </w:r>
          </w:p>
        </w:tc>
        <w:tc>
          <w:tcPr>
            <w:tcW w:w="728" w:type="dxa"/>
            <w:tcBorders>
              <w:top w:val="nil"/>
              <w:left w:val="nil"/>
              <w:bottom w:val="single" w:sz="4" w:space="0" w:color="auto"/>
              <w:right w:val="single" w:sz="4" w:space="0" w:color="auto"/>
            </w:tcBorders>
            <w:shd w:val="clear" w:color="auto" w:fill="auto"/>
            <w:vAlign w:val="center"/>
            <w:hideMark/>
          </w:tcPr>
          <w:p w14:paraId="5FEF116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2,700,000</w:t>
            </w:r>
          </w:p>
        </w:tc>
        <w:tc>
          <w:tcPr>
            <w:tcW w:w="661" w:type="dxa"/>
            <w:tcBorders>
              <w:top w:val="nil"/>
              <w:left w:val="nil"/>
              <w:bottom w:val="single" w:sz="4" w:space="0" w:color="auto"/>
              <w:right w:val="single" w:sz="4" w:space="0" w:color="auto"/>
            </w:tcBorders>
            <w:shd w:val="clear" w:color="auto" w:fill="auto"/>
            <w:vAlign w:val="center"/>
            <w:hideMark/>
          </w:tcPr>
          <w:p w14:paraId="5FEF116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16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2,700,000</w:t>
            </w:r>
          </w:p>
        </w:tc>
        <w:tc>
          <w:tcPr>
            <w:tcW w:w="728" w:type="dxa"/>
            <w:tcBorders>
              <w:top w:val="nil"/>
              <w:left w:val="nil"/>
              <w:bottom w:val="single" w:sz="4" w:space="0" w:color="auto"/>
              <w:right w:val="single" w:sz="4" w:space="0" w:color="auto"/>
            </w:tcBorders>
            <w:shd w:val="clear" w:color="auto" w:fill="auto"/>
            <w:vAlign w:val="center"/>
            <w:hideMark/>
          </w:tcPr>
          <w:p w14:paraId="5FEF116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17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17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17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17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21,951</w:t>
            </w:r>
          </w:p>
        </w:tc>
      </w:tr>
      <w:tr w:rsidR="00E2233D" w:rsidRPr="00795698" w14:paraId="5FEF1185"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175"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 xml:space="preserve">Kosto totale Qëllimi i Politikës II </w:t>
            </w:r>
          </w:p>
        </w:tc>
        <w:tc>
          <w:tcPr>
            <w:tcW w:w="981" w:type="dxa"/>
            <w:tcBorders>
              <w:top w:val="nil"/>
              <w:left w:val="nil"/>
              <w:bottom w:val="single" w:sz="8" w:space="0" w:color="auto"/>
              <w:right w:val="single" w:sz="4" w:space="0" w:color="auto"/>
            </w:tcBorders>
            <w:shd w:val="clear" w:color="auto" w:fill="auto"/>
            <w:noWrap/>
            <w:vAlign w:val="bottom"/>
            <w:hideMark/>
          </w:tcPr>
          <w:p w14:paraId="5FEF1176"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17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17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17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17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458,503,800</w:t>
            </w:r>
          </w:p>
        </w:tc>
        <w:tc>
          <w:tcPr>
            <w:tcW w:w="728" w:type="dxa"/>
            <w:tcBorders>
              <w:top w:val="nil"/>
              <w:left w:val="nil"/>
              <w:bottom w:val="single" w:sz="8" w:space="0" w:color="auto"/>
              <w:right w:val="single" w:sz="4" w:space="0" w:color="auto"/>
            </w:tcBorders>
            <w:shd w:val="clear" w:color="auto" w:fill="auto"/>
            <w:noWrap/>
            <w:vAlign w:val="center"/>
            <w:hideMark/>
          </w:tcPr>
          <w:p w14:paraId="5FEF117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17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458,503,800</w:t>
            </w:r>
          </w:p>
        </w:tc>
        <w:tc>
          <w:tcPr>
            <w:tcW w:w="728" w:type="dxa"/>
            <w:tcBorders>
              <w:top w:val="nil"/>
              <w:left w:val="nil"/>
              <w:bottom w:val="single" w:sz="8" w:space="0" w:color="auto"/>
              <w:right w:val="single" w:sz="4" w:space="0" w:color="auto"/>
            </w:tcBorders>
            <w:shd w:val="clear" w:color="auto" w:fill="auto"/>
            <w:noWrap/>
            <w:vAlign w:val="center"/>
            <w:hideMark/>
          </w:tcPr>
          <w:p w14:paraId="5FEF117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458,503,800</w:t>
            </w:r>
          </w:p>
        </w:tc>
        <w:tc>
          <w:tcPr>
            <w:tcW w:w="661" w:type="dxa"/>
            <w:tcBorders>
              <w:top w:val="nil"/>
              <w:left w:val="nil"/>
              <w:bottom w:val="single" w:sz="8" w:space="0" w:color="auto"/>
              <w:right w:val="single" w:sz="4" w:space="0" w:color="auto"/>
            </w:tcBorders>
            <w:shd w:val="clear" w:color="auto" w:fill="auto"/>
            <w:noWrap/>
            <w:vAlign w:val="center"/>
            <w:hideMark/>
          </w:tcPr>
          <w:p w14:paraId="5FEF117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17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458,503,800</w:t>
            </w:r>
          </w:p>
        </w:tc>
        <w:tc>
          <w:tcPr>
            <w:tcW w:w="728" w:type="dxa"/>
            <w:tcBorders>
              <w:top w:val="nil"/>
              <w:left w:val="nil"/>
              <w:bottom w:val="single" w:sz="8" w:space="0" w:color="auto"/>
              <w:right w:val="single" w:sz="4" w:space="0" w:color="auto"/>
            </w:tcBorders>
            <w:shd w:val="clear" w:color="auto" w:fill="auto"/>
            <w:noWrap/>
            <w:vAlign w:val="center"/>
            <w:hideMark/>
          </w:tcPr>
          <w:p w14:paraId="5FEF118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18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18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18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18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3,727,673</w:t>
            </w:r>
          </w:p>
        </w:tc>
      </w:tr>
      <w:tr w:rsidR="00E2233D" w:rsidRPr="00795698" w14:paraId="5FEF1187"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186" w14:textId="3F9050ED"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 III:</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KUPTIMI I KËRCËNIMEVE TË TERRORIZMIT NË VENDIN TONË PËRMES IDENTIFIKIMIT TË HERSHËM TË GRUPEVE TË SYNUARA DHE METODAVE RADIKALE.</w:t>
            </w:r>
          </w:p>
        </w:tc>
      </w:tr>
      <w:tr w:rsidR="00E2233D" w:rsidRPr="00795698" w14:paraId="5FEF118F"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18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18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18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18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18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8D" w14:textId="7388D70B"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18E" w14:textId="797756C9"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1245ALL)</w:t>
            </w:r>
          </w:p>
        </w:tc>
      </w:tr>
      <w:tr w:rsidR="00E2233D" w:rsidRPr="00795698" w14:paraId="5FEF119A"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190"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9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9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9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94" w14:textId="4DC1386B"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195"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196" w14:textId="1936D29B"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19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198"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199" w14:textId="77777777" w:rsidR="00E2233D" w:rsidRPr="00795698" w:rsidRDefault="00E2233D" w:rsidP="00E2233D">
            <w:pPr>
              <w:rPr>
                <w:rFonts w:ascii="Arial" w:hAnsi="Arial" w:cs="Arial"/>
                <w:b/>
                <w:bCs/>
                <w:color w:val="000000"/>
                <w:sz w:val="8"/>
                <w:szCs w:val="8"/>
                <w:lang w:eastAsia="sq-AL"/>
              </w:rPr>
            </w:pPr>
          </w:p>
        </w:tc>
      </w:tr>
      <w:tr w:rsidR="00E2233D" w:rsidRPr="00795698" w14:paraId="5FEF11AB"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19B"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19C"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19D"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19E"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19F"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1A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1A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1A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1A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1A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1A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1A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1A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1A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1A9"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1AA" w14:textId="77777777" w:rsidR="00E2233D" w:rsidRPr="00795698" w:rsidRDefault="00E2233D" w:rsidP="00E2233D">
            <w:pPr>
              <w:rPr>
                <w:rFonts w:ascii="Arial" w:hAnsi="Arial" w:cs="Arial"/>
                <w:b/>
                <w:bCs/>
                <w:color w:val="000000"/>
                <w:sz w:val="8"/>
                <w:szCs w:val="8"/>
                <w:lang w:eastAsia="sq-AL"/>
              </w:rPr>
            </w:pPr>
          </w:p>
        </w:tc>
      </w:tr>
      <w:tr w:rsidR="00E2233D" w:rsidRPr="00795698" w14:paraId="5FEF11BC"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1AC"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VLERËSIMI DHE ANALIZIMI I FAKTORËVE QË ÇOJNË NË RADIKALIZIM DHE EKSTREMIZËM TË DHUNSHËM</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1A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 xml:space="preserve">CVE </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1A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MB</w:t>
            </w:r>
            <w:r w:rsidRPr="00795698">
              <w:rPr>
                <w:rFonts w:ascii="Arial" w:hAnsi="Arial" w:cs="Arial"/>
                <w:color w:val="000000"/>
                <w:sz w:val="8"/>
                <w:szCs w:val="8"/>
                <w:lang w:eastAsia="sq-AL"/>
              </w:rPr>
              <w:br/>
              <w:t xml:space="preserve">MM/MFE/MEPJ/ </w:t>
            </w:r>
            <w:r w:rsidRPr="00795698">
              <w:rPr>
                <w:rFonts w:ascii="Arial" w:hAnsi="Arial" w:cs="Arial"/>
                <w:color w:val="000000"/>
                <w:sz w:val="8"/>
                <w:szCs w:val="8"/>
                <w:lang w:eastAsia="sq-AL"/>
              </w:rPr>
              <w:br/>
              <w:t>MD/SHISH/PP/CVE/DRAP/ZVA/ Institucionet Arsimore/ SHPS</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1A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1B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B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303,019,200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B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B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303,019,200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B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303,019,200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1B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B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303,019,200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B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1B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1B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1B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1B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2,463,571</w:t>
            </w:r>
          </w:p>
        </w:tc>
      </w:tr>
      <w:tr w:rsidR="00E2233D" w:rsidRPr="00795698" w14:paraId="5FEF11CD" w14:textId="77777777" w:rsidTr="00E2233D">
        <w:trPr>
          <w:trHeight w:val="180"/>
          <w:jc w:val="center"/>
        </w:trPr>
        <w:tc>
          <w:tcPr>
            <w:tcW w:w="1622" w:type="dxa"/>
            <w:tcBorders>
              <w:top w:val="nil"/>
              <w:left w:val="single" w:sz="8" w:space="0" w:color="auto"/>
              <w:bottom w:val="single" w:sz="8" w:space="0" w:color="auto"/>
              <w:right w:val="single" w:sz="4" w:space="0" w:color="auto"/>
            </w:tcBorders>
            <w:shd w:val="clear" w:color="auto" w:fill="auto"/>
            <w:vAlign w:val="bottom"/>
            <w:hideMark/>
          </w:tcPr>
          <w:p w14:paraId="5FEF11BD"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 xml:space="preserve">Kosto totale Qëllimi i Politikës III </w:t>
            </w:r>
            <w:r w:rsidRPr="00795698">
              <w:rPr>
                <w:rFonts w:ascii="Arial" w:hAnsi="Arial" w:cs="Arial"/>
                <w:b/>
                <w:bCs/>
                <w:color w:val="FF0000"/>
                <w:sz w:val="8"/>
                <w:szCs w:val="8"/>
                <w:lang w:eastAsia="sq-AL"/>
              </w:rPr>
              <w:br/>
            </w:r>
            <w:r w:rsidRPr="00795698">
              <w:rPr>
                <w:rFonts w:ascii="Arial" w:hAnsi="Arial" w:cs="Arial"/>
                <w:sz w:val="8"/>
                <w:szCs w:val="8"/>
                <w:lang w:eastAsia="sq-AL"/>
              </w:rPr>
              <w:t>(objektiva specifike 3.1)</w:t>
            </w:r>
          </w:p>
        </w:tc>
        <w:tc>
          <w:tcPr>
            <w:tcW w:w="981" w:type="dxa"/>
            <w:tcBorders>
              <w:top w:val="nil"/>
              <w:left w:val="nil"/>
              <w:bottom w:val="single" w:sz="8" w:space="0" w:color="auto"/>
              <w:right w:val="single" w:sz="4" w:space="0" w:color="auto"/>
            </w:tcBorders>
            <w:shd w:val="clear" w:color="auto" w:fill="auto"/>
            <w:noWrap/>
            <w:vAlign w:val="bottom"/>
            <w:hideMark/>
          </w:tcPr>
          <w:p w14:paraId="5FEF11BE"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1BF"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1C0"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1C1"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1C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303,019,200</w:t>
            </w:r>
          </w:p>
        </w:tc>
        <w:tc>
          <w:tcPr>
            <w:tcW w:w="728" w:type="dxa"/>
            <w:tcBorders>
              <w:top w:val="nil"/>
              <w:left w:val="nil"/>
              <w:bottom w:val="single" w:sz="8" w:space="0" w:color="auto"/>
              <w:right w:val="single" w:sz="4" w:space="0" w:color="auto"/>
            </w:tcBorders>
            <w:shd w:val="clear" w:color="auto" w:fill="auto"/>
            <w:noWrap/>
            <w:vAlign w:val="center"/>
            <w:hideMark/>
          </w:tcPr>
          <w:p w14:paraId="5FEF11C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1C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303,019,200</w:t>
            </w:r>
          </w:p>
        </w:tc>
        <w:tc>
          <w:tcPr>
            <w:tcW w:w="728" w:type="dxa"/>
            <w:tcBorders>
              <w:top w:val="nil"/>
              <w:left w:val="nil"/>
              <w:bottom w:val="single" w:sz="8" w:space="0" w:color="auto"/>
              <w:right w:val="single" w:sz="4" w:space="0" w:color="auto"/>
            </w:tcBorders>
            <w:shd w:val="clear" w:color="auto" w:fill="auto"/>
            <w:noWrap/>
            <w:vAlign w:val="center"/>
            <w:hideMark/>
          </w:tcPr>
          <w:p w14:paraId="5FEF11C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303,019,200</w:t>
            </w:r>
          </w:p>
        </w:tc>
        <w:tc>
          <w:tcPr>
            <w:tcW w:w="661" w:type="dxa"/>
            <w:tcBorders>
              <w:top w:val="nil"/>
              <w:left w:val="nil"/>
              <w:bottom w:val="single" w:sz="8" w:space="0" w:color="auto"/>
              <w:right w:val="single" w:sz="4" w:space="0" w:color="auto"/>
            </w:tcBorders>
            <w:shd w:val="clear" w:color="auto" w:fill="auto"/>
            <w:noWrap/>
            <w:vAlign w:val="center"/>
            <w:hideMark/>
          </w:tcPr>
          <w:p w14:paraId="5FEF11C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1C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303,019,200</w:t>
            </w:r>
          </w:p>
        </w:tc>
        <w:tc>
          <w:tcPr>
            <w:tcW w:w="728" w:type="dxa"/>
            <w:tcBorders>
              <w:top w:val="nil"/>
              <w:left w:val="nil"/>
              <w:bottom w:val="single" w:sz="8" w:space="0" w:color="auto"/>
              <w:right w:val="single" w:sz="4" w:space="0" w:color="auto"/>
            </w:tcBorders>
            <w:shd w:val="clear" w:color="auto" w:fill="auto"/>
            <w:noWrap/>
            <w:vAlign w:val="center"/>
            <w:hideMark/>
          </w:tcPr>
          <w:p w14:paraId="5FEF11C8"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1C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1C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1C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4" w:space="0" w:color="auto"/>
            </w:tcBorders>
            <w:shd w:val="clear" w:color="000000" w:fill="92D050"/>
            <w:noWrap/>
            <w:vAlign w:val="center"/>
            <w:hideMark/>
          </w:tcPr>
          <w:p w14:paraId="5FEF11C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2,463,571</w:t>
            </w:r>
          </w:p>
        </w:tc>
      </w:tr>
      <w:tr w:rsidR="00E2233D" w:rsidRPr="00795698" w14:paraId="5FEF11CF"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1CE" w14:textId="0280105E"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 IV:</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ZGJERIMI I</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KAPACITETEVE OPERACIONALE TË POLICISË DHE KAPACITETEVE TË INTELIGJENCËS</w:t>
            </w:r>
          </w:p>
        </w:tc>
      </w:tr>
      <w:tr w:rsidR="00E2233D" w:rsidRPr="00795698" w14:paraId="5FEF11D7"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1D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1D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1D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1D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1D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D5" w14:textId="3E094362"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1D6" w14:textId="00AA4691"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1E2"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1D8"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D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D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D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1DC" w14:textId="5E9F917B"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1DD"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1DE" w14:textId="43D63983"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1D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1E0"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1E1" w14:textId="77777777" w:rsidR="00E2233D" w:rsidRPr="00795698" w:rsidRDefault="00E2233D" w:rsidP="00E2233D">
            <w:pPr>
              <w:rPr>
                <w:rFonts w:ascii="Arial" w:hAnsi="Arial" w:cs="Arial"/>
                <w:b/>
                <w:bCs/>
                <w:color w:val="000000"/>
                <w:sz w:val="8"/>
                <w:szCs w:val="8"/>
                <w:lang w:eastAsia="sq-AL"/>
              </w:rPr>
            </w:pPr>
          </w:p>
        </w:tc>
      </w:tr>
      <w:tr w:rsidR="00E2233D" w:rsidRPr="00795698" w14:paraId="5FEF11F3"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1E3"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1E4"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1E5"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1E6"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1E7"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1E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1E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1E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1E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1E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1E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1E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1E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1F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1F1"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1F2" w14:textId="77777777" w:rsidR="00E2233D" w:rsidRPr="00795698" w:rsidRDefault="00E2233D" w:rsidP="00E2233D">
            <w:pPr>
              <w:rPr>
                <w:rFonts w:ascii="Arial" w:hAnsi="Arial" w:cs="Arial"/>
                <w:b/>
                <w:bCs/>
                <w:color w:val="000000"/>
                <w:sz w:val="8"/>
                <w:szCs w:val="8"/>
                <w:lang w:eastAsia="sq-AL"/>
              </w:rPr>
            </w:pPr>
          </w:p>
        </w:tc>
      </w:tr>
      <w:tr w:rsidR="00E2233D" w:rsidRPr="00795698" w14:paraId="5FEF1204"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1F4"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PËRMIRËSIMI I PARANDALIMIT NËPËRMJET ZHVILLIMIT TË VLERËSIMEVE TË RISKUT, ANALIZAVE DHE KËRKIMEVE PËR RADIKALIZIMIN DHE TERRORIZMIN.</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1F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PSH/DAT</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1F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PSH/DAT/SHISH/ MM/AISM/MFE/DPPPP/PP/SPAK/MD/DPB</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1F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1F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F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37,500,000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F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F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37,500,000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F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37,500,000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1F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F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37,500,000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1F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20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20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20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20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304,878</w:t>
            </w:r>
          </w:p>
        </w:tc>
      </w:tr>
      <w:tr w:rsidR="00E2233D" w:rsidRPr="00795698" w14:paraId="5FEF1215" w14:textId="77777777" w:rsidTr="00E2233D">
        <w:trPr>
          <w:trHeight w:val="180"/>
          <w:jc w:val="center"/>
        </w:trPr>
        <w:tc>
          <w:tcPr>
            <w:tcW w:w="1622" w:type="dxa"/>
            <w:tcBorders>
              <w:top w:val="nil"/>
              <w:left w:val="single" w:sz="8" w:space="0" w:color="auto"/>
              <w:bottom w:val="single" w:sz="8" w:space="0" w:color="auto"/>
              <w:right w:val="single" w:sz="4" w:space="0" w:color="auto"/>
            </w:tcBorders>
            <w:shd w:val="clear" w:color="auto" w:fill="auto"/>
            <w:vAlign w:val="bottom"/>
            <w:hideMark/>
          </w:tcPr>
          <w:p w14:paraId="5FEF1205"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IV </w:t>
            </w:r>
            <w:r w:rsidRPr="00795698">
              <w:rPr>
                <w:rFonts w:ascii="Arial" w:hAnsi="Arial" w:cs="Arial"/>
                <w:color w:val="000000"/>
                <w:sz w:val="8"/>
                <w:szCs w:val="8"/>
                <w:lang w:eastAsia="sq-AL"/>
              </w:rPr>
              <w:br/>
              <w:t>(objektiva specifike 4.1)</w:t>
            </w:r>
          </w:p>
        </w:tc>
        <w:tc>
          <w:tcPr>
            <w:tcW w:w="981" w:type="dxa"/>
            <w:tcBorders>
              <w:top w:val="nil"/>
              <w:left w:val="nil"/>
              <w:bottom w:val="single" w:sz="8" w:space="0" w:color="auto"/>
              <w:right w:val="single" w:sz="4" w:space="0" w:color="auto"/>
            </w:tcBorders>
            <w:shd w:val="clear" w:color="auto" w:fill="auto"/>
            <w:noWrap/>
            <w:vAlign w:val="bottom"/>
            <w:hideMark/>
          </w:tcPr>
          <w:p w14:paraId="5FEF1206"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20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20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20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20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37,500,000</w:t>
            </w:r>
          </w:p>
        </w:tc>
        <w:tc>
          <w:tcPr>
            <w:tcW w:w="728" w:type="dxa"/>
            <w:tcBorders>
              <w:top w:val="nil"/>
              <w:left w:val="nil"/>
              <w:bottom w:val="single" w:sz="8" w:space="0" w:color="auto"/>
              <w:right w:val="single" w:sz="4" w:space="0" w:color="auto"/>
            </w:tcBorders>
            <w:shd w:val="clear" w:color="auto" w:fill="auto"/>
            <w:noWrap/>
            <w:vAlign w:val="center"/>
            <w:hideMark/>
          </w:tcPr>
          <w:p w14:paraId="5FEF120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20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37,500,000</w:t>
            </w:r>
          </w:p>
        </w:tc>
        <w:tc>
          <w:tcPr>
            <w:tcW w:w="728" w:type="dxa"/>
            <w:tcBorders>
              <w:top w:val="nil"/>
              <w:left w:val="nil"/>
              <w:bottom w:val="single" w:sz="8" w:space="0" w:color="auto"/>
              <w:right w:val="single" w:sz="4" w:space="0" w:color="auto"/>
            </w:tcBorders>
            <w:shd w:val="clear" w:color="auto" w:fill="auto"/>
            <w:noWrap/>
            <w:vAlign w:val="center"/>
            <w:hideMark/>
          </w:tcPr>
          <w:p w14:paraId="5FEF120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37,500,000</w:t>
            </w:r>
          </w:p>
        </w:tc>
        <w:tc>
          <w:tcPr>
            <w:tcW w:w="661" w:type="dxa"/>
            <w:tcBorders>
              <w:top w:val="nil"/>
              <w:left w:val="nil"/>
              <w:bottom w:val="single" w:sz="8" w:space="0" w:color="auto"/>
              <w:right w:val="single" w:sz="4" w:space="0" w:color="auto"/>
            </w:tcBorders>
            <w:shd w:val="clear" w:color="auto" w:fill="auto"/>
            <w:noWrap/>
            <w:vAlign w:val="center"/>
            <w:hideMark/>
          </w:tcPr>
          <w:p w14:paraId="5FEF120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20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37,500,000</w:t>
            </w:r>
          </w:p>
        </w:tc>
        <w:tc>
          <w:tcPr>
            <w:tcW w:w="728" w:type="dxa"/>
            <w:tcBorders>
              <w:top w:val="nil"/>
              <w:left w:val="nil"/>
              <w:bottom w:val="single" w:sz="8" w:space="0" w:color="auto"/>
              <w:right w:val="single" w:sz="4" w:space="0" w:color="auto"/>
            </w:tcBorders>
            <w:shd w:val="clear" w:color="auto" w:fill="auto"/>
            <w:noWrap/>
            <w:vAlign w:val="center"/>
            <w:hideMark/>
          </w:tcPr>
          <w:p w14:paraId="5FEF121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21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21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21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21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304,878</w:t>
            </w:r>
          </w:p>
        </w:tc>
      </w:tr>
      <w:tr w:rsidR="00E2233D" w:rsidRPr="00795698" w14:paraId="5FEF1217"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216" w14:textId="6512EDDA"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 V:</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ZHVILLIMI I KOMUNIKIMIT STRATEGJIK</w:t>
            </w:r>
          </w:p>
        </w:tc>
      </w:tr>
      <w:tr w:rsidR="00E2233D" w:rsidRPr="00795698" w14:paraId="5FEF121F"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21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lastRenderedPageBreak/>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21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21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21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21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1D" w14:textId="13F1B810"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21E" w14:textId="0664AB92"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22A"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220"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2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2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2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24" w14:textId="66B433B6"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225"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226" w14:textId="3C39E933"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22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228"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229" w14:textId="77777777" w:rsidR="00E2233D" w:rsidRPr="00795698" w:rsidRDefault="00E2233D" w:rsidP="00E2233D">
            <w:pPr>
              <w:rPr>
                <w:rFonts w:ascii="Arial" w:hAnsi="Arial" w:cs="Arial"/>
                <w:b/>
                <w:bCs/>
                <w:color w:val="000000"/>
                <w:sz w:val="8"/>
                <w:szCs w:val="8"/>
                <w:lang w:eastAsia="sq-AL"/>
              </w:rPr>
            </w:pPr>
          </w:p>
        </w:tc>
      </w:tr>
      <w:tr w:rsidR="00E2233D" w:rsidRPr="00795698" w14:paraId="5FEF123B"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22B"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22C"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22D"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22E"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22F"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23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23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23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23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23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23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23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23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23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tcBorders>
              <w:top w:val="nil"/>
              <w:left w:val="nil"/>
              <w:bottom w:val="single" w:sz="8" w:space="0" w:color="auto"/>
              <w:right w:val="single" w:sz="8" w:space="0" w:color="auto"/>
            </w:tcBorders>
            <w:shd w:val="clear" w:color="auto" w:fill="auto"/>
            <w:vAlign w:val="center"/>
            <w:hideMark/>
          </w:tcPr>
          <w:p w14:paraId="5FEF123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1319" w:type="dxa"/>
            <w:vMerge/>
            <w:tcBorders>
              <w:top w:val="nil"/>
              <w:left w:val="single" w:sz="8" w:space="0" w:color="auto"/>
              <w:bottom w:val="single" w:sz="4" w:space="0" w:color="000000"/>
              <w:right w:val="single" w:sz="8" w:space="0" w:color="auto"/>
            </w:tcBorders>
            <w:vAlign w:val="center"/>
            <w:hideMark/>
          </w:tcPr>
          <w:p w14:paraId="5FEF123A" w14:textId="77777777" w:rsidR="00E2233D" w:rsidRPr="00795698" w:rsidRDefault="00E2233D" w:rsidP="00E2233D">
            <w:pPr>
              <w:rPr>
                <w:rFonts w:ascii="Arial" w:hAnsi="Arial" w:cs="Arial"/>
                <w:b/>
                <w:bCs/>
                <w:color w:val="000000"/>
                <w:sz w:val="8"/>
                <w:szCs w:val="8"/>
                <w:lang w:eastAsia="sq-AL"/>
              </w:rPr>
            </w:pPr>
          </w:p>
        </w:tc>
      </w:tr>
      <w:tr w:rsidR="00E2233D" w:rsidRPr="00795698" w14:paraId="5FEF124C"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23C"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SHKËMBIMI I PËRVOJËS DHE EKSPERTIZËS ME VENDET E RAJONIT</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14:paraId="5FEF123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Qendra CVE</w:t>
            </w:r>
          </w:p>
        </w:tc>
        <w:tc>
          <w:tcPr>
            <w:tcW w:w="2412" w:type="dxa"/>
            <w:tcBorders>
              <w:top w:val="single" w:sz="4" w:space="0" w:color="auto"/>
              <w:left w:val="nil"/>
              <w:bottom w:val="single" w:sz="4" w:space="0" w:color="auto"/>
              <w:right w:val="single" w:sz="4" w:space="0" w:color="auto"/>
            </w:tcBorders>
            <w:shd w:val="clear" w:color="auto" w:fill="auto"/>
            <w:vAlign w:val="bottom"/>
            <w:hideMark/>
          </w:tcPr>
          <w:p w14:paraId="5FEF123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23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24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4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150,834,600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4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4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150,834,600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4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150,834,600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24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4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150,834,600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4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24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24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24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24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1,226,298</w:t>
            </w:r>
          </w:p>
        </w:tc>
      </w:tr>
      <w:tr w:rsidR="00E2233D" w:rsidRPr="00795698" w14:paraId="5FEF125D"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24D"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KRIJIMI I NJË RRJETI KOMUNIKIMI TË VAZHDUESHËM PËR SHKËMBIMIN E INFORMACIONEVE MES INSTITUCIONEVE DHE STRUKTURAVE TË PËRFSHIRA</w:t>
            </w:r>
          </w:p>
        </w:tc>
        <w:tc>
          <w:tcPr>
            <w:tcW w:w="981" w:type="dxa"/>
            <w:tcBorders>
              <w:top w:val="nil"/>
              <w:left w:val="nil"/>
              <w:bottom w:val="single" w:sz="4" w:space="0" w:color="auto"/>
              <w:right w:val="single" w:sz="4" w:space="0" w:color="auto"/>
            </w:tcBorders>
            <w:shd w:val="clear" w:color="auto" w:fill="auto"/>
            <w:vAlign w:val="center"/>
            <w:hideMark/>
          </w:tcPr>
          <w:p w14:paraId="5FEF124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Qendra CVE</w:t>
            </w:r>
            <w:r w:rsidRPr="00795698">
              <w:rPr>
                <w:rFonts w:ascii="Arial" w:hAnsi="Arial" w:cs="Arial"/>
                <w:color w:val="000000"/>
                <w:sz w:val="8"/>
                <w:szCs w:val="8"/>
                <w:lang w:eastAsia="sq-AL"/>
              </w:rPr>
              <w:br/>
              <w:t>DPB</w:t>
            </w:r>
            <w:r w:rsidRPr="00795698">
              <w:rPr>
                <w:rFonts w:ascii="Arial" w:hAnsi="Arial" w:cs="Arial"/>
                <w:color w:val="000000"/>
                <w:sz w:val="8"/>
                <w:szCs w:val="8"/>
                <w:lang w:eastAsia="sq-AL"/>
              </w:rPr>
              <w:br/>
              <w:t>MASR</w:t>
            </w:r>
          </w:p>
        </w:tc>
        <w:tc>
          <w:tcPr>
            <w:tcW w:w="2412" w:type="dxa"/>
            <w:tcBorders>
              <w:top w:val="nil"/>
              <w:left w:val="nil"/>
              <w:bottom w:val="single" w:sz="4" w:space="0" w:color="auto"/>
              <w:right w:val="single" w:sz="4" w:space="0" w:color="auto"/>
            </w:tcBorders>
            <w:shd w:val="clear" w:color="auto" w:fill="auto"/>
            <w:vAlign w:val="center"/>
            <w:hideMark/>
          </w:tcPr>
          <w:p w14:paraId="5FEF124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Institucioni Arsimor/ QN/SHPS</w:t>
            </w:r>
            <w:r w:rsidRPr="00795698">
              <w:rPr>
                <w:rFonts w:ascii="Arial" w:hAnsi="Arial" w:cs="Arial"/>
                <w:color w:val="000000"/>
                <w:sz w:val="8"/>
                <w:szCs w:val="8"/>
                <w:lang w:eastAsia="sq-AL"/>
              </w:rPr>
              <w:br/>
              <w:t xml:space="preserve">MASR/ DPB/ZVAP/ QN/ </w:t>
            </w:r>
          </w:p>
        </w:tc>
        <w:tc>
          <w:tcPr>
            <w:tcW w:w="452" w:type="dxa"/>
            <w:tcBorders>
              <w:top w:val="nil"/>
              <w:left w:val="nil"/>
              <w:bottom w:val="single" w:sz="4" w:space="0" w:color="auto"/>
              <w:right w:val="single" w:sz="4" w:space="0" w:color="auto"/>
            </w:tcBorders>
            <w:shd w:val="clear" w:color="auto" w:fill="auto"/>
            <w:vAlign w:val="center"/>
            <w:hideMark/>
          </w:tcPr>
          <w:p w14:paraId="5FEF125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25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25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273,919,200</w:t>
            </w:r>
          </w:p>
        </w:tc>
        <w:tc>
          <w:tcPr>
            <w:tcW w:w="728" w:type="dxa"/>
            <w:tcBorders>
              <w:top w:val="nil"/>
              <w:left w:val="nil"/>
              <w:bottom w:val="single" w:sz="4" w:space="0" w:color="auto"/>
              <w:right w:val="single" w:sz="4" w:space="0" w:color="auto"/>
            </w:tcBorders>
            <w:shd w:val="clear" w:color="auto" w:fill="auto"/>
            <w:vAlign w:val="center"/>
            <w:hideMark/>
          </w:tcPr>
          <w:p w14:paraId="5FEF125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25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273,919,200</w:t>
            </w:r>
          </w:p>
        </w:tc>
        <w:tc>
          <w:tcPr>
            <w:tcW w:w="728" w:type="dxa"/>
            <w:tcBorders>
              <w:top w:val="nil"/>
              <w:left w:val="nil"/>
              <w:bottom w:val="single" w:sz="4" w:space="0" w:color="auto"/>
              <w:right w:val="single" w:sz="4" w:space="0" w:color="auto"/>
            </w:tcBorders>
            <w:shd w:val="clear" w:color="auto" w:fill="auto"/>
            <w:vAlign w:val="center"/>
            <w:hideMark/>
          </w:tcPr>
          <w:p w14:paraId="5FEF125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273,919,200</w:t>
            </w:r>
          </w:p>
        </w:tc>
        <w:tc>
          <w:tcPr>
            <w:tcW w:w="661" w:type="dxa"/>
            <w:tcBorders>
              <w:top w:val="nil"/>
              <w:left w:val="nil"/>
              <w:bottom w:val="single" w:sz="4" w:space="0" w:color="auto"/>
              <w:right w:val="single" w:sz="4" w:space="0" w:color="auto"/>
            </w:tcBorders>
            <w:shd w:val="clear" w:color="auto" w:fill="auto"/>
            <w:vAlign w:val="center"/>
            <w:hideMark/>
          </w:tcPr>
          <w:p w14:paraId="5FEF125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25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273,919,200</w:t>
            </w:r>
          </w:p>
        </w:tc>
        <w:tc>
          <w:tcPr>
            <w:tcW w:w="728" w:type="dxa"/>
            <w:tcBorders>
              <w:top w:val="nil"/>
              <w:left w:val="nil"/>
              <w:bottom w:val="single" w:sz="4" w:space="0" w:color="auto"/>
              <w:right w:val="single" w:sz="4" w:space="0" w:color="auto"/>
            </w:tcBorders>
            <w:shd w:val="clear" w:color="auto" w:fill="auto"/>
            <w:vAlign w:val="center"/>
            <w:hideMark/>
          </w:tcPr>
          <w:p w14:paraId="5FEF125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25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25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25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25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2,226,985</w:t>
            </w:r>
          </w:p>
        </w:tc>
      </w:tr>
      <w:tr w:rsidR="00E2233D" w:rsidRPr="00795698" w14:paraId="5FEF126E" w14:textId="77777777" w:rsidTr="00E2233D">
        <w:trPr>
          <w:trHeight w:val="180"/>
          <w:jc w:val="center"/>
        </w:trPr>
        <w:tc>
          <w:tcPr>
            <w:tcW w:w="1622" w:type="dxa"/>
            <w:tcBorders>
              <w:top w:val="nil"/>
              <w:left w:val="single" w:sz="8" w:space="0" w:color="auto"/>
              <w:bottom w:val="single" w:sz="8" w:space="0" w:color="auto"/>
              <w:right w:val="single" w:sz="4" w:space="0" w:color="auto"/>
            </w:tcBorders>
            <w:shd w:val="clear" w:color="auto" w:fill="auto"/>
            <w:vAlign w:val="bottom"/>
            <w:hideMark/>
          </w:tcPr>
          <w:p w14:paraId="5FEF125E"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V </w:t>
            </w:r>
            <w:r w:rsidRPr="00795698">
              <w:rPr>
                <w:rFonts w:ascii="Arial" w:hAnsi="Arial" w:cs="Arial"/>
                <w:color w:val="000000"/>
                <w:sz w:val="8"/>
                <w:szCs w:val="8"/>
                <w:lang w:eastAsia="sq-AL"/>
              </w:rPr>
              <w:br/>
              <w:t>(objektiva specifike 5.1+5.2)</w:t>
            </w:r>
          </w:p>
        </w:tc>
        <w:tc>
          <w:tcPr>
            <w:tcW w:w="981" w:type="dxa"/>
            <w:tcBorders>
              <w:top w:val="nil"/>
              <w:left w:val="nil"/>
              <w:bottom w:val="single" w:sz="8" w:space="0" w:color="auto"/>
              <w:right w:val="single" w:sz="4" w:space="0" w:color="auto"/>
            </w:tcBorders>
            <w:shd w:val="clear" w:color="auto" w:fill="auto"/>
            <w:noWrap/>
            <w:vAlign w:val="bottom"/>
            <w:hideMark/>
          </w:tcPr>
          <w:p w14:paraId="5FEF125F"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260"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261"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262"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26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424,753,800</w:t>
            </w:r>
          </w:p>
        </w:tc>
        <w:tc>
          <w:tcPr>
            <w:tcW w:w="728" w:type="dxa"/>
            <w:tcBorders>
              <w:top w:val="nil"/>
              <w:left w:val="nil"/>
              <w:bottom w:val="single" w:sz="8" w:space="0" w:color="auto"/>
              <w:right w:val="single" w:sz="4" w:space="0" w:color="auto"/>
            </w:tcBorders>
            <w:shd w:val="clear" w:color="auto" w:fill="auto"/>
            <w:noWrap/>
            <w:vAlign w:val="center"/>
            <w:hideMark/>
          </w:tcPr>
          <w:p w14:paraId="5FEF126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26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424,753,800</w:t>
            </w:r>
          </w:p>
        </w:tc>
        <w:tc>
          <w:tcPr>
            <w:tcW w:w="728" w:type="dxa"/>
            <w:tcBorders>
              <w:top w:val="nil"/>
              <w:left w:val="nil"/>
              <w:bottom w:val="single" w:sz="8" w:space="0" w:color="auto"/>
              <w:right w:val="single" w:sz="4" w:space="0" w:color="auto"/>
            </w:tcBorders>
            <w:shd w:val="clear" w:color="auto" w:fill="auto"/>
            <w:noWrap/>
            <w:vAlign w:val="center"/>
            <w:hideMark/>
          </w:tcPr>
          <w:p w14:paraId="5FEF126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424,753,800</w:t>
            </w:r>
          </w:p>
        </w:tc>
        <w:tc>
          <w:tcPr>
            <w:tcW w:w="661" w:type="dxa"/>
            <w:tcBorders>
              <w:top w:val="nil"/>
              <w:left w:val="nil"/>
              <w:bottom w:val="single" w:sz="8" w:space="0" w:color="auto"/>
              <w:right w:val="single" w:sz="4" w:space="0" w:color="auto"/>
            </w:tcBorders>
            <w:shd w:val="clear" w:color="auto" w:fill="auto"/>
            <w:noWrap/>
            <w:vAlign w:val="center"/>
            <w:hideMark/>
          </w:tcPr>
          <w:p w14:paraId="5FEF126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268"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424,753,800</w:t>
            </w:r>
          </w:p>
        </w:tc>
        <w:tc>
          <w:tcPr>
            <w:tcW w:w="728" w:type="dxa"/>
            <w:tcBorders>
              <w:top w:val="nil"/>
              <w:left w:val="nil"/>
              <w:bottom w:val="single" w:sz="8" w:space="0" w:color="auto"/>
              <w:right w:val="single" w:sz="4" w:space="0" w:color="auto"/>
            </w:tcBorders>
            <w:shd w:val="clear" w:color="auto" w:fill="auto"/>
            <w:noWrap/>
            <w:vAlign w:val="center"/>
            <w:hideMark/>
          </w:tcPr>
          <w:p w14:paraId="5FEF126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26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26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26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26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3,453,283</w:t>
            </w:r>
          </w:p>
        </w:tc>
      </w:tr>
      <w:tr w:rsidR="00E2233D" w:rsidRPr="00795698" w14:paraId="5FEF1270"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26F" w14:textId="7C194BE3"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 xml:space="preserve">VI: HETIMI, ZBULIMI DHE GODITJA E VEPRAVE PENALE NË FUSHËN E TERRORIZMIT DHE FINANCIMIT TË TIJ </w:t>
            </w:r>
          </w:p>
        </w:tc>
      </w:tr>
      <w:tr w:rsidR="00E2233D" w:rsidRPr="00795698" w14:paraId="5FEF1278"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27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27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27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27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27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76" w14:textId="11B7E365"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277" w14:textId="06DE9A73"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283"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279"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7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7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7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7D" w14:textId="7400F030"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27E"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27F" w14:textId="5DD49DC9"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28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281"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282" w14:textId="77777777" w:rsidR="00E2233D" w:rsidRPr="00795698" w:rsidRDefault="00E2233D" w:rsidP="00E2233D">
            <w:pPr>
              <w:rPr>
                <w:rFonts w:ascii="Arial" w:hAnsi="Arial" w:cs="Arial"/>
                <w:b/>
                <w:bCs/>
                <w:color w:val="000000"/>
                <w:sz w:val="8"/>
                <w:szCs w:val="8"/>
                <w:lang w:eastAsia="sq-AL"/>
              </w:rPr>
            </w:pPr>
          </w:p>
        </w:tc>
      </w:tr>
      <w:tr w:rsidR="00E2233D" w:rsidRPr="00795698" w14:paraId="5FEF1294"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284"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285"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286"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287"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288"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28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28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28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28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28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28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28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29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29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292"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293" w14:textId="77777777" w:rsidR="00E2233D" w:rsidRPr="00795698" w:rsidRDefault="00E2233D" w:rsidP="00E2233D">
            <w:pPr>
              <w:rPr>
                <w:rFonts w:ascii="Arial" w:hAnsi="Arial" w:cs="Arial"/>
                <w:b/>
                <w:bCs/>
                <w:color w:val="000000"/>
                <w:sz w:val="8"/>
                <w:szCs w:val="8"/>
                <w:lang w:eastAsia="sq-AL"/>
              </w:rPr>
            </w:pPr>
          </w:p>
        </w:tc>
      </w:tr>
      <w:tr w:rsidR="00E2233D" w:rsidRPr="00795698" w14:paraId="5FEF12A5"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295"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HETIMI I FINACIMIT TË TERRORIZMIT DHE BURIMEVE TË TIJ</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296"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MB/PSH/DAT/MD/PP / Prokuroritë e juridiksionit të përgjithshëm</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29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xml:space="preserve">MFE/DPPPP/PSH/DAT/SHISH/ MD/MFE/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29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29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9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623,435,215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9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9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623,435,215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9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623,435,215</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29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9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623,435,215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2A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2A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2A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2A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2A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5,068,579</w:t>
            </w:r>
          </w:p>
        </w:tc>
      </w:tr>
      <w:tr w:rsidR="00E2233D" w:rsidRPr="00795698" w14:paraId="5FEF12B6"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2A6" w14:textId="3383C468"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BASHKËPUNIMI DHE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KOORDINIMI ME AGJENCITË INTELIGJENTE E LIGJZBATUESE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SHISH, AISM, PROKURORINË, DPPPPP, DP BURGJEVE, DHE CVE SI DHE INSTITUCIONE QË KANË DETYRIME NË LUFTËN KUNDËR TERRORIZMIT</w:t>
            </w:r>
          </w:p>
        </w:tc>
        <w:tc>
          <w:tcPr>
            <w:tcW w:w="981" w:type="dxa"/>
            <w:tcBorders>
              <w:top w:val="nil"/>
              <w:left w:val="nil"/>
              <w:bottom w:val="single" w:sz="4" w:space="0" w:color="auto"/>
              <w:right w:val="single" w:sz="4" w:space="0" w:color="auto"/>
            </w:tcBorders>
            <w:shd w:val="clear" w:color="auto" w:fill="auto"/>
            <w:vAlign w:val="center"/>
            <w:hideMark/>
          </w:tcPr>
          <w:p w14:paraId="5FEF12A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PP / Prokuroritë e juridiksionit të përgjithshëm /DPPSH/DAT</w:t>
            </w:r>
          </w:p>
        </w:tc>
        <w:tc>
          <w:tcPr>
            <w:tcW w:w="2412" w:type="dxa"/>
            <w:tcBorders>
              <w:top w:val="nil"/>
              <w:left w:val="nil"/>
              <w:bottom w:val="single" w:sz="4" w:space="0" w:color="auto"/>
              <w:right w:val="single" w:sz="4" w:space="0" w:color="auto"/>
            </w:tcBorders>
            <w:shd w:val="clear" w:color="auto" w:fill="auto"/>
            <w:vAlign w:val="center"/>
            <w:hideMark/>
          </w:tcPr>
          <w:p w14:paraId="5FEF12A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xml:space="preserve">MFE/DPPPP/PSH/DAT/SHISH/MM/AISM/ PP / Prokuroritë e juridiksionit të përgjithshëm </w:t>
            </w:r>
          </w:p>
        </w:tc>
        <w:tc>
          <w:tcPr>
            <w:tcW w:w="452" w:type="dxa"/>
            <w:tcBorders>
              <w:top w:val="nil"/>
              <w:left w:val="nil"/>
              <w:bottom w:val="single" w:sz="4" w:space="0" w:color="auto"/>
              <w:right w:val="single" w:sz="4" w:space="0" w:color="auto"/>
            </w:tcBorders>
            <w:shd w:val="clear" w:color="auto" w:fill="auto"/>
            <w:vAlign w:val="center"/>
            <w:hideMark/>
          </w:tcPr>
          <w:p w14:paraId="5FEF12A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2A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2A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5,500,000</w:t>
            </w:r>
          </w:p>
        </w:tc>
        <w:tc>
          <w:tcPr>
            <w:tcW w:w="728" w:type="dxa"/>
            <w:tcBorders>
              <w:top w:val="nil"/>
              <w:left w:val="nil"/>
              <w:bottom w:val="single" w:sz="4" w:space="0" w:color="auto"/>
              <w:right w:val="single" w:sz="4" w:space="0" w:color="auto"/>
            </w:tcBorders>
            <w:shd w:val="clear" w:color="auto" w:fill="auto"/>
            <w:vAlign w:val="center"/>
            <w:hideMark/>
          </w:tcPr>
          <w:p w14:paraId="5FEF12A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2A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5,500,000</w:t>
            </w:r>
          </w:p>
        </w:tc>
        <w:tc>
          <w:tcPr>
            <w:tcW w:w="728" w:type="dxa"/>
            <w:tcBorders>
              <w:top w:val="nil"/>
              <w:left w:val="nil"/>
              <w:bottom w:val="single" w:sz="4" w:space="0" w:color="auto"/>
              <w:right w:val="single" w:sz="4" w:space="0" w:color="auto"/>
            </w:tcBorders>
            <w:shd w:val="clear" w:color="auto" w:fill="auto"/>
            <w:vAlign w:val="center"/>
            <w:hideMark/>
          </w:tcPr>
          <w:p w14:paraId="5FEF12A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5,500,000</w:t>
            </w:r>
          </w:p>
        </w:tc>
        <w:tc>
          <w:tcPr>
            <w:tcW w:w="661" w:type="dxa"/>
            <w:tcBorders>
              <w:top w:val="nil"/>
              <w:left w:val="nil"/>
              <w:bottom w:val="single" w:sz="4" w:space="0" w:color="auto"/>
              <w:right w:val="single" w:sz="4" w:space="0" w:color="auto"/>
            </w:tcBorders>
            <w:shd w:val="clear" w:color="auto" w:fill="auto"/>
            <w:vAlign w:val="center"/>
            <w:hideMark/>
          </w:tcPr>
          <w:p w14:paraId="5FEF12A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2B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5,500,000</w:t>
            </w:r>
          </w:p>
        </w:tc>
        <w:tc>
          <w:tcPr>
            <w:tcW w:w="728" w:type="dxa"/>
            <w:tcBorders>
              <w:top w:val="nil"/>
              <w:left w:val="nil"/>
              <w:bottom w:val="single" w:sz="4" w:space="0" w:color="auto"/>
              <w:right w:val="single" w:sz="4" w:space="0" w:color="auto"/>
            </w:tcBorders>
            <w:shd w:val="clear" w:color="auto" w:fill="auto"/>
            <w:vAlign w:val="center"/>
            <w:hideMark/>
          </w:tcPr>
          <w:p w14:paraId="5FEF12B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2B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2B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2B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2B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44,715</w:t>
            </w:r>
          </w:p>
        </w:tc>
      </w:tr>
      <w:tr w:rsidR="00E2233D" w:rsidRPr="00795698" w14:paraId="5FEF12C7"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2B7" w14:textId="1F6FE6BA"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PËRMIRËSIMI DHE RRITJA SIPAS NEVOJËS E KAPACITETEVE NJERËZORE, PROFESIONALE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E LOGJISTIKE TË STRUKTURAVE TË ANTITERRORIT</w:t>
            </w:r>
          </w:p>
        </w:tc>
        <w:tc>
          <w:tcPr>
            <w:tcW w:w="981" w:type="dxa"/>
            <w:tcBorders>
              <w:top w:val="nil"/>
              <w:left w:val="nil"/>
              <w:bottom w:val="single" w:sz="4" w:space="0" w:color="auto"/>
              <w:right w:val="single" w:sz="4" w:space="0" w:color="auto"/>
            </w:tcBorders>
            <w:shd w:val="clear" w:color="auto" w:fill="auto"/>
            <w:noWrap/>
            <w:vAlign w:val="bottom"/>
            <w:hideMark/>
          </w:tcPr>
          <w:p w14:paraId="5FEF12B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PSH/DAT</w:t>
            </w:r>
          </w:p>
        </w:tc>
        <w:tc>
          <w:tcPr>
            <w:tcW w:w="2412" w:type="dxa"/>
            <w:tcBorders>
              <w:top w:val="nil"/>
              <w:left w:val="nil"/>
              <w:bottom w:val="single" w:sz="4" w:space="0" w:color="auto"/>
              <w:right w:val="single" w:sz="4" w:space="0" w:color="auto"/>
            </w:tcBorders>
            <w:shd w:val="clear" w:color="auto" w:fill="auto"/>
            <w:vAlign w:val="bottom"/>
            <w:hideMark/>
          </w:tcPr>
          <w:p w14:paraId="5FEF12B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PP / Prokuroritë e juridiksionit të përgjithshëm /MFE/DPPPP/SHISH/MM/AISM</w:t>
            </w:r>
          </w:p>
        </w:tc>
        <w:tc>
          <w:tcPr>
            <w:tcW w:w="452" w:type="dxa"/>
            <w:tcBorders>
              <w:top w:val="nil"/>
              <w:left w:val="nil"/>
              <w:bottom w:val="single" w:sz="4" w:space="0" w:color="auto"/>
              <w:right w:val="single" w:sz="4" w:space="0" w:color="auto"/>
            </w:tcBorders>
            <w:shd w:val="clear" w:color="auto" w:fill="auto"/>
            <w:vAlign w:val="center"/>
            <w:hideMark/>
          </w:tcPr>
          <w:p w14:paraId="5FEF12B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2B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2B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6,000,000</w:t>
            </w:r>
          </w:p>
        </w:tc>
        <w:tc>
          <w:tcPr>
            <w:tcW w:w="728" w:type="dxa"/>
            <w:tcBorders>
              <w:top w:val="nil"/>
              <w:left w:val="nil"/>
              <w:bottom w:val="single" w:sz="4" w:space="0" w:color="auto"/>
              <w:right w:val="single" w:sz="4" w:space="0" w:color="auto"/>
            </w:tcBorders>
            <w:shd w:val="clear" w:color="auto" w:fill="auto"/>
            <w:vAlign w:val="center"/>
            <w:hideMark/>
          </w:tcPr>
          <w:p w14:paraId="5FEF12B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2B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6,000,000</w:t>
            </w:r>
          </w:p>
        </w:tc>
        <w:tc>
          <w:tcPr>
            <w:tcW w:w="728" w:type="dxa"/>
            <w:tcBorders>
              <w:top w:val="nil"/>
              <w:left w:val="nil"/>
              <w:bottom w:val="single" w:sz="4" w:space="0" w:color="auto"/>
              <w:right w:val="single" w:sz="4" w:space="0" w:color="auto"/>
            </w:tcBorders>
            <w:shd w:val="clear" w:color="auto" w:fill="auto"/>
            <w:vAlign w:val="center"/>
            <w:hideMark/>
          </w:tcPr>
          <w:p w14:paraId="5FEF12B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6,000,000</w:t>
            </w:r>
          </w:p>
        </w:tc>
        <w:tc>
          <w:tcPr>
            <w:tcW w:w="661" w:type="dxa"/>
            <w:tcBorders>
              <w:top w:val="nil"/>
              <w:left w:val="nil"/>
              <w:bottom w:val="single" w:sz="4" w:space="0" w:color="auto"/>
              <w:right w:val="single" w:sz="4" w:space="0" w:color="auto"/>
            </w:tcBorders>
            <w:shd w:val="clear" w:color="auto" w:fill="auto"/>
            <w:vAlign w:val="center"/>
            <w:hideMark/>
          </w:tcPr>
          <w:p w14:paraId="5FEF12C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2C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6,000,000</w:t>
            </w:r>
          </w:p>
        </w:tc>
        <w:tc>
          <w:tcPr>
            <w:tcW w:w="728" w:type="dxa"/>
            <w:tcBorders>
              <w:top w:val="nil"/>
              <w:left w:val="nil"/>
              <w:bottom w:val="single" w:sz="4" w:space="0" w:color="auto"/>
              <w:right w:val="single" w:sz="4" w:space="0" w:color="auto"/>
            </w:tcBorders>
            <w:shd w:val="clear" w:color="auto" w:fill="auto"/>
            <w:vAlign w:val="center"/>
            <w:hideMark/>
          </w:tcPr>
          <w:p w14:paraId="5FEF12C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2C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2C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2C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2C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48,780</w:t>
            </w:r>
          </w:p>
        </w:tc>
      </w:tr>
      <w:tr w:rsidR="00E2233D" w:rsidRPr="00795698" w14:paraId="5FEF12D8" w14:textId="77777777" w:rsidTr="00E2233D">
        <w:trPr>
          <w:trHeight w:val="180"/>
          <w:jc w:val="center"/>
        </w:trPr>
        <w:tc>
          <w:tcPr>
            <w:tcW w:w="1622" w:type="dxa"/>
            <w:tcBorders>
              <w:top w:val="nil"/>
              <w:left w:val="single" w:sz="8" w:space="0" w:color="auto"/>
              <w:bottom w:val="single" w:sz="8" w:space="0" w:color="auto"/>
              <w:right w:val="single" w:sz="4" w:space="0" w:color="auto"/>
            </w:tcBorders>
            <w:shd w:val="clear" w:color="auto" w:fill="auto"/>
            <w:vAlign w:val="bottom"/>
            <w:hideMark/>
          </w:tcPr>
          <w:p w14:paraId="5FEF12C8"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VI </w:t>
            </w:r>
            <w:r w:rsidRPr="00795698">
              <w:rPr>
                <w:rFonts w:ascii="Arial" w:hAnsi="Arial" w:cs="Arial"/>
                <w:color w:val="000000"/>
                <w:sz w:val="8"/>
                <w:szCs w:val="8"/>
                <w:lang w:eastAsia="sq-AL"/>
              </w:rPr>
              <w:br/>
              <w:t>(objektiva specifike 6.1+6.2+6.3)</w:t>
            </w:r>
          </w:p>
        </w:tc>
        <w:tc>
          <w:tcPr>
            <w:tcW w:w="981" w:type="dxa"/>
            <w:tcBorders>
              <w:top w:val="nil"/>
              <w:left w:val="nil"/>
              <w:bottom w:val="single" w:sz="8" w:space="0" w:color="auto"/>
              <w:right w:val="single" w:sz="4" w:space="0" w:color="auto"/>
            </w:tcBorders>
            <w:shd w:val="clear" w:color="auto" w:fill="auto"/>
            <w:noWrap/>
            <w:vAlign w:val="bottom"/>
            <w:hideMark/>
          </w:tcPr>
          <w:p w14:paraId="5FEF12C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2CA"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2CB"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2CC"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2C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634,935,215</w:t>
            </w:r>
          </w:p>
        </w:tc>
        <w:tc>
          <w:tcPr>
            <w:tcW w:w="728" w:type="dxa"/>
            <w:tcBorders>
              <w:top w:val="nil"/>
              <w:left w:val="nil"/>
              <w:bottom w:val="single" w:sz="8" w:space="0" w:color="auto"/>
              <w:right w:val="single" w:sz="4" w:space="0" w:color="auto"/>
            </w:tcBorders>
            <w:shd w:val="clear" w:color="auto" w:fill="auto"/>
            <w:noWrap/>
            <w:vAlign w:val="center"/>
            <w:hideMark/>
          </w:tcPr>
          <w:p w14:paraId="5FEF12C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2C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634,935,215</w:t>
            </w:r>
          </w:p>
        </w:tc>
        <w:tc>
          <w:tcPr>
            <w:tcW w:w="728" w:type="dxa"/>
            <w:tcBorders>
              <w:top w:val="nil"/>
              <w:left w:val="nil"/>
              <w:bottom w:val="single" w:sz="8" w:space="0" w:color="auto"/>
              <w:right w:val="single" w:sz="4" w:space="0" w:color="auto"/>
            </w:tcBorders>
            <w:shd w:val="clear" w:color="auto" w:fill="auto"/>
            <w:noWrap/>
            <w:vAlign w:val="center"/>
            <w:hideMark/>
          </w:tcPr>
          <w:p w14:paraId="5FEF12D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634,935,215</w:t>
            </w:r>
          </w:p>
        </w:tc>
        <w:tc>
          <w:tcPr>
            <w:tcW w:w="661" w:type="dxa"/>
            <w:tcBorders>
              <w:top w:val="nil"/>
              <w:left w:val="nil"/>
              <w:bottom w:val="single" w:sz="8" w:space="0" w:color="auto"/>
              <w:right w:val="single" w:sz="4" w:space="0" w:color="auto"/>
            </w:tcBorders>
            <w:shd w:val="clear" w:color="auto" w:fill="auto"/>
            <w:noWrap/>
            <w:vAlign w:val="center"/>
            <w:hideMark/>
          </w:tcPr>
          <w:p w14:paraId="5FEF12D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2D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634,935,215</w:t>
            </w:r>
          </w:p>
        </w:tc>
        <w:tc>
          <w:tcPr>
            <w:tcW w:w="728" w:type="dxa"/>
            <w:tcBorders>
              <w:top w:val="nil"/>
              <w:left w:val="nil"/>
              <w:bottom w:val="single" w:sz="8" w:space="0" w:color="auto"/>
              <w:right w:val="single" w:sz="4" w:space="0" w:color="auto"/>
            </w:tcBorders>
            <w:shd w:val="clear" w:color="auto" w:fill="auto"/>
            <w:noWrap/>
            <w:vAlign w:val="center"/>
            <w:hideMark/>
          </w:tcPr>
          <w:p w14:paraId="5FEF12D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2D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2D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2D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2D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5,162,075</w:t>
            </w:r>
          </w:p>
        </w:tc>
      </w:tr>
      <w:tr w:rsidR="00E2233D" w:rsidRPr="00795698" w14:paraId="5FEF12DA"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2D9" w14:textId="087518A2"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VII: PËRMIRËSIMI I SISTEMEVE TË MBLEDHJES, RUAJTJES, ANALIZIMIT DHE SHPËRNDARJES SË INFORMACIONIT</w:t>
            </w:r>
          </w:p>
        </w:tc>
      </w:tr>
      <w:tr w:rsidR="00E2233D" w:rsidRPr="00795698" w14:paraId="5FEF12E2"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2D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2D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2D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2D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2D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E0" w14:textId="21B23C5A"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2E1" w14:textId="09482805"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2ED"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2E3"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E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E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E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2E7" w14:textId="0638BCCD"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2E8"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2E9" w14:textId="222FDE0F"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2E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2EB"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2EC" w14:textId="77777777" w:rsidR="00E2233D" w:rsidRPr="00795698" w:rsidRDefault="00E2233D" w:rsidP="00E2233D">
            <w:pPr>
              <w:rPr>
                <w:rFonts w:ascii="Arial" w:hAnsi="Arial" w:cs="Arial"/>
                <w:b/>
                <w:bCs/>
                <w:color w:val="000000"/>
                <w:sz w:val="8"/>
                <w:szCs w:val="8"/>
                <w:lang w:eastAsia="sq-AL"/>
              </w:rPr>
            </w:pPr>
          </w:p>
        </w:tc>
      </w:tr>
      <w:tr w:rsidR="00E2233D" w:rsidRPr="00795698" w14:paraId="5FEF12FE"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2EE"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2EF"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2F0"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2F1"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2F2"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2F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2F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2F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2F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2F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2F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2F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2F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2F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2FC"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2FD" w14:textId="77777777" w:rsidR="00E2233D" w:rsidRPr="00795698" w:rsidRDefault="00E2233D" w:rsidP="00E2233D">
            <w:pPr>
              <w:rPr>
                <w:rFonts w:ascii="Arial" w:hAnsi="Arial" w:cs="Arial"/>
                <w:b/>
                <w:bCs/>
                <w:color w:val="000000"/>
                <w:sz w:val="8"/>
                <w:szCs w:val="8"/>
                <w:lang w:eastAsia="sq-AL"/>
              </w:rPr>
            </w:pPr>
          </w:p>
        </w:tc>
      </w:tr>
      <w:tr w:rsidR="00E2233D" w:rsidRPr="00795698" w14:paraId="5FEF130F"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2FF" w14:textId="3FC48A70"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KRIJIMI I NJË SISTEMI TË </w:t>
            </w:r>
            <w:r w:rsidR="006249E3" w:rsidRPr="00795698">
              <w:rPr>
                <w:rFonts w:ascii="Arial" w:hAnsi="Arial" w:cs="Arial"/>
                <w:b/>
                <w:bCs/>
                <w:color w:val="000000"/>
                <w:sz w:val="8"/>
                <w:szCs w:val="8"/>
                <w:lang w:eastAsia="sq-AL"/>
              </w:rPr>
              <w:t>SIGURT</w:t>
            </w:r>
            <w:r w:rsidRPr="00795698">
              <w:rPr>
                <w:rFonts w:ascii="Arial" w:hAnsi="Arial" w:cs="Arial"/>
                <w:b/>
                <w:bCs/>
                <w:color w:val="000000"/>
                <w:sz w:val="8"/>
                <w:szCs w:val="8"/>
                <w:lang w:eastAsia="sq-AL"/>
              </w:rPr>
              <w:t xml:space="preserve"> TË KOMUNIKIMIT PËR TRANSMETIMIN E INFORMACIONIT NDËRMJET STRUKTURAVE TË PËRFSHIRA NË LUFTËN KUNDËR TERRORIZMIT</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14:paraId="5FEF130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AISM</w:t>
            </w:r>
          </w:p>
        </w:tc>
        <w:tc>
          <w:tcPr>
            <w:tcW w:w="2412" w:type="dxa"/>
            <w:tcBorders>
              <w:top w:val="single" w:sz="4" w:space="0" w:color="auto"/>
              <w:left w:val="nil"/>
              <w:bottom w:val="single" w:sz="4" w:space="0" w:color="auto"/>
              <w:right w:val="single" w:sz="4" w:space="0" w:color="auto"/>
            </w:tcBorders>
            <w:shd w:val="clear" w:color="auto" w:fill="auto"/>
            <w:vAlign w:val="bottom"/>
            <w:hideMark/>
          </w:tcPr>
          <w:p w14:paraId="5FEF1301"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30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30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0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2,652,000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0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0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2,652,000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0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2,652,000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30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0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2,652,000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0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30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30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30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0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21,561</w:t>
            </w:r>
          </w:p>
        </w:tc>
      </w:tr>
      <w:tr w:rsidR="00E2233D" w:rsidRPr="00795698" w14:paraId="5FEF1320"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310"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VLERËSIMI PERIODIK I NIVELIT TË RREZIKUT /KËRCËNIMIT TË FAKTORËVE DHE FENOMENEVE QË PRODHOJNË RADIKALIZËM APO EKSTREMIZËM, SI DERIVATE TË TERRORIZMIT</w:t>
            </w:r>
          </w:p>
        </w:tc>
        <w:tc>
          <w:tcPr>
            <w:tcW w:w="981" w:type="dxa"/>
            <w:tcBorders>
              <w:top w:val="nil"/>
              <w:left w:val="nil"/>
              <w:bottom w:val="single" w:sz="4" w:space="0" w:color="auto"/>
              <w:right w:val="single" w:sz="4" w:space="0" w:color="auto"/>
            </w:tcBorders>
            <w:shd w:val="clear" w:color="auto" w:fill="auto"/>
            <w:noWrap/>
            <w:vAlign w:val="center"/>
            <w:hideMark/>
          </w:tcPr>
          <w:p w14:paraId="5FEF131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SHISH/MD</w:t>
            </w:r>
          </w:p>
        </w:tc>
        <w:tc>
          <w:tcPr>
            <w:tcW w:w="2412" w:type="dxa"/>
            <w:tcBorders>
              <w:top w:val="nil"/>
              <w:left w:val="nil"/>
              <w:bottom w:val="single" w:sz="4" w:space="0" w:color="auto"/>
              <w:right w:val="single" w:sz="4" w:space="0" w:color="auto"/>
            </w:tcBorders>
            <w:shd w:val="clear" w:color="auto" w:fill="auto"/>
            <w:vAlign w:val="center"/>
            <w:hideMark/>
          </w:tcPr>
          <w:p w14:paraId="5FEF1312"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MD/PP/AKSHI/PSH/PP</w:t>
            </w:r>
          </w:p>
        </w:tc>
        <w:tc>
          <w:tcPr>
            <w:tcW w:w="452" w:type="dxa"/>
            <w:tcBorders>
              <w:top w:val="nil"/>
              <w:left w:val="nil"/>
              <w:bottom w:val="single" w:sz="4" w:space="0" w:color="auto"/>
              <w:right w:val="single" w:sz="4" w:space="0" w:color="auto"/>
            </w:tcBorders>
            <w:shd w:val="clear" w:color="auto" w:fill="auto"/>
            <w:vAlign w:val="center"/>
            <w:hideMark/>
          </w:tcPr>
          <w:p w14:paraId="5FEF131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31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31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28,330,500</w:t>
            </w:r>
          </w:p>
        </w:tc>
        <w:tc>
          <w:tcPr>
            <w:tcW w:w="728" w:type="dxa"/>
            <w:tcBorders>
              <w:top w:val="nil"/>
              <w:left w:val="nil"/>
              <w:bottom w:val="single" w:sz="4" w:space="0" w:color="auto"/>
              <w:right w:val="single" w:sz="4" w:space="0" w:color="auto"/>
            </w:tcBorders>
            <w:shd w:val="clear" w:color="auto" w:fill="auto"/>
            <w:vAlign w:val="center"/>
            <w:hideMark/>
          </w:tcPr>
          <w:p w14:paraId="5FEF131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1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28,330,500</w:t>
            </w:r>
          </w:p>
        </w:tc>
        <w:tc>
          <w:tcPr>
            <w:tcW w:w="728" w:type="dxa"/>
            <w:tcBorders>
              <w:top w:val="nil"/>
              <w:left w:val="nil"/>
              <w:bottom w:val="single" w:sz="4" w:space="0" w:color="auto"/>
              <w:right w:val="single" w:sz="4" w:space="0" w:color="auto"/>
            </w:tcBorders>
            <w:shd w:val="clear" w:color="auto" w:fill="auto"/>
            <w:vAlign w:val="center"/>
            <w:hideMark/>
          </w:tcPr>
          <w:p w14:paraId="5FEF131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28,330,500</w:t>
            </w:r>
          </w:p>
        </w:tc>
        <w:tc>
          <w:tcPr>
            <w:tcW w:w="661" w:type="dxa"/>
            <w:tcBorders>
              <w:top w:val="nil"/>
              <w:left w:val="nil"/>
              <w:bottom w:val="single" w:sz="4" w:space="0" w:color="auto"/>
              <w:right w:val="single" w:sz="4" w:space="0" w:color="auto"/>
            </w:tcBorders>
            <w:shd w:val="clear" w:color="auto" w:fill="auto"/>
            <w:vAlign w:val="center"/>
            <w:hideMark/>
          </w:tcPr>
          <w:p w14:paraId="5FEF131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1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28,330,500</w:t>
            </w:r>
          </w:p>
        </w:tc>
        <w:tc>
          <w:tcPr>
            <w:tcW w:w="728" w:type="dxa"/>
            <w:tcBorders>
              <w:top w:val="nil"/>
              <w:left w:val="nil"/>
              <w:bottom w:val="single" w:sz="4" w:space="0" w:color="auto"/>
              <w:right w:val="single" w:sz="4" w:space="0" w:color="auto"/>
            </w:tcBorders>
            <w:shd w:val="clear" w:color="auto" w:fill="auto"/>
            <w:vAlign w:val="center"/>
            <w:hideMark/>
          </w:tcPr>
          <w:p w14:paraId="5FEF131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31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31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31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1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230,329</w:t>
            </w:r>
          </w:p>
        </w:tc>
      </w:tr>
      <w:tr w:rsidR="00E2233D" w:rsidRPr="00795698" w14:paraId="5FEF1331"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321"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RAPORTE DHE VLERËSIME NGA AGJENCITË INTELIGJENTE DHE LIGJZBATUESE NË LUFTËN KUNDËR TERRORIZMIT, MBI PËRCAKTIMIN E NIVELIT TË KËRCËNIMIT TERRORIST NË RRAFSHIN NDËRKOMBËTAR MODUS OPERANDI DHE NDIKIMI NË VENDIN TONË</w:t>
            </w:r>
          </w:p>
        </w:tc>
        <w:tc>
          <w:tcPr>
            <w:tcW w:w="981" w:type="dxa"/>
            <w:tcBorders>
              <w:top w:val="nil"/>
              <w:left w:val="nil"/>
              <w:bottom w:val="single" w:sz="4" w:space="0" w:color="auto"/>
              <w:right w:val="single" w:sz="4" w:space="0" w:color="auto"/>
            </w:tcBorders>
            <w:shd w:val="clear" w:color="auto" w:fill="auto"/>
            <w:vAlign w:val="center"/>
            <w:hideMark/>
          </w:tcPr>
          <w:p w14:paraId="5FEF1322"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SHISH/ DPPSH/DAT</w:t>
            </w:r>
          </w:p>
        </w:tc>
        <w:tc>
          <w:tcPr>
            <w:tcW w:w="2412" w:type="dxa"/>
            <w:tcBorders>
              <w:top w:val="nil"/>
              <w:left w:val="nil"/>
              <w:bottom w:val="single" w:sz="4" w:space="0" w:color="auto"/>
              <w:right w:val="single" w:sz="4" w:space="0" w:color="auto"/>
            </w:tcBorders>
            <w:shd w:val="clear" w:color="auto" w:fill="auto"/>
            <w:vAlign w:val="center"/>
            <w:hideMark/>
          </w:tcPr>
          <w:p w14:paraId="5FEF1323"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MD/PP/AKSHI/PSH/SHISH</w:t>
            </w:r>
          </w:p>
        </w:tc>
        <w:tc>
          <w:tcPr>
            <w:tcW w:w="452" w:type="dxa"/>
            <w:tcBorders>
              <w:top w:val="nil"/>
              <w:left w:val="nil"/>
              <w:bottom w:val="single" w:sz="4" w:space="0" w:color="auto"/>
              <w:right w:val="single" w:sz="4" w:space="0" w:color="auto"/>
            </w:tcBorders>
            <w:shd w:val="clear" w:color="auto" w:fill="auto"/>
            <w:vAlign w:val="center"/>
            <w:hideMark/>
          </w:tcPr>
          <w:p w14:paraId="5FEF132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32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32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12,219,000</w:t>
            </w:r>
          </w:p>
        </w:tc>
        <w:tc>
          <w:tcPr>
            <w:tcW w:w="728" w:type="dxa"/>
            <w:tcBorders>
              <w:top w:val="nil"/>
              <w:left w:val="nil"/>
              <w:bottom w:val="single" w:sz="4" w:space="0" w:color="auto"/>
              <w:right w:val="single" w:sz="4" w:space="0" w:color="auto"/>
            </w:tcBorders>
            <w:shd w:val="clear" w:color="auto" w:fill="auto"/>
            <w:vAlign w:val="center"/>
            <w:hideMark/>
          </w:tcPr>
          <w:p w14:paraId="5FEF132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2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12,219,000</w:t>
            </w:r>
          </w:p>
        </w:tc>
        <w:tc>
          <w:tcPr>
            <w:tcW w:w="728" w:type="dxa"/>
            <w:tcBorders>
              <w:top w:val="nil"/>
              <w:left w:val="nil"/>
              <w:bottom w:val="single" w:sz="4" w:space="0" w:color="auto"/>
              <w:right w:val="single" w:sz="4" w:space="0" w:color="auto"/>
            </w:tcBorders>
            <w:shd w:val="clear" w:color="auto" w:fill="auto"/>
            <w:vAlign w:val="center"/>
            <w:hideMark/>
          </w:tcPr>
          <w:p w14:paraId="5FEF132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12,219,000</w:t>
            </w:r>
          </w:p>
        </w:tc>
        <w:tc>
          <w:tcPr>
            <w:tcW w:w="661" w:type="dxa"/>
            <w:tcBorders>
              <w:top w:val="nil"/>
              <w:left w:val="nil"/>
              <w:bottom w:val="single" w:sz="4" w:space="0" w:color="auto"/>
              <w:right w:val="single" w:sz="4" w:space="0" w:color="auto"/>
            </w:tcBorders>
            <w:shd w:val="clear" w:color="auto" w:fill="auto"/>
            <w:vAlign w:val="center"/>
            <w:hideMark/>
          </w:tcPr>
          <w:p w14:paraId="5FEF132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2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12,219,000</w:t>
            </w:r>
          </w:p>
        </w:tc>
        <w:tc>
          <w:tcPr>
            <w:tcW w:w="728" w:type="dxa"/>
            <w:tcBorders>
              <w:top w:val="nil"/>
              <w:left w:val="nil"/>
              <w:bottom w:val="single" w:sz="4" w:space="0" w:color="auto"/>
              <w:right w:val="single" w:sz="4" w:space="0" w:color="auto"/>
            </w:tcBorders>
            <w:shd w:val="clear" w:color="auto" w:fill="auto"/>
            <w:vAlign w:val="center"/>
            <w:hideMark/>
          </w:tcPr>
          <w:p w14:paraId="5FEF132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32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32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32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3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99,341</w:t>
            </w:r>
          </w:p>
        </w:tc>
      </w:tr>
      <w:tr w:rsidR="00E2233D" w:rsidRPr="00795698" w14:paraId="5FEF1342"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332"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SIGURIMI I INFORMACIONIT DHE INFORMIMI I INSTITUCIONEVE VENDIMARRËSE, POLITIKËBËRËSE, INSTITUCIONEVE DHE STRUKTURAVE TË TJERA KOMPETENTE/PËRGJEGJËSE SHTETËRORE DHE TË ZBATIMIT TË LIGJIT</w:t>
            </w:r>
          </w:p>
        </w:tc>
        <w:tc>
          <w:tcPr>
            <w:tcW w:w="981" w:type="dxa"/>
            <w:tcBorders>
              <w:top w:val="nil"/>
              <w:left w:val="nil"/>
              <w:bottom w:val="single" w:sz="4" w:space="0" w:color="auto"/>
              <w:right w:val="single" w:sz="4" w:space="0" w:color="auto"/>
            </w:tcBorders>
            <w:shd w:val="clear" w:color="auto" w:fill="auto"/>
            <w:noWrap/>
            <w:vAlign w:val="center"/>
            <w:hideMark/>
          </w:tcPr>
          <w:p w14:paraId="5FEF1333"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MM/AISM</w:t>
            </w:r>
          </w:p>
        </w:tc>
        <w:tc>
          <w:tcPr>
            <w:tcW w:w="2412" w:type="dxa"/>
            <w:tcBorders>
              <w:top w:val="nil"/>
              <w:left w:val="nil"/>
              <w:bottom w:val="single" w:sz="4" w:space="0" w:color="auto"/>
              <w:right w:val="single" w:sz="4" w:space="0" w:color="auto"/>
            </w:tcBorders>
            <w:shd w:val="clear" w:color="auto" w:fill="auto"/>
            <w:vAlign w:val="center"/>
            <w:hideMark/>
          </w:tcPr>
          <w:p w14:paraId="5FEF1334"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xml:space="preserve">PSH/DAT/SHISH/CVE/ </w:t>
            </w:r>
          </w:p>
        </w:tc>
        <w:tc>
          <w:tcPr>
            <w:tcW w:w="452" w:type="dxa"/>
            <w:tcBorders>
              <w:top w:val="nil"/>
              <w:left w:val="nil"/>
              <w:bottom w:val="single" w:sz="4" w:space="0" w:color="auto"/>
              <w:right w:val="single" w:sz="4" w:space="0" w:color="auto"/>
            </w:tcBorders>
            <w:shd w:val="clear" w:color="auto" w:fill="auto"/>
            <w:vAlign w:val="center"/>
            <w:hideMark/>
          </w:tcPr>
          <w:p w14:paraId="5FEF133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33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33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6,084,000</w:t>
            </w:r>
          </w:p>
        </w:tc>
        <w:tc>
          <w:tcPr>
            <w:tcW w:w="728" w:type="dxa"/>
            <w:tcBorders>
              <w:top w:val="nil"/>
              <w:left w:val="nil"/>
              <w:bottom w:val="single" w:sz="4" w:space="0" w:color="auto"/>
              <w:right w:val="single" w:sz="4" w:space="0" w:color="auto"/>
            </w:tcBorders>
            <w:shd w:val="clear" w:color="auto" w:fill="auto"/>
            <w:vAlign w:val="center"/>
            <w:hideMark/>
          </w:tcPr>
          <w:p w14:paraId="5FEF133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3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6,084,000</w:t>
            </w:r>
          </w:p>
        </w:tc>
        <w:tc>
          <w:tcPr>
            <w:tcW w:w="728" w:type="dxa"/>
            <w:tcBorders>
              <w:top w:val="nil"/>
              <w:left w:val="nil"/>
              <w:bottom w:val="single" w:sz="4" w:space="0" w:color="auto"/>
              <w:right w:val="single" w:sz="4" w:space="0" w:color="auto"/>
            </w:tcBorders>
            <w:shd w:val="clear" w:color="auto" w:fill="auto"/>
            <w:vAlign w:val="center"/>
            <w:hideMark/>
          </w:tcPr>
          <w:p w14:paraId="5FEF133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6,084,000</w:t>
            </w:r>
          </w:p>
        </w:tc>
        <w:tc>
          <w:tcPr>
            <w:tcW w:w="661" w:type="dxa"/>
            <w:tcBorders>
              <w:top w:val="nil"/>
              <w:left w:val="nil"/>
              <w:bottom w:val="single" w:sz="4" w:space="0" w:color="auto"/>
              <w:right w:val="single" w:sz="4" w:space="0" w:color="auto"/>
            </w:tcBorders>
            <w:shd w:val="clear" w:color="auto" w:fill="auto"/>
            <w:vAlign w:val="center"/>
            <w:hideMark/>
          </w:tcPr>
          <w:p w14:paraId="5FEF133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3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6,084,000</w:t>
            </w:r>
          </w:p>
        </w:tc>
        <w:tc>
          <w:tcPr>
            <w:tcW w:w="728" w:type="dxa"/>
            <w:tcBorders>
              <w:top w:val="nil"/>
              <w:left w:val="nil"/>
              <w:bottom w:val="single" w:sz="4" w:space="0" w:color="auto"/>
              <w:right w:val="single" w:sz="4" w:space="0" w:color="auto"/>
            </w:tcBorders>
            <w:shd w:val="clear" w:color="auto" w:fill="auto"/>
            <w:vAlign w:val="center"/>
            <w:hideMark/>
          </w:tcPr>
          <w:p w14:paraId="5FEF133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33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33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34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4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49,463</w:t>
            </w:r>
          </w:p>
        </w:tc>
      </w:tr>
      <w:tr w:rsidR="00E2233D" w:rsidRPr="00795698" w14:paraId="5FEF1353"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343"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KONSOLIDIMI DHE FORCIMI I BASHKËPUNIMIT ME: STRUKTURAT E SPECIALIZUARA TË POLICISË SË SHTETIT; INSTITUCIONET E SISTEMIT TË SIGURISË KOMBËTARE; SHËRBIMET INTELIGJENTE TË VENDEVE ALEATE DHE PARTNERE</w:t>
            </w:r>
          </w:p>
        </w:tc>
        <w:tc>
          <w:tcPr>
            <w:tcW w:w="981" w:type="dxa"/>
            <w:tcBorders>
              <w:top w:val="nil"/>
              <w:left w:val="nil"/>
              <w:bottom w:val="single" w:sz="4" w:space="0" w:color="auto"/>
              <w:right w:val="single" w:sz="4" w:space="0" w:color="auto"/>
            </w:tcBorders>
            <w:shd w:val="clear" w:color="auto" w:fill="auto"/>
            <w:vAlign w:val="bottom"/>
            <w:hideMark/>
          </w:tcPr>
          <w:p w14:paraId="5FEF1344"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MB/PSH/DAT/ MM/AISM</w:t>
            </w:r>
          </w:p>
        </w:tc>
        <w:tc>
          <w:tcPr>
            <w:tcW w:w="2412" w:type="dxa"/>
            <w:tcBorders>
              <w:top w:val="nil"/>
              <w:left w:val="nil"/>
              <w:bottom w:val="single" w:sz="4" w:space="0" w:color="auto"/>
              <w:right w:val="single" w:sz="4" w:space="0" w:color="auto"/>
            </w:tcBorders>
            <w:shd w:val="clear" w:color="auto" w:fill="auto"/>
            <w:vAlign w:val="bottom"/>
            <w:hideMark/>
          </w:tcPr>
          <w:p w14:paraId="5FEF1345"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MM/AISM/PSH/DAT/SHISH/CVE/EUROPOL /INTERPOL /TSC</w:t>
            </w:r>
          </w:p>
        </w:tc>
        <w:tc>
          <w:tcPr>
            <w:tcW w:w="452" w:type="dxa"/>
            <w:tcBorders>
              <w:top w:val="nil"/>
              <w:left w:val="nil"/>
              <w:bottom w:val="single" w:sz="4" w:space="0" w:color="auto"/>
              <w:right w:val="single" w:sz="4" w:space="0" w:color="auto"/>
            </w:tcBorders>
            <w:shd w:val="clear" w:color="auto" w:fill="auto"/>
            <w:vAlign w:val="center"/>
            <w:hideMark/>
          </w:tcPr>
          <w:p w14:paraId="5FEF134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34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34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1,900,000</w:t>
            </w:r>
          </w:p>
        </w:tc>
        <w:tc>
          <w:tcPr>
            <w:tcW w:w="728" w:type="dxa"/>
            <w:tcBorders>
              <w:top w:val="nil"/>
              <w:left w:val="nil"/>
              <w:bottom w:val="single" w:sz="4" w:space="0" w:color="auto"/>
              <w:right w:val="single" w:sz="4" w:space="0" w:color="auto"/>
            </w:tcBorders>
            <w:shd w:val="clear" w:color="auto" w:fill="auto"/>
            <w:vAlign w:val="center"/>
            <w:hideMark/>
          </w:tcPr>
          <w:p w14:paraId="5FEF134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4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1,900,000</w:t>
            </w:r>
          </w:p>
        </w:tc>
        <w:tc>
          <w:tcPr>
            <w:tcW w:w="728" w:type="dxa"/>
            <w:tcBorders>
              <w:top w:val="nil"/>
              <w:left w:val="nil"/>
              <w:bottom w:val="single" w:sz="4" w:space="0" w:color="auto"/>
              <w:right w:val="single" w:sz="4" w:space="0" w:color="auto"/>
            </w:tcBorders>
            <w:shd w:val="clear" w:color="auto" w:fill="auto"/>
            <w:vAlign w:val="center"/>
            <w:hideMark/>
          </w:tcPr>
          <w:p w14:paraId="5FEF134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1,900,000</w:t>
            </w:r>
          </w:p>
        </w:tc>
        <w:tc>
          <w:tcPr>
            <w:tcW w:w="661" w:type="dxa"/>
            <w:tcBorders>
              <w:top w:val="nil"/>
              <w:left w:val="nil"/>
              <w:bottom w:val="single" w:sz="4" w:space="0" w:color="auto"/>
              <w:right w:val="single" w:sz="4" w:space="0" w:color="auto"/>
            </w:tcBorders>
            <w:shd w:val="clear" w:color="auto" w:fill="auto"/>
            <w:vAlign w:val="center"/>
            <w:hideMark/>
          </w:tcPr>
          <w:p w14:paraId="5FEF134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34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1,900,000</w:t>
            </w:r>
          </w:p>
        </w:tc>
        <w:tc>
          <w:tcPr>
            <w:tcW w:w="728" w:type="dxa"/>
            <w:tcBorders>
              <w:top w:val="nil"/>
              <w:left w:val="nil"/>
              <w:bottom w:val="single" w:sz="4" w:space="0" w:color="auto"/>
              <w:right w:val="single" w:sz="4" w:space="0" w:color="auto"/>
            </w:tcBorders>
            <w:shd w:val="clear" w:color="auto" w:fill="auto"/>
            <w:vAlign w:val="center"/>
            <w:hideMark/>
          </w:tcPr>
          <w:p w14:paraId="5FEF134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34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35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35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5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15,447</w:t>
            </w:r>
          </w:p>
        </w:tc>
      </w:tr>
      <w:tr w:rsidR="00E2233D" w:rsidRPr="00795698" w14:paraId="5FEF1364" w14:textId="77777777" w:rsidTr="00E2233D">
        <w:trPr>
          <w:trHeight w:val="180"/>
          <w:jc w:val="center"/>
        </w:trPr>
        <w:tc>
          <w:tcPr>
            <w:tcW w:w="1622" w:type="dxa"/>
            <w:tcBorders>
              <w:top w:val="nil"/>
              <w:left w:val="single" w:sz="8" w:space="0" w:color="auto"/>
              <w:bottom w:val="single" w:sz="8" w:space="0" w:color="auto"/>
              <w:right w:val="single" w:sz="4" w:space="0" w:color="auto"/>
            </w:tcBorders>
            <w:shd w:val="clear" w:color="auto" w:fill="auto"/>
            <w:vAlign w:val="bottom"/>
            <w:hideMark/>
          </w:tcPr>
          <w:p w14:paraId="5FEF1354"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VII </w:t>
            </w:r>
            <w:r w:rsidRPr="00795698">
              <w:rPr>
                <w:rFonts w:ascii="Arial" w:hAnsi="Arial" w:cs="Arial"/>
                <w:color w:val="000000"/>
                <w:sz w:val="8"/>
                <w:szCs w:val="8"/>
                <w:lang w:eastAsia="sq-AL"/>
              </w:rPr>
              <w:br/>
              <w:t>(objektiva specifike 7.1+7.2+7.3+7.4+7.5)</w:t>
            </w:r>
          </w:p>
        </w:tc>
        <w:tc>
          <w:tcPr>
            <w:tcW w:w="981" w:type="dxa"/>
            <w:tcBorders>
              <w:top w:val="nil"/>
              <w:left w:val="nil"/>
              <w:bottom w:val="single" w:sz="8" w:space="0" w:color="auto"/>
              <w:right w:val="single" w:sz="4" w:space="0" w:color="auto"/>
            </w:tcBorders>
            <w:shd w:val="clear" w:color="auto" w:fill="auto"/>
            <w:noWrap/>
            <w:vAlign w:val="bottom"/>
            <w:hideMark/>
          </w:tcPr>
          <w:p w14:paraId="5FEF1355"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356"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35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35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35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51,185,500</w:t>
            </w:r>
          </w:p>
        </w:tc>
        <w:tc>
          <w:tcPr>
            <w:tcW w:w="728" w:type="dxa"/>
            <w:tcBorders>
              <w:top w:val="nil"/>
              <w:left w:val="nil"/>
              <w:bottom w:val="single" w:sz="8" w:space="0" w:color="auto"/>
              <w:right w:val="single" w:sz="4" w:space="0" w:color="auto"/>
            </w:tcBorders>
            <w:shd w:val="clear" w:color="auto" w:fill="auto"/>
            <w:noWrap/>
            <w:vAlign w:val="center"/>
            <w:hideMark/>
          </w:tcPr>
          <w:p w14:paraId="5FEF135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35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51,185,500</w:t>
            </w:r>
          </w:p>
        </w:tc>
        <w:tc>
          <w:tcPr>
            <w:tcW w:w="728" w:type="dxa"/>
            <w:tcBorders>
              <w:top w:val="nil"/>
              <w:left w:val="nil"/>
              <w:bottom w:val="single" w:sz="8" w:space="0" w:color="auto"/>
              <w:right w:val="single" w:sz="4" w:space="0" w:color="auto"/>
            </w:tcBorders>
            <w:shd w:val="clear" w:color="auto" w:fill="auto"/>
            <w:noWrap/>
            <w:vAlign w:val="center"/>
            <w:hideMark/>
          </w:tcPr>
          <w:p w14:paraId="5FEF135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51,185,500</w:t>
            </w:r>
          </w:p>
        </w:tc>
        <w:tc>
          <w:tcPr>
            <w:tcW w:w="661" w:type="dxa"/>
            <w:tcBorders>
              <w:top w:val="nil"/>
              <w:left w:val="nil"/>
              <w:bottom w:val="single" w:sz="8" w:space="0" w:color="auto"/>
              <w:right w:val="single" w:sz="4" w:space="0" w:color="auto"/>
            </w:tcBorders>
            <w:shd w:val="clear" w:color="auto" w:fill="auto"/>
            <w:noWrap/>
            <w:vAlign w:val="center"/>
            <w:hideMark/>
          </w:tcPr>
          <w:p w14:paraId="5FEF135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35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51,185,500</w:t>
            </w:r>
          </w:p>
        </w:tc>
        <w:tc>
          <w:tcPr>
            <w:tcW w:w="728" w:type="dxa"/>
            <w:tcBorders>
              <w:top w:val="nil"/>
              <w:left w:val="nil"/>
              <w:bottom w:val="single" w:sz="8" w:space="0" w:color="auto"/>
              <w:right w:val="single" w:sz="4" w:space="0" w:color="auto"/>
            </w:tcBorders>
            <w:shd w:val="clear" w:color="auto" w:fill="auto"/>
            <w:noWrap/>
            <w:vAlign w:val="center"/>
            <w:hideMark/>
          </w:tcPr>
          <w:p w14:paraId="5FEF135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36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36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36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36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416,142</w:t>
            </w:r>
          </w:p>
        </w:tc>
      </w:tr>
      <w:tr w:rsidR="00E2233D" w:rsidRPr="00795698" w14:paraId="5FEF1366"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365" w14:textId="70C82F27"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VIII: REAGIM NËPËRMJET FORCIMIT TË KAPACITETEVE TË INSTITUCIONEVE PËRKATËSE PËR T</w:t>
            </w:r>
            <w:r w:rsidR="0041767D" w:rsidRPr="00795698">
              <w:rPr>
                <w:rFonts w:ascii="Arial" w:hAnsi="Arial" w:cs="Arial"/>
                <w:b/>
                <w:bCs/>
                <w:color w:val="0070C0"/>
                <w:sz w:val="8"/>
                <w:szCs w:val="8"/>
                <w:lang w:eastAsia="sq-AL"/>
              </w:rPr>
              <w:t>’</w:t>
            </w:r>
            <w:r w:rsidRPr="00795698">
              <w:rPr>
                <w:rFonts w:ascii="Arial" w:hAnsi="Arial" w:cs="Arial"/>
                <w:b/>
                <w:bCs/>
                <w:color w:val="0070C0"/>
                <w:sz w:val="8"/>
                <w:szCs w:val="8"/>
                <w:lang w:eastAsia="sq-AL"/>
              </w:rPr>
              <w:t>IU PËRGJIGJUR SULMEVE TERRORISTE.</w:t>
            </w:r>
          </w:p>
        </w:tc>
      </w:tr>
      <w:tr w:rsidR="00E2233D" w:rsidRPr="00795698" w14:paraId="5FEF136E"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36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36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36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36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36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6C" w14:textId="2891B786"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Hendeku </w:t>
            </w:r>
            <w:r w:rsidRPr="00795698">
              <w:rPr>
                <w:rFonts w:ascii="Arial" w:hAnsi="Arial" w:cs="Arial"/>
                <w:b/>
                <w:bCs/>
                <w:color w:val="000000"/>
                <w:sz w:val="8"/>
                <w:szCs w:val="8"/>
                <w:lang w:eastAsia="sq-AL"/>
              </w:rPr>
              <w:lastRenderedPageBreak/>
              <w:t>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36D" w14:textId="57C8C08F"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lastRenderedPageBreak/>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r>
            <w:r w:rsidRPr="00795698">
              <w:rPr>
                <w:rFonts w:ascii="Arial" w:hAnsi="Arial" w:cs="Arial"/>
                <w:b/>
                <w:bCs/>
                <w:color w:val="000000"/>
                <w:sz w:val="8"/>
                <w:szCs w:val="8"/>
                <w:lang w:eastAsia="sq-AL"/>
              </w:rPr>
              <w:lastRenderedPageBreak/>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379"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36F"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7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7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7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73" w14:textId="7DB171DA"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374"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375" w14:textId="7D2FD24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37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377"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378" w14:textId="77777777" w:rsidR="00E2233D" w:rsidRPr="00795698" w:rsidRDefault="00E2233D" w:rsidP="00E2233D">
            <w:pPr>
              <w:rPr>
                <w:rFonts w:ascii="Arial" w:hAnsi="Arial" w:cs="Arial"/>
                <w:b/>
                <w:bCs/>
                <w:color w:val="000000"/>
                <w:sz w:val="8"/>
                <w:szCs w:val="8"/>
                <w:lang w:eastAsia="sq-AL"/>
              </w:rPr>
            </w:pPr>
          </w:p>
        </w:tc>
      </w:tr>
      <w:tr w:rsidR="00E2233D" w:rsidRPr="00795698" w14:paraId="5FEF138A"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37A"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37B"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37C"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37D"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37E"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37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38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38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38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38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38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38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38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38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388"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389" w14:textId="77777777" w:rsidR="00E2233D" w:rsidRPr="00795698" w:rsidRDefault="00E2233D" w:rsidP="00E2233D">
            <w:pPr>
              <w:rPr>
                <w:rFonts w:ascii="Arial" w:hAnsi="Arial" w:cs="Arial"/>
                <w:b/>
                <w:bCs/>
                <w:color w:val="000000"/>
                <w:sz w:val="8"/>
                <w:szCs w:val="8"/>
                <w:lang w:eastAsia="sq-AL"/>
              </w:rPr>
            </w:pPr>
          </w:p>
        </w:tc>
      </w:tr>
      <w:tr w:rsidR="00E2233D" w:rsidRPr="00795698" w14:paraId="5FEF139B"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38B"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KONSOLIDIMI I KAPACITETEVE TË INSTITUCIONEVE ME QËLLIM ULJEN E IMPAKTIT TË SULMEVE TERRORISTE, NË MËNYRË QË TË ZBUTEN HUMBJET NJERËZORE EKONOMIKE TË SHKAKTUARA NGA KËTO SULME</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38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MM/SHPFA</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38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PSH</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38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38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9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12,780,000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9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9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12,780,000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9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12,780,000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39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9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12,780,000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9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39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39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39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9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103,902</w:t>
            </w:r>
          </w:p>
        </w:tc>
      </w:tr>
      <w:tr w:rsidR="00E2233D" w:rsidRPr="00795698" w14:paraId="5FEF13AC"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39C"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VIII </w:t>
            </w:r>
            <w:r w:rsidRPr="00795698">
              <w:rPr>
                <w:rFonts w:ascii="Arial" w:hAnsi="Arial" w:cs="Arial"/>
                <w:color w:val="000000"/>
                <w:sz w:val="8"/>
                <w:szCs w:val="8"/>
                <w:lang w:eastAsia="sq-AL"/>
              </w:rPr>
              <w:br/>
              <w:t>(objektiva specifike 8.1)</w:t>
            </w:r>
          </w:p>
        </w:tc>
        <w:tc>
          <w:tcPr>
            <w:tcW w:w="981" w:type="dxa"/>
            <w:tcBorders>
              <w:top w:val="nil"/>
              <w:left w:val="nil"/>
              <w:bottom w:val="single" w:sz="8" w:space="0" w:color="auto"/>
              <w:right w:val="single" w:sz="4" w:space="0" w:color="auto"/>
            </w:tcBorders>
            <w:shd w:val="clear" w:color="auto" w:fill="auto"/>
            <w:noWrap/>
            <w:vAlign w:val="bottom"/>
            <w:hideMark/>
          </w:tcPr>
          <w:p w14:paraId="5FEF139D"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39E"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39F"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3A0"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3A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12,780,000</w:t>
            </w:r>
          </w:p>
        </w:tc>
        <w:tc>
          <w:tcPr>
            <w:tcW w:w="728" w:type="dxa"/>
            <w:tcBorders>
              <w:top w:val="nil"/>
              <w:left w:val="nil"/>
              <w:bottom w:val="single" w:sz="8" w:space="0" w:color="auto"/>
              <w:right w:val="single" w:sz="4" w:space="0" w:color="auto"/>
            </w:tcBorders>
            <w:shd w:val="clear" w:color="auto" w:fill="auto"/>
            <w:noWrap/>
            <w:vAlign w:val="center"/>
            <w:hideMark/>
          </w:tcPr>
          <w:p w14:paraId="5FEF13A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3A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12,780,000</w:t>
            </w:r>
          </w:p>
        </w:tc>
        <w:tc>
          <w:tcPr>
            <w:tcW w:w="728" w:type="dxa"/>
            <w:tcBorders>
              <w:top w:val="nil"/>
              <w:left w:val="nil"/>
              <w:bottom w:val="single" w:sz="8" w:space="0" w:color="auto"/>
              <w:right w:val="single" w:sz="4" w:space="0" w:color="auto"/>
            </w:tcBorders>
            <w:shd w:val="clear" w:color="auto" w:fill="auto"/>
            <w:noWrap/>
            <w:vAlign w:val="center"/>
            <w:hideMark/>
          </w:tcPr>
          <w:p w14:paraId="5FEF13A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12,780,000</w:t>
            </w:r>
          </w:p>
        </w:tc>
        <w:tc>
          <w:tcPr>
            <w:tcW w:w="661" w:type="dxa"/>
            <w:tcBorders>
              <w:top w:val="nil"/>
              <w:left w:val="nil"/>
              <w:bottom w:val="single" w:sz="8" w:space="0" w:color="auto"/>
              <w:right w:val="single" w:sz="4" w:space="0" w:color="auto"/>
            </w:tcBorders>
            <w:shd w:val="clear" w:color="auto" w:fill="auto"/>
            <w:noWrap/>
            <w:vAlign w:val="center"/>
            <w:hideMark/>
          </w:tcPr>
          <w:p w14:paraId="5FEF13A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3A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12,780,000</w:t>
            </w:r>
          </w:p>
        </w:tc>
        <w:tc>
          <w:tcPr>
            <w:tcW w:w="728" w:type="dxa"/>
            <w:tcBorders>
              <w:top w:val="nil"/>
              <w:left w:val="nil"/>
              <w:bottom w:val="single" w:sz="8" w:space="0" w:color="auto"/>
              <w:right w:val="single" w:sz="4" w:space="0" w:color="auto"/>
            </w:tcBorders>
            <w:shd w:val="clear" w:color="auto" w:fill="auto"/>
            <w:noWrap/>
            <w:vAlign w:val="center"/>
            <w:hideMark/>
          </w:tcPr>
          <w:p w14:paraId="5FEF13A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3A8"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3A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3A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3A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103,902</w:t>
            </w:r>
          </w:p>
        </w:tc>
      </w:tr>
      <w:tr w:rsidR="00E2233D" w:rsidRPr="00795698" w14:paraId="5FEF13AE"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3AD" w14:textId="262E29E6"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IX: QËLLIMI I POLITIKËS 9:REAGIM NËPËRMJET REDUKTIMIT DHE LEHTËSIMIT TË PASOJAVE NGA NJË SULM TERRORIST</w:t>
            </w:r>
          </w:p>
        </w:tc>
      </w:tr>
      <w:tr w:rsidR="00E2233D" w:rsidRPr="00795698" w14:paraId="5FEF13B6"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3A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3B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3B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3B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3B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B4" w14:textId="50B287B4"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3B5" w14:textId="72FFDA1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3C1"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3B7"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B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B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B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BB" w14:textId="6BF70F95"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3BC"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3BD" w14:textId="391E7D94"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3B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3BF"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3C0" w14:textId="77777777" w:rsidR="00E2233D" w:rsidRPr="00795698" w:rsidRDefault="00E2233D" w:rsidP="00E2233D">
            <w:pPr>
              <w:rPr>
                <w:rFonts w:ascii="Arial" w:hAnsi="Arial" w:cs="Arial"/>
                <w:b/>
                <w:bCs/>
                <w:color w:val="000000"/>
                <w:sz w:val="8"/>
                <w:szCs w:val="8"/>
                <w:lang w:eastAsia="sq-AL"/>
              </w:rPr>
            </w:pPr>
          </w:p>
        </w:tc>
      </w:tr>
      <w:tr w:rsidR="00E2233D" w:rsidRPr="00795698" w14:paraId="5FEF13D2"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3C2"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3C3"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3C4"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3C5"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3C6"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3C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3C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3C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3C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3C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3C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3C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3C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3C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tcBorders>
              <w:top w:val="nil"/>
              <w:left w:val="nil"/>
              <w:bottom w:val="single" w:sz="8" w:space="0" w:color="auto"/>
              <w:right w:val="single" w:sz="8" w:space="0" w:color="auto"/>
            </w:tcBorders>
            <w:shd w:val="clear" w:color="auto" w:fill="auto"/>
            <w:vAlign w:val="center"/>
            <w:hideMark/>
          </w:tcPr>
          <w:p w14:paraId="5FEF13D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1319" w:type="dxa"/>
            <w:vMerge/>
            <w:tcBorders>
              <w:top w:val="nil"/>
              <w:left w:val="single" w:sz="8" w:space="0" w:color="auto"/>
              <w:bottom w:val="single" w:sz="4" w:space="0" w:color="000000"/>
              <w:right w:val="single" w:sz="8" w:space="0" w:color="auto"/>
            </w:tcBorders>
            <w:vAlign w:val="center"/>
            <w:hideMark/>
          </w:tcPr>
          <w:p w14:paraId="5FEF13D1" w14:textId="77777777" w:rsidR="00E2233D" w:rsidRPr="00795698" w:rsidRDefault="00E2233D" w:rsidP="00E2233D">
            <w:pPr>
              <w:rPr>
                <w:rFonts w:ascii="Arial" w:hAnsi="Arial" w:cs="Arial"/>
                <w:b/>
                <w:bCs/>
                <w:color w:val="000000"/>
                <w:sz w:val="8"/>
                <w:szCs w:val="8"/>
                <w:lang w:eastAsia="sq-AL"/>
              </w:rPr>
            </w:pPr>
          </w:p>
        </w:tc>
      </w:tr>
      <w:tr w:rsidR="00E2233D" w:rsidRPr="00795698" w14:paraId="5FEF13E3"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3D3" w14:textId="515FFBBD"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NGRITJA E KAPACITETEVE </w:t>
            </w:r>
            <w:r w:rsidRPr="00795698">
              <w:rPr>
                <w:rFonts w:ascii="Arial" w:hAnsi="Arial" w:cs="Arial"/>
                <w:b/>
                <w:bCs/>
                <w:color w:val="000000"/>
                <w:sz w:val="8"/>
                <w:szCs w:val="8"/>
                <w:lang w:eastAsia="sq-AL"/>
              </w:rPr>
              <w:br/>
              <w:t>PËR MENAXHIMIN 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DHËNIES SË NDIHMËS VIKTIMAVE TË</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TERRORIZMIT SIPAS KONVENTËS</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EVROPIANE</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PËR KOMPENSIMIN E VIKTIMAVE TË TERRORIZMIT</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3D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PSH</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3D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3D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3D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D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10,500,000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D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D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10,500,000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D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10,500,000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3D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D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10,500,000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3D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3D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3E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3E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3E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85,366</w:t>
            </w:r>
          </w:p>
        </w:tc>
      </w:tr>
      <w:tr w:rsidR="00E2233D" w:rsidRPr="00795698" w14:paraId="5FEF13F4"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3E4" w14:textId="1CC37E1A"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Kosto totale Qëllimi i Politikës IX</w:t>
            </w:r>
            <w:r w:rsidR="007C064A" w:rsidRPr="00795698">
              <w:rPr>
                <w:rFonts w:ascii="Arial" w:hAnsi="Arial" w:cs="Arial"/>
                <w:b/>
                <w:bCs/>
                <w:color w:val="FF0000"/>
                <w:sz w:val="8"/>
                <w:szCs w:val="8"/>
                <w:lang w:eastAsia="sq-AL"/>
              </w:rPr>
              <w:t xml:space="preserve"> </w:t>
            </w:r>
            <w:r w:rsidRPr="00795698">
              <w:rPr>
                <w:rFonts w:ascii="Arial" w:hAnsi="Arial" w:cs="Arial"/>
                <w:color w:val="000000"/>
                <w:sz w:val="8"/>
                <w:szCs w:val="8"/>
                <w:lang w:eastAsia="sq-AL"/>
              </w:rPr>
              <w:br/>
              <w:t>(objektiva specifike 9.1)</w:t>
            </w:r>
          </w:p>
        </w:tc>
        <w:tc>
          <w:tcPr>
            <w:tcW w:w="981" w:type="dxa"/>
            <w:tcBorders>
              <w:top w:val="nil"/>
              <w:left w:val="nil"/>
              <w:bottom w:val="single" w:sz="8" w:space="0" w:color="auto"/>
              <w:right w:val="single" w:sz="4" w:space="0" w:color="auto"/>
            </w:tcBorders>
            <w:shd w:val="clear" w:color="auto" w:fill="auto"/>
            <w:noWrap/>
            <w:vAlign w:val="bottom"/>
            <w:hideMark/>
          </w:tcPr>
          <w:p w14:paraId="5FEF13E5"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3E6"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3E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3E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3E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10,500,000</w:t>
            </w:r>
          </w:p>
        </w:tc>
        <w:tc>
          <w:tcPr>
            <w:tcW w:w="728" w:type="dxa"/>
            <w:tcBorders>
              <w:top w:val="nil"/>
              <w:left w:val="nil"/>
              <w:bottom w:val="single" w:sz="8" w:space="0" w:color="auto"/>
              <w:right w:val="single" w:sz="4" w:space="0" w:color="auto"/>
            </w:tcBorders>
            <w:shd w:val="clear" w:color="auto" w:fill="auto"/>
            <w:noWrap/>
            <w:vAlign w:val="center"/>
            <w:hideMark/>
          </w:tcPr>
          <w:p w14:paraId="5FEF13E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3E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10,500,000</w:t>
            </w:r>
          </w:p>
        </w:tc>
        <w:tc>
          <w:tcPr>
            <w:tcW w:w="728" w:type="dxa"/>
            <w:tcBorders>
              <w:top w:val="nil"/>
              <w:left w:val="nil"/>
              <w:bottom w:val="single" w:sz="8" w:space="0" w:color="auto"/>
              <w:right w:val="single" w:sz="4" w:space="0" w:color="auto"/>
            </w:tcBorders>
            <w:shd w:val="clear" w:color="auto" w:fill="auto"/>
            <w:noWrap/>
            <w:vAlign w:val="center"/>
            <w:hideMark/>
          </w:tcPr>
          <w:p w14:paraId="5FEF13E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10,500,000</w:t>
            </w:r>
          </w:p>
        </w:tc>
        <w:tc>
          <w:tcPr>
            <w:tcW w:w="661" w:type="dxa"/>
            <w:tcBorders>
              <w:top w:val="nil"/>
              <w:left w:val="nil"/>
              <w:bottom w:val="single" w:sz="8" w:space="0" w:color="auto"/>
              <w:right w:val="single" w:sz="4" w:space="0" w:color="auto"/>
            </w:tcBorders>
            <w:shd w:val="clear" w:color="auto" w:fill="auto"/>
            <w:noWrap/>
            <w:vAlign w:val="center"/>
            <w:hideMark/>
          </w:tcPr>
          <w:p w14:paraId="5FEF13E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3E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10,500,000</w:t>
            </w:r>
          </w:p>
        </w:tc>
        <w:tc>
          <w:tcPr>
            <w:tcW w:w="728" w:type="dxa"/>
            <w:tcBorders>
              <w:top w:val="nil"/>
              <w:left w:val="nil"/>
              <w:bottom w:val="single" w:sz="8" w:space="0" w:color="auto"/>
              <w:right w:val="single" w:sz="4" w:space="0" w:color="auto"/>
            </w:tcBorders>
            <w:shd w:val="clear" w:color="auto" w:fill="auto"/>
            <w:noWrap/>
            <w:vAlign w:val="center"/>
            <w:hideMark/>
          </w:tcPr>
          <w:p w14:paraId="5FEF13E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3F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3F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3F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3F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85,366</w:t>
            </w:r>
          </w:p>
        </w:tc>
      </w:tr>
      <w:tr w:rsidR="00E2233D" w:rsidRPr="00795698" w14:paraId="5FEF13F6"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3F5" w14:textId="56F15FDD"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X: PËRGATITJA PËR MENAXHIMIN E INCIDENTEVE TERRORISTE QË PËRFSHIJNË PËRDORIMIN E MATERIALEVE CBRN</w:t>
            </w:r>
          </w:p>
        </w:tc>
      </w:tr>
      <w:tr w:rsidR="00E2233D" w:rsidRPr="00795698" w14:paraId="5FEF13FE"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3F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3F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3F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3F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3F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3FC" w14:textId="46207ECF"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3FD" w14:textId="34AE015A"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409"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3FF"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0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0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0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03" w14:textId="28322A28"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404"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405" w14:textId="45C23745"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40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407"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08" w14:textId="77777777" w:rsidR="00E2233D" w:rsidRPr="00795698" w:rsidRDefault="00E2233D" w:rsidP="00E2233D">
            <w:pPr>
              <w:rPr>
                <w:rFonts w:ascii="Arial" w:hAnsi="Arial" w:cs="Arial"/>
                <w:b/>
                <w:bCs/>
                <w:color w:val="000000"/>
                <w:sz w:val="8"/>
                <w:szCs w:val="8"/>
                <w:lang w:eastAsia="sq-AL"/>
              </w:rPr>
            </w:pPr>
          </w:p>
        </w:tc>
      </w:tr>
      <w:tr w:rsidR="00E2233D" w:rsidRPr="00795698" w14:paraId="5FEF141A"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0A"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40B"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40C"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40D"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40E"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40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41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1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41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41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1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41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41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41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418"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19" w14:textId="77777777" w:rsidR="00E2233D" w:rsidRPr="00795698" w:rsidRDefault="00E2233D" w:rsidP="00E2233D">
            <w:pPr>
              <w:rPr>
                <w:rFonts w:ascii="Arial" w:hAnsi="Arial" w:cs="Arial"/>
                <w:b/>
                <w:bCs/>
                <w:color w:val="000000"/>
                <w:sz w:val="8"/>
                <w:szCs w:val="8"/>
                <w:lang w:eastAsia="sq-AL"/>
              </w:rPr>
            </w:pPr>
          </w:p>
        </w:tc>
      </w:tr>
      <w:tr w:rsidR="00E2233D" w:rsidRPr="00795698" w14:paraId="5FEF142B"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41B"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REAGIMI I SHPEJTË SIPAS PROTOKOLLEVE NDËRKOMBËTARE NDAJ INCIDENTEVE TERRORISTE QË PËRFSHIJNË PËRDORIMIN E MATERIALEVE CBRN</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41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AISM</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41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PSH/DAT/SHISH/AISM</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41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41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2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2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2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2,700,000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2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42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2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2,700,000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2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42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42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42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42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21,951</w:t>
            </w:r>
          </w:p>
        </w:tc>
      </w:tr>
      <w:tr w:rsidR="00E2233D" w:rsidRPr="00795698" w14:paraId="5FEF143C"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42C"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X </w:t>
            </w:r>
            <w:r w:rsidRPr="00795698">
              <w:rPr>
                <w:rFonts w:ascii="Arial" w:hAnsi="Arial" w:cs="Arial"/>
                <w:color w:val="000000"/>
                <w:sz w:val="8"/>
                <w:szCs w:val="8"/>
                <w:lang w:eastAsia="sq-AL"/>
              </w:rPr>
              <w:br/>
              <w:t>(objektiva specifike 10.1)</w:t>
            </w:r>
          </w:p>
        </w:tc>
        <w:tc>
          <w:tcPr>
            <w:tcW w:w="981" w:type="dxa"/>
            <w:tcBorders>
              <w:top w:val="nil"/>
              <w:left w:val="nil"/>
              <w:bottom w:val="single" w:sz="8" w:space="0" w:color="auto"/>
              <w:right w:val="single" w:sz="4" w:space="0" w:color="auto"/>
            </w:tcBorders>
            <w:shd w:val="clear" w:color="auto" w:fill="auto"/>
            <w:noWrap/>
            <w:vAlign w:val="bottom"/>
            <w:hideMark/>
          </w:tcPr>
          <w:p w14:paraId="5FEF142D"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42E"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42F"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430"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43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2,700,000</w:t>
            </w:r>
          </w:p>
        </w:tc>
        <w:tc>
          <w:tcPr>
            <w:tcW w:w="728" w:type="dxa"/>
            <w:tcBorders>
              <w:top w:val="nil"/>
              <w:left w:val="nil"/>
              <w:bottom w:val="single" w:sz="8" w:space="0" w:color="auto"/>
              <w:right w:val="single" w:sz="4" w:space="0" w:color="auto"/>
            </w:tcBorders>
            <w:shd w:val="clear" w:color="auto" w:fill="auto"/>
            <w:noWrap/>
            <w:vAlign w:val="center"/>
            <w:hideMark/>
          </w:tcPr>
          <w:p w14:paraId="5FEF143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43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2,700,000</w:t>
            </w:r>
          </w:p>
        </w:tc>
        <w:tc>
          <w:tcPr>
            <w:tcW w:w="728" w:type="dxa"/>
            <w:tcBorders>
              <w:top w:val="nil"/>
              <w:left w:val="nil"/>
              <w:bottom w:val="single" w:sz="8" w:space="0" w:color="auto"/>
              <w:right w:val="single" w:sz="4" w:space="0" w:color="auto"/>
            </w:tcBorders>
            <w:shd w:val="clear" w:color="auto" w:fill="auto"/>
            <w:noWrap/>
            <w:vAlign w:val="center"/>
            <w:hideMark/>
          </w:tcPr>
          <w:p w14:paraId="5FEF143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2,700,000</w:t>
            </w:r>
          </w:p>
        </w:tc>
        <w:tc>
          <w:tcPr>
            <w:tcW w:w="661" w:type="dxa"/>
            <w:tcBorders>
              <w:top w:val="nil"/>
              <w:left w:val="nil"/>
              <w:bottom w:val="single" w:sz="8" w:space="0" w:color="auto"/>
              <w:right w:val="single" w:sz="4" w:space="0" w:color="auto"/>
            </w:tcBorders>
            <w:shd w:val="clear" w:color="auto" w:fill="auto"/>
            <w:noWrap/>
            <w:vAlign w:val="center"/>
            <w:hideMark/>
          </w:tcPr>
          <w:p w14:paraId="5FEF143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43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2,700,000</w:t>
            </w:r>
          </w:p>
        </w:tc>
        <w:tc>
          <w:tcPr>
            <w:tcW w:w="728" w:type="dxa"/>
            <w:tcBorders>
              <w:top w:val="nil"/>
              <w:left w:val="nil"/>
              <w:bottom w:val="single" w:sz="8" w:space="0" w:color="auto"/>
              <w:right w:val="single" w:sz="4" w:space="0" w:color="auto"/>
            </w:tcBorders>
            <w:shd w:val="clear" w:color="auto" w:fill="auto"/>
            <w:noWrap/>
            <w:vAlign w:val="center"/>
            <w:hideMark/>
          </w:tcPr>
          <w:p w14:paraId="5FEF143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438"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43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43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43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21,951</w:t>
            </w:r>
          </w:p>
        </w:tc>
      </w:tr>
      <w:tr w:rsidR="00E2233D" w:rsidRPr="00795698" w14:paraId="5FEF143E"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43D" w14:textId="23409B9F"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XI: RRITJA E NIVELIT TË SIGURISË NË FUSHËN E TRANSPORTIT, TREGTISË, SHKËMBIMIT TË MALLRAVE DHE SHËRBIMEVE</w:t>
            </w:r>
          </w:p>
        </w:tc>
      </w:tr>
      <w:tr w:rsidR="00E2233D" w:rsidRPr="00795698" w14:paraId="5FEF1446"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43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44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44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44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44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44" w14:textId="0E3C244E"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445" w14:textId="6CB318E2"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451"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47"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4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4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4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4B" w14:textId="2E1970EE"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44C"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44D" w14:textId="12D76BD9"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44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44F"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50" w14:textId="77777777" w:rsidR="00E2233D" w:rsidRPr="00795698" w:rsidRDefault="00E2233D" w:rsidP="00E2233D">
            <w:pPr>
              <w:rPr>
                <w:rFonts w:ascii="Arial" w:hAnsi="Arial" w:cs="Arial"/>
                <w:b/>
                <w:bCs/>
                <w:color w:val="000000"/>
                <w:sz w:val="8"/>
                <w:szCs w:val="8"/>
                <w:lang w:eastAsia="sq-AL"/>
              </w:rPr>
            </w:pPr>
          </w:p>
        </w:tc>
      </w:tr>
      <w:tr w:rsidR="00E2233D" w:rsidRPr="00795698" w14:paraId="5FEF1462"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52"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453"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454"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455"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456"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45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45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5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45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45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5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45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45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45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460"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61" w14:textId="77777777" w:rsidR="00E2233D" w:rsidRPr="00795698" w:rsidRDefault="00E2233D" w:rsidP="00E2233D">
            <w:pPr>
              <w:rPr>
                <w:rFonts w:ascii="Arial" w:hAnsi="Arial" w:cs="Arial"/>
                <w:b/>
                <w:bCs/>
                <w:color w:val="000000"/>
                <w:sz w:val="8"/>
                <w:szCs w:val="8"/>
                <w:lang w:eastAsia="sq-AL"/>
              </w:rPr>
            </w:pPr>
          </w:p>
        </w:tc>
      </w:tr>
      <w:tr w:rsidR="00E2233D" w:rsidRPr="00795698" w14:paraId="5FEF1473"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463" w14:textId="39667ABB"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REDUKTIMI 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RREZIQEVE QË RRJEDHIN NGA TRANSFERIMET E NDALUARA TË MJETEVE DHE MATERIALEVE QË MUND TË PËRDOREN PËR TË KRYER NJË SULM APO AKT TERRORIST</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46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46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MIE/DPD/PSH/ MEPJ, MBZHR, MSHMS,</w:t>
            </w:r>
            <w:r w:rsidRPr="00795698">
              <w:rPr>
                <w:rFonts w:ascii="Arial" w:hAnsi="Arial" w:cs="Arial"/>
                <w:color w:val="000000"/>
                <w:sz w:val="8"/>
                <w:szCs w:val="8"/>
                <w:lang w:eastAsia="sq-AL"/>
              </w:rPr>
              <w:br/>
              <w:t>MASR, MIE, SHISH</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46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46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6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42,000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6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6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42,000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6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42,000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46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6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42,000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6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46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47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47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47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341</w:t>
            </w:r>
          </w:p>
        </w:tc>
      </w:tr>
      <w:tr w:rsidR="00E2233D" w:rsidRPr="00795698" w14:paraId="5FEF1484"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474"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RRITJA E AFTËSIVE PËR TË ZBULUAR AKTIVITETIN TERRORIST DUKE PËRFSHIRË KONTROLLIN DHE MBROJTJEN E MATERIALEVE KIMIKE, BIOLOGJIKE, RADIOLOGJIKE, BËRTHAMORE DHE EKSPLOZIVE (CBRNE).</w:t>
            </w:r>
          </w:p>
        </w:tc>
        <w:tc>
          <w:tcPr>
            <w:tcW w:w="981" w:type="dxa"/>
            <w:tcBorders>
              <w:top w:val="nil"/>
              <w:left w:val="nil"/>
              <w:bottom w:val="single" w:sz="4" w:space="0" w:color="auto"/>
              <w:right w:val="single" w:sz="4" w:space="0" w:color="auto"/>
            </w:tcBorders>
            <w:shd w:val="clear" w:color="auto" w:fill="auto"/>
            <w:vAlign w:val="center"/>
            <w:hideMark/>
          </w:tcPr>
          <w:p w14:paraId="5FEF147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MM/AKSHE</w:t>
            </w:r>
          </w:p>
        </w:tc>
        <w:tc>
          <w:tcPr>
            <w:tcW w:w="2412" w:type="dxa"/>
            <w:tcBorders>
              <w:top w:val="nil"/>
              <w:left w:val="nil"/>
              <w:bottom w:val="single" w:sz="4" w:space="0" w:color="auto"/>
              <w:right w:val="single" w:sz="4" w:space="0" w:color="auto"/>
            </w:tcBorders>
            <w:shd w:val="clear" w:color="auto" w:fill="auto"/>
            <w:vAlign w:val="center"/>
            <w:hideMark/>
          </w:tcPr>
          <w:p w14:paraId="5FEF147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MFE/DPD</w:t>
            </w:r>
          </w:p>
        </w:tc>
        <w:tc>
          <w:tcPr>
            <w:tcW w:w="452" w:type="dxa"/>
            <w:tcBorders>
              <w:top w:val="nil"/>
              <w:left w:val="nil"/>
              <w:bottom w:val="single" w:sz="4" w:space="0" w:color="auto"/>
              <w:right w:val="single" w:sz="4" w:space="0" w:color="auto"/>
            </w:tcBorders>
            <w:shd w:val="clear" w:color="auto" w:fill="auto"/>
            <w:vAlign w:val="center"/>
            <w:hideMark/>
          </w:tcPr>
          <w:p w14:paraId="5FEF147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47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47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13,890,000</w:t>
            </w:r>
          </w:p>
        </w:tc>
        <w:tc>
          <w:tcPr>
            <w:tcW w:w="728" w:type="dxa"/>
            <w:tcBorders>
              <w:top w:val="nil"/>
              <w:left w:val="nil"/>
              <w:bottom w:val="single" w:sz="4" w:space="0" w:color="auto"/>
              <w:right w:val="single" w:sz="4" w:space="0" w:color="auto"/>
            </w:tcBorders>
            <w:shd w:val="clear" w:color="auto" w:fill="auto"/>
            <w:vAlign w:val="center"/>
            <w:hideMark/>
          </w:tcPr>
          <w:p w14:paraId="5FEF147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47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13,890,000</w:t>
            </w:r>
          </w:p>
        </w:tc>
        <w:tc>
          <w:tcPr>
            <w:tcW w:w="728" w:type="dxa"/>
            <w:tcBorders>
              <w:top w:val="nil"/>
              <w:left w:val="nil"/>
              <w:bottom w:val="single" w:sz="4" w:space="0" w:color="auto"/>
              <w:right w:val="single" w:sz="4" w:space="0" w:color="auto"/>
            </w:tcBorders>
            <w:shd w:val="clear" w:color="auto" w:fill="auto"/>
            <w:vAlign w:val="center"/>
            <w:hideMark/>
          </w:tcPr>
          <w:p w14:paraId="5FEF147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13,890,000</w:t>
            </w:r>
          </w:p>
        </w:tc>
        <w:tc>
          <w:tcPr>
            <w:tcW w:w="661" w:type="dxa"/>
            <w:tcBorders>
              <w:top w:val="nil"/>
              <w:left w:val="nil"/>
              <w:bottom w:val="single" w:sz="4" w:space="0" w:color="auto"/>
              <w:right w:val="single" w:sz="4" w:space="0" w:color="auto"/>
            </w:tcBorders>
            <w:shd w:val="clear" w:color="auto" w:fill="auto"/>
            <w:vAlign w:val="center"/>
            <w:hideMark/>
          </w:tcPr>
          <w:p w14:paraId="5FEF147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47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13,890,000</w:t>
            </w:r>
          </w:p>
        </w:tc>
        <w:tc>
          <w:tcPr>
            <w:tcW w:w="728" w:type="dxa"/>
            <w:tcBorders>
              <w:top w:val="nil"/>
              <w:left w:val="nil"/>
              <w:bottom w:val="single" w:sz="4" w:space="0" w:color="auto"/>
              <w:right w:val="single" w:sz="4" w:space="0" w:color="auto"/>
            </w:tcBorders>
            <w:shd w:val="clear" w:color="auto" w:fill="auto"/>
            <w:vAlign w:val="center"/>
            <w:hideMark/>
          </w:tcPr>
          <w:p w14:paraId="5FEF147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48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48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48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48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112,927</w:t>
            </w:r>
          </w:p>
        </w:tc>
      </w:tr>
      <w:tr w:rsidR="00E2233D" w:rsidRPr="00795698" w14:paraId="5FEF1495"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485" w14:textId="491B50CF"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Kosto totale Qëllimi i Politikës</w:t>
            </w:r>
            <w:r w:rsidR="007C064A" w:rsidRPr="00795698">
              <w:rPr>
                <w:rFonts w:ascii="Arial" w:hAnsi="Arial" w:cs="Arial"/>
                <w:b/>
                <w:bCs/>
                <w:color w:val="FF0000"/>
                <w:sz w:val="8"/>
                <w:szCs w:val="8"/>
                <w:lang w:eastAsia="sq-AL"/>
              </w:rPr>
              <w:t xml:space="preserve"> </w:t>
            </w:r>
            <w:r w:rsidRPr="00795698">
              <w:rPr>
                <w:rFonts w:ascii="Arial" w:hAnsi="Arial" w:cs="Arial"/>
                <w:b/>
                <w:bCs/>
                <w:color w:val="FF0000"/>
                <w:sz w:val="8"/>
                <w:szCs w:val="8"/>
                <w:lang w:eastAsia="sq-AL"/>
              </w:rPr>
              <w:t xml:space="preserve">XI </w:t>
            </w:r>
            <w:r w:rsidRPr="00795698">
              <w:rPr>
                <w:rFonts w:ascii="Arial" w:hAnsi="Arial" w:cs="Arial"/>
                <w:color w:val="000000"/>
                <w:sz w:val="8"/>
                <w:szCs w:val="8"/>
                <w:lang w:eastAsia="sq-AL"/>
              </w:rPr>
              <w:br/>
              <w:t>(objektiva specifike 11.1+11.2)</w:t>
            </w:r>
          </w:p>
        </w:tc>
        <w:tc>
          <w:tcPr>
            <w:tcW w:w="981" w:type="dxa"/>
            <w:tcBorders>
              <w:top w:val="nil"/>
              <w:left w:val="nil"/>
              <w:bottom w:val="single" w:sz="8" w:space="0" w:color="auto"/>
              <w:right w:val="single" w:sz="4" w:space="0" w:color="auto"/>
            </w:tcBorders>
            <w:shd w:val="clear" w:color="auto" w:fill="auto"/>
            <w:noWrap/>
            <w:vAlign w:val="bottom"/>
            <w:hideMark/>
          </w:tcPr>
          <w:p w14:paraId="5FEF1486"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48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48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48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48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13,932,000</w:t>
            </w:r>
          </w:p>
        </w:tc>
        <w:tc>
          <w:tcPr>
            <w:tcW w:w="728" w:type="dxa"/>
            <w:tcBorders>
              <w:top w:val="nil"/>
              <w:left w:val="nil"/>
              <w:bottom w:val="single" w:sz="8" w:space="0" w:color="auto"/>
              <w:right w:val="single" w:sz="4" w:space="0" w:color="auto"/>
            </w:tcBorders>
            <w:shd w:val="clear" w:color="auto" w:fill="auto"/>
            <w:noWrap/>
            <w:vAlign w:val="center"/>
            <w:hideMark/>
          </w:tcPr>
          <w:p w14:paraId="5FEF148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48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13,932,000</w:t>
            </w:r>
          </w:p>
        </w:tc>
        <w:tc>
          <w:tcPr>
            <w:tcW w:w="728" w:type="dxa"/>
            <w:tcBorders>
              <w:top w:val="nil"/>
              <w:left w:val="nil"/>
              <w:bottom w:val="single" w:sz="8" w:space="0" w:color="auto"/>
              <w:right w:val="single" w:sz="4" w:space="0" w:color="auto"/>
            </w:tcBorders>
            <w:shd w:val="clear" w:color="auto" w:fill="auto"/>
            <w:noWrap/>
            <w:vAlign w:val="center"/>
            <w:hideMark/>
          </w:tcPr>
          <w:p w14:paraId="5FEF148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13,932,000</w:t>
            </w:r>
          </w:p>
        </w:tc>
        <w:tc>
          <w:tcPr>
            <w:tcW w:w="661" w:type="dxa"/>
            <w:tcBorders>
              <w:top w:val="nil"/>
              <w:left w:val="nil"/>
              <w:bottom w:val="single" w:sz="8" w:space="0" w:color="auto"/>
              <w:right w:val="single" w:sz="4" w:space="0" w:color="auto"/>
            </w:tcBorders>
            <w:shd w:val="clear" w:color="auto" w:fill="auto"/>
            <w:noWrap/>
            <w:vAlign w:val="center"/>
            <w:hideMark/>
          </w:tcPr>
          <w:p w14:paraId="5FEF148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48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13,932,000</w:t>
            </w:r>
          </w:p>
        </w:tc>
        <w:tc>
          <w:tcPr>
            <w:tcW w:w="728" w:type="dxa"/>
            <w:tcBorders>
              <w:top w:val="nil"/>
              <w:left w:val="nil"/>
              <w:bottom w:val="single" w:sz="8" w:space="0" w:color="auto"/>
              <w:right w:val="single" w:sz="4" w:space="0" w:color="auto"/>
            </w:tcBorders>
            <w:shd w:val="clear" w:color="auto" w:fill="auto"/>
            <w:noWrap/>
            <w:vAlign w:val="center"/>
            <w:hideMark/>
          </w:tcPr>
          <w:p w14:paraId="5FEF149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49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49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49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49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113,268</w:t>
            </w:r>
          </w:p>
        </w:tc>
      </w:tr>
      <w:tr w:rsidR="00E2233D" w:rsidRPr="00795698" w14:paraId="5FEF1497"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496" w14:textId="6A0642E3"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XII: RRITJA E NIVELIT TË MBROJTJES SË INFRASTRUKTURËS KRITIKE.</w:t>
            </w:r>
          </w:p>
        </w:tc>
      </w:tr>
      <w:tr w:rsidR="00E2233D" w:rsidRPr="00795698" w14:paraId="5FEF149F"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49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49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49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49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49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9D" w14:textId="01E7F3D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49E" w14:textId="65558EF3"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4AA"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A0"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A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A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A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A4" w14:textId="1211E5CE"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i 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4A5"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4A6" w14:textId="5AFAE33E"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4A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4A8"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A9" w14:textId="77777777" w:rsidR="00E2233D" w:rsidRPr="00795698" w:rsidRDefault="00E2233D" w:rsidP="00E2233D">
            <w:pPr>
              <w:rPr>
                <w:rFonts w:ascii="Arial" w:hAnsi="Arial" w:cs="Arial"/>
                <w:b/>
                <w:bCs/>
                <w:color w:val="000000"/>
                <w:sz w:val="8"/>
                <w:szCs w:val="8"/>
                <w:lang w:eastAsia="sq-AL"/>
              </w:rPr>
            </w:pPr>
          </w:p>
        </w:tc>
      </w:tr>
      <w:tr w:rsidR="00E2233D" w:rsidRPr="00795698" w14:paraId="5FEF14BB"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AB"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4AC"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4AD"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4AE"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4AF"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4B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4B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B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4B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4B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B5"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4B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4B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4B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4B9"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BA" w14:textId="77777777" w:rsidR="00E2233D" w:rsidRPr="00795698" w:rsidRDefault="00E2233D" w:rsidP="00E2233D">
            <w:pPr>
              <w:rPr>
                <w:rFonts w:ascii="Arial" w:hAnsi="Arial" w:cs="Arial"/>
                <w:b/>
                <w:bCs/>
                <w:color w:val="000000"/>
                <w:sz w:val="8"/>
                <w:szCs w:val="8"/>
                <w:lang w:eastAsia="sq-AL"/>
              </w:rPr>
            </w:pPr>
          </w:p>
        </w:tc>
      </w:tr>
      <w:tr w:rsidR="00E2233D" w:rsidRPr="00795698" w14:paraId="5FEF14CC"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4BC"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HARTIMI I PLANEVE TË BASHKËPUNIMIT PËR PARANDALIMIN E AKTEVE TË MUNDSHME TERRORISTE MIDIS STRUKTURAVE LIGJZBATUESE DHE INSTITUCIONEVE PËRGJEGJËSE QË KANË NË ADMINISTRIM INFRASTRUKTURËN KRITIKE TË VENDIT</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4B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MM/AISM</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4B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4B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4C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C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6,598,000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C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C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6,598,000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C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6,598,000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4C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C6"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6,598,000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4C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4C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4C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4C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4C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53,642</w:t>
            </w:r>
          </w:p>
        </w:tc>
      </w:tr>
      <w:tr w:rsidR="00E2233D" w:rsidRPr="00795698" w14:paraId="5FEF14DD" w14:textId="77777777" w:rsidTr="00E2233D">
        <w:trPr>
          <w:trHeight w:val="180"/>
          <w:jc w:val="center"/>
        </w:trPr>
        <w:tc>
          <w:tcPr>
            <w:tcW w:w="1622" w:type="dxa"/>
            <w:tcBorders>
              <w:top w:val="nil"/>
              <w:left w:val="single" w:sz="8" w:space="0" w:color="auto"/>
              <w:bottom w:val="nil"/>
              <w:right w:val="single" w:sz="4" w:space="0" w:color="auto"/>
            </w:tcBorders>
            <w:shd w:val="clear" w:color="auto" w:fill="auto"/>
            <w:vAlign w:val="bottom"/>
            <w:hideMark/>
          </w:tcPr>
          <w:p w14:paraId="5FEF14CD"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XII </w:t>
            </w:r>
            <w:r w:rsidRPr="00795698">
              <w:rPr>
                <w:rFonts w:ascii="Arial" w:hAnsi="Arial" w:cs="Arial"/>
                <w:color w:val="000000"/>
                <w:sz w:val="8"/>
                <w:szCs w:val="8"/>
                <w:lang w:eastAsia="sq-AL"/>
              </w:rPr>
              <w:br/>
              <w:t>(objektiva specifike 12.1)</w:t>
            </w:r>
          </w:p>
        </w:tc>
        <w:tc>
          <w:tcPr>
            <w:tcW w:w="981" w:type="dxa"/>
            <w:tcBorders>
              <w:top w:val="nil"/>
              <w:left w:val="nil"/>
              <w:bottom w:val="single" w:sz="8" w:space="0" w:color="auto"/>
              <w:right w:val="single" w:sz="4" w:space="0" w:color="auto"/>
            </w:tcBorders>
            <w:shd w:val="clear" w:color="auto" w:fill="auto"/>
            <w:noWrap/>
            <w:vAlign w:val="bottom"/>
            <w:hideMark/>
          </w:tcPr>
          <w:p w14:paraId="5FEF14CE"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4CF"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4D0"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4D1"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4D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6,598,000</w:t>
            </w:r>
          </w:p>
        </w:tc>
        <w:tc>
          <w:tcPr>
            <w:tcW w:w="728" w:type="dxa"/>
            <w:tcBorders>
              <w:top w:val="nil"/>
              <w:left w:val="nil"/>
              <w:bottom w:val="single" w:sz="8" w:space="0" w:color="auto"/>
              <w:right w:val="single" w:sz="4" w:space="0" w:color="auto"/>
            </w:tcBorders>
            <w:shd w:val="clear" w:color="auto" w:fill="auto"/>
            <w:noWrap/>
            <w:vAlign w:val="center"/>
            <w:hideMark/>
          </w:tcPr>
          <w:p w14:paraId="5FEF14D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4D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6,598,000</w:t>
            </w:r>
          </w:p>
        </w:tc>
        <w:tc>
          <w:tcPr>
            <w:tcW w:w="728" w:type="dxa"/>
            <w:tcBorders>
              <w:top w:val="nil"/>
              <w:left w:val="nil"/>
              <w:bottom w:val="single" w:sz="8" w:space="0" w:color="auto"/>
              <w:right w:val="single" w:sz="4" w:space="0" w:color="auto"/>
            </w:tcBorders>
            <w:shd w:val="clear" w:color="auto" w:fill="auto"/>
            <w:noWrap/>
            <w:vAlign w:val="center"/>
            <w:hideMark/>
          </w:tcPr>
          <w:p w14:paraId="5FEF14D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6,598,000</w:t>
            </w:r>
          </w:p>
        </w:tc>
        <w:tc>
          <w:tcPr>
            <w:tcW w:w="661" w:type="dxa"/>
            <w:tcBorders>
              <w:top w:val="nil"/>
              <w:left w:val="nil"/>
              <w:bottom w:val="single" w:sz="8" w:space="0" w:color="auto"/>
              <w:right w:val="single" w:sz="4" w:space="0" w:color="auto"/>
            </w:tcBorders>
            <w:shd w:val="clear" w:color="auto" w:fill="auto"/>
            <w:noWrap/>
            <w:vAlign w:val="center"/>
            <w:hideMark/>
          </w:tcPr>
          <w:p w14:paraId="5FEF14D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4D7"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6,598,000</w:t>
            </w:r>
          </w:p>
        </w:tc>
        <w:tc>
          <w:tcPr>
            <w:tcW w:w="728" w:type="dxa"/>
            <w:tcBorders>
              <w:top w:val="nil"/>
              <w:left w:val="nil"/>
              <w:bottom w:val="single" w:sz="8" w:space="0" w:color="auto"/>
              <w:right w:val="single" w:sz="4" w:space="0" w:color="auto"/>
            </w:tcBorders>
            <w:shd w:val="clear" w:color="auto" w:fill="auto"/>
            <w:noWrap/>
            <w:vAlign w:val="center"/>
            <w:hideMark/>
          </w:tcPr>
          <w:p w14:paraId="5FEF14D8"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4D9"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4DA"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4D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4D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53,642</w:t>
            </w:r>
          </w:p>
        </w:tc>
      </w:tr>
      <w:tr w:rsidR="00E2233D" w:rsidRPr="00795698" w14:paraId="5FEF14DF" w14:textId="77777777" w:rsidTr="00E2233D">
        <w:trPr>
          <w:trHeight w:val="180"/>
          <w:jc w:val="center"/>
        </w:trPr>
        <w:tc>
          <w:tcPr>
            <w:tcW w:w="13859"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14DE" w14:textId="0670F60A" w:rsidR="00E2233D" w:rsidRPr="00795698" w:rsidRDefault="00E2233D" w:rsidP="00E2233D">
            <w:pPr>
              <w:rPr>
                <w:rFonts w:ascii="Arial" w:hAnsi="Arial" w:cs="Arial"/>
                <w:b/>
                <w:bCs/>
                <w:color w:val="0070C0"/>
                <w:sz w:val="8"/>
                <w:szCs w:val="8"/>
                <w:lang w:eastAsia="sq-AL"/>
              </w:rPr>
            </w:pPr>
            <w:r w:rsidRPr="00795698">
              <w:rPr>
                <w:rFonts w:ascii="Arial" w:hAnsi="Arial" w:cs="Arial"/>
                <w:b/>
                <w:bCs/>
                <w:color w:val="0070C0"/>
                <w:sz w:val="8"/>
                <w:szCs w:val="8"/>
                <w:lang w:eastAsia="sq-AL"/>
              </w:rPr>
              <w:t>Qëllimi i Politikës</w:t>
            </w:r>
            <w:r w:rsidR="007C064A" w:rsidRPr="00795698">
              <w:rPr>
                <w:rFonts w:ascii="Arial" w:hAnsi="Arial" w:cs="Arial"/>
                <w:b/>
                <w:bCs/>
                <w:color w:val="0070C0"/>
                <w:sz w:val="8"/>
                <w:szCs w:val="8"/>
                <w:lang w:eastAsia="sq-AL"/>
              </w:rPr>
              <w:t xml:space="preserve"> </w:t>
            </w:r>
            <w:r w:rsidRPr="00795698">
              <w:rPr>
                <w:rFonts w:ascii="Arial" w:hAnsi="Arial" w:cs="Arial"/>
                <w:b/>
                <w:bCs/>
                <w:color w:val="0070C0"/>
                <w:sz w:val="8"/>
                <w:szCs w:val="8"/>
                <w:lang w:eastAsia="sq-AL"/>
              </w:rPr>
              <w:t>XIII: MBROJTJA NGA KËRCËNIMET TERRORISTE QË</w:t>
            </w:r>
            <w:r w:rsidR="005E41AA" w:rsidRPr="00795698">
              <w:rPr>
                <w:rFonts w:ascii="Arial" w:hAnsi="Arial" w:cs="Arial"/>
                <w:b/>
                <w:bCs/>
                <w:color w:val="0070C0"/>
                <w:sz w:val="8"/>
                <w:szCs w:val="8"/>
                <w:lang w:eastAsia="sq-AL"/>
              </w:rPr>
              <w:t xml:space="preserve"> cenoj</w:t>
            </w:r>
            <w:r w:rsidRPr="00795698">
              <w:rPr>
                <w:rFonts w:ascii="Arial" w:hAnsi="Arial" w:cs="Arial"/>
                <w:b/>
                <w:bCs/>
                <w:color w:val="0070C0"/>
                <w:sz w:val="8"/>
                <w:szCs w:val="8"/>
                <w:lang w:eastAsia="sq-AL"/>
              </w:rPr>
              <w:t>NË VENDDISLOKIMET/INFRASTRUKTURËN, PAJISJET KRITIKE DHE SISTEMET E MBROJTJES SË MINISTRISË SË MBROJTJES DHE FARSH-SË.</w:t>
            </w:r>
          </w:p>
        </w:tc>
      </w:tr>
      <w:tr w:rsidR="00E2233D" w:rsidRPr="00795698" w14:paraId="5FEF14E7" w14:textId="77777777" w:rsidTr="00E2233D">
        <w:trPr>
          <w:trHeight w:val="180"/>
          <w:jc w:val="center"/>
        </w:trPr>
        <w:tc>
          <w:tcPr>
            <w:tcW w:w="1622"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4E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Objektivat Specifik </w:t>
            </w:r>
          </w:p>
        </w:tc>
        <w:tc>
          <w:tcPr>
            <w:tcW w:w="3393" w:type="dxa"/>
            <w:gridSpan w:val="2"/>
            <w:tcBorders>
              <w:top w:val="single" w:sz="8" w:space="0" w:color="auto"/>
              <w:left w:val="nil"/>
              <w:bottom w:val="single" w:sz="8" w:space="0" w:color="auto"/>
              <w:right w:val="single" w:sz="8" w:space="0" w:color="000000"/>
            </w:tcBorders>
            <w:shd w:val="clear" w:color="auto" w:fill="auto"/>
            <w:vAlign w:val="center"/>
            <w:hideMark/>
          </w:tcPr>
          <w:p w14:paraId="5FEF14E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Institucionet përgjegjegjëse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5FEF14E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Zbatimit </w:t>
            </w:r>
          </w:p>
        </w:tc>
        <w:tc>
          <w:tcPr>
            <w:tcW w:w="218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4E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Kosto indikative totale</w:t>
            </w:r>
          </w:p>
        </w:tc>
        <w:tc>
          <w:tcPr>
            <w:tcW w:w="3781" w:type="dxa"/>
            <w:gridSpan w:val="6"/>
            <w:tcBorders>
              <w:top w:val="single" w:sz="8" w:space="0" w:color="auto"/>
              <w:left w:val="nil"/>
              <w:bottom w:val="single" w:sz="8" w:space="0" w:color="auto"/>
              <w:right w:val="single" w:sz="8" w:space="0" w:color="000000"/>
            </w:tcBorders>
            <w:shd w:val="clear" w:color="auto" w:fill="auto"/>
            <w:vAlign w:val="center"/>
            <w:hideMark/>
          </w:tcPr>
          <w:p w14:paraId="5FEF14E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E5" w14:textId="31C9B98F"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Hendeku financiar</w:t>
            </w:r>
            <w:r w:rsidRPr="00795698">
              <w:rPr>
                <w:rFonts w:ascii="Arial" w:hAnsi="Arial" w:cs="Arial"/>
                <w:b/>
                <w:bCs/>
                <w:color w:val="000000"/>
                <w:sz w:val="8"/>
                <w:szCs w:val="8"/>
                <w:lang w:eastAsia="sq-AL"/>
              </w:rPr>
              <w:br/>
            </w:r>
            <w:r w:rsidR="00623407" w:rsidRPr="00795698">
              <w:rPr>
                <w:rFonts w:ascii="Arial" w:hAnsi="Arial" w:cs="Arial"/>
                <w:b/>
                <w:bCs/>
                <w:color w:val="000000"/>
                <w:sz w:val="8"/>
                <w:szCs w:val="8"/>
                <w:lang w:eastAsia="sq-AL"/>
              </w:rPr>
              <w:t>2020–</w:t>
            </w:r>
            <w:r w:rsidRPr="00795698">
              <w:rPr>
                <w:rFonts w:ascii="Arial" w:hAnsi="Arial" w:cs="Arial"/>
                <w:b/>
                <w:bCs/>
                <w:color w:val="000000"/>
                <w:sz w:val="8"/>
                <w:szCs w:val="8"/>
                <w:lang w:eastAsia="sq-AL"/>
              </w:rPr>
              <w:t>2025</w:t>
            </w:r>
            <w:r w:rsidRPr="00795698">
              <w:rPr>
                <w:rFonts w:ascii="Arial" w:hAnsi="Arial" w:cs="Arial"/>
                <w:b/>
                <w:bCs/>
                <w:color w:val="000000"/>
                <w:sz w:val="8"/>
                <w:szCs w:val="8"/>
                <w:lang w:eastAsia="sq-AL"/>
              </w:rPr>
              <w:br/>
            </w:r>
            <w:r w:rsidRPr="00795698">
              <w:rPr>
                <w:rFonts w:ascii="Arial" w:hAnsi="Arial" w:cs="Arial"/>
                <w:b/>
                <w:bCs/>
                <w:color w:val="000000"/>
                <w:sz w:val="8"/>
                <w:szCs w:val="8"/>
                <w:lang w:eastAsia="sq-AL"/>
              </w:rPr>
              <w:lastRenderedPageBreak/>
              <w:t>(në Lekë)</w:t>
            </w:r>
          </w:p>
        </w:tc>
        <w:tc>
          <w:tcPr>
            <w:tcW w:w="131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14E6" w14:textId="7DB76184"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lastRenderedPageBreak/>
              <w:t xml:space="preserve">Kosto </w:t>
            </w:r>
            <w:r w:rsidR="00CA234B" w:rsidRPr="00795698">
              <w:rPr>
                <w:rFonts w:ascii="Arial" w:hAnsi="Arial" w:cs="Arial"/>
                <w:b/>
                <w:bCs/>
                <w:color w:val="000000"/>
                <w:sz w:val="8"/>
                <w:szCs w:val="8"/>
                <w:lang w:eastAsia="sq-AL"/>
              </w:rPr>
              <w:t>totale në EUR</w:t>
            </w:r>
            <w:r w:rsidRPr="00795698">
              <w:rPr>
                <w:rFonts w:ascii="Arial" w:hAnsi="Arial" w:cs="Arial"/>
                <w:b/>
                <w:bCs/>
                <w:color w:val="000000"/>
                <w:sz w:val="8"/>
                <w:szCs w:val="8"/>
                <w:lang w:eastAsia="sq-AL"/>
              </w:rPr>
              <w:br/>
              <w:t>(</w:t>
            </w:r>
            <w:r w:rsidR="00CA234B" w:rsidRPr="00795698">
              <w:rPr>
                <w:rFonts w:ascii="Arial" w:hAnsi="Arial" w:cs="Arial"/>
                <w:b/>
                <w:bCs/>
                <w:color w:val="000000"/>
                <w:sz w:val="8"/>
                <w:szCs w:val="8"/>
                <w:lang w:eastAsia="sq-AL"/>
              </w:rPr>
              <w:t>kursi i këmbimit:</w:t>
            </w:r>
            <w:r w:rsidRPr="00795698">
              <w:rPr>
                <w:rFonts w:ascii="Arial" w:hAnsi="Arial" w:cs="Arial"/>
                <w:b/>
                <w:bCs/>
                <w:color w:val="000000"/>
                <w:sz w:val="8"/>
                <w:szCs w:val="8"/>
                <w:lang w:eastAsia="sq-AL"/>
              </w:rPr>
              <w:t xml:space="preserve"> 1 EUR = 123ALL)</w:t>
            </w:r>
          </w:p>
        </w:tc>
      </w:tr>
      <w:tr w:rsidR="00E2233D" w:rsidRPr="00795698" w14:paraId="5FEF14F2"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E8" w14:textId="77777777" w:rsidR="00E2233D" w:rsidRPr="00795698" w:rsidRDefault="00E2233D" w:rsidP="00E2233D">
            <w:pPr>
              <w:rPr>
                <w:rFonts w:ascii="Arial" w:hAnsi="Arial" w:cs="Arial"/>
                <w:b/>
                <w:bCs/>
                <w:color w:val="000000"/>
                <w:sz w:val="8"/>
                <w:szCs w:val="8"/>
                <w:lang w:eastAsia="sq-AL"/>
              </w:rPr>
            </w:pPr>
          </w:p>
        </w:tc>
        <w:tc>
          <w:tcPr>
            <w:tcW w:w="98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E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Institucioni </w:t>
            </w:r>
            <w:r w:rsidRPr="00795698">
              <w:rPr>
                <w:rFonts w:ascii="Arial" w:hAnsi="Arial" w:cs="Arial"/>
                <w:b/>
                <w:bCs/>
                <w:color w:val="000000"/>
                <w:sz w:val="8"/>
                <w:szCs w:val="8"/>
                <w:lang w:eastAsia="sq-AL"/>
              </w:rPr>
              <w:lastRenderedPageBreak/>
              <w:t>përgjegjës</w:t>
            </w:r>
          </w:p>
        </w:tc>
        <w:tc>
          <w:tcPr>
            <w:tcW w:w="241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E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lastRenderedPageBreak/>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E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Afati i </w:t>
            </w:r>
            <w:r w:rsidRPr="00795698">
              <w:rPr>
                <w:rFonts w:ascii="Arial" w:hAnsi="Arial" w:cs="Arial"/>
                <w:b/>
                <w:bCs/>
                <w:color w:val="000000"/>
                <w:sz w:val="8"/>
                <w:szCs w:val="8"/>
                <w:lang w:eastAsia="sq-AL"/>
              </w:rPr>
              <w:lastRenderedPageBreak/>
              <w:t>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4EC" w14:textId="4592DB89"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lastRenderedPageBreak/>
              <w:t>Afati</w:t>
            </w:r>
            <w:r w:rsidR="007C064A" w:rsidRPr="00795698">
              <w:rPr>
                <w:rFonts w:ascii="Arial" w:hAnsi="Arial" w:cs="Arial"/>
                <w:b/>
                <w:bCs/>
                <w:color w:val="000000"/>
                <w:sz w:val="8"/>
                <w:szCs w:val="8"/>
                <w:lang w:eastAsia="sq-AL"/>
              </w:rPr>
              <w:t xml:space="preserve"> </w:t>
            </w:r>
            <w:r w:rsidRPr="00795698">
              <w:rPr>
                <w:rFonts w:ascii="Arial" w:hAnsi="Arial" w:cs="Arial"/>
                <w:b/>
                <w:bCs/>
                <w:color w:val="000000"/>
                <w:sz w:val="8"/>
                <w:szCs w:val="8"/>
                <w:lang w:eastAsia="sq-AL"/>
              </w:rPr>
              <w:t xml:space="preserve">i </w:t>
            </w:r>
            <w:r w:rsidRPr="00795698">
              <w:rPr>
                <w:rFonts w:ascii="Arial" w:hAnsi="Arial" w:cs="Arial"/>
                <w:b/>
                <w:bCs/>
                <w:color w:val="000000"/>
                <w:sz w:val="8"/>
                <w:szCs w:val="8"/>
                <w:lang w:eastAsia="sq-AL"/>
              </w:rPr>
              <w:lastRenderedPageBreak/>
              <w:t>mbarimit</w:t>
            </w:r>
          </w:p>
        </w:tc>
        <w:tc>
          <w:tcPr>
            <w:tcW w:w="2184" w:type="dxa"/>
            <w:gridSpan w:val="3"/>
            <w:vMerge/>
            <w:tcBorders>
              <w:top w:val="nil"/>
              <w:left w:val="single" w:sz="8" w:space="0" w:color="auto"/>
              <w:bottom w:val="single" w:sz="8" w:space="0" w:color="000000"/>
              <w:right w:val="single" w:sz="8" w:space="0" w:color="auto"/>
            </w:tcBorders>
            <w:vAlign w:val="center"/>
            <w:hideMark/>
          </w:tcPr>
          <w:p w14:paraId="5FEF14ED" w14:textId="77777777" w:rsidR="00E2233D" w:rsidRPr="00795698" w:rsidRDefault="00E2233D" w:rsidP="00E2233D">
            <w:pPr>
              <w:rPr>
                <w:rFonts w:ascii="Arial" w:hAnsi="Arial" w:cs="Arial"/>
                <w:b/>
                <w:bCs/>
                <w:color w:val="000000"/>
                <w:sz w:val="8"/>
                <w:szCs w:val="8"/>
                <w:lang w:eastAsia="sq-AL"/>
              </w:rPr>
            </w:pPr>
          </w:p>
        </w:tc>
        <w:tc>
          <w:tcPr>
            <w:tcW w:w="2117" w:type="dxa"/>
            <w:gridSpan w:val="3"/>
            <w:tcBorders>
              <w:top w:val="single" w:sz="8" w:space="0" w:color="auto"/>
              <w:left w:val="nil"/>
              <w:bottom w:val="single" w:sz="8" w:space="0" w:color="auto"/>
              <w:right w:val="single" w:sz="8" w:space="0" w:color="000000"/>
            </w:tcBorders>
            <w:shd w:val="clear" w:color="auto" w:fill="auto"/>
            <w:vAlign w:val="center"/>
            <w:hideMark/>
          </w:tcPr>
          <w:p w14:paraId="5FEF14EE" w14:textId="40649838"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PBA </w:t>
            </w:r>
            <w:r w:rsidR="006249E3" w:rsidRPr="00795698">
              <w:rPr>
                <w:rFonts w:ascii="Arial" w:hAnsi="Arial" w:cs="Arial"/>
                <w:b/>
                <w:bCs/>
                <w:color w:val="000000"/>
                <w:sz w:val="8"/>
                <w:szCs w:val="8"/>
                <w:lang w:eastAsia="sq-AL"/>
              </w:rPr>
              <w:t>2023–2025</w:t>
            </w:r>
          </w:p>
        </w:tc>
        <w:tc>
          <w:tcPr>
            <w:tcW w:w="1664" w:type="dxa"/>
            <w:gridSpan w:val="3"/>
            <w:tcBorders>
              <w:top w:val="single" w:sz="8" w:space="0" w:color="auto"/>
              <w:left w:val="nil"/>
              <w:bottom w:val="single" w:sz="8" w:space="0" w:color="auto"/>
              <w:right w:val="single" w:sz="8" w:space="0" w:color="000000"/>
            </w:tcBorders>
            <w:shd w:val="clear" w:color="auto" w:fill="auto"/>
            <w:vAlign w:val="center"/>
            <w:hideMark/>
          </w:tcPr>
          <w:p w14:paraId="5FEF14E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Financim i huaj</w:t>
            </w:r>
          </w:p>
        </w:tc>
        <w:tc>
          <w:tcPr>
            <w:tcW w:w="554" w:type="dxa"/>
            <w:vMerge/>
            <w:tcBorders>
              <w:top w:val="nil"/>
              <w:left w:val="single" w:sz="8" w:space="0" w:color="auto"/>
              <w:bottom w:val="single" w:sz="8" w:space="0" w:color="000000"/>
              <w:right w:val="single" w:sz="8" w:space="0" w:color="auto"/>
            </w:tcBorders>
            <w:vAlign w:val="center"/>
            <w:hideMark/>
          </w:tcPr>
          <w:p w14:paraId="5FEF14F0"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4F1" w14:textId="77777777" w:rsidR="00E2233D" w:rsidRPr="00795698" w:rsidRDefault="00E2233D" w:rsidP="00E2233D">
            <w:pPr>
              <w:rPr>
                <w:rFonts w:ascii="Arial" w:hAnsi="Arial" w:cs="Arial"/>
                <w:b/>
                <w:bCs/>
                <w:color w:val="000000"/>
                <w:sz w:val="8"/>
                <w:szCs w:val="8"/>
                <w:lang w:eastAsia="sq-AL"/>
              </w:rPr>
            </w:pPr>
          </w:p>
        </w:tc>
      </w:tr>
      <w:tr w:rsidR="00E2233D" w:rsidRPr="00795698" w14:paraId="5FEF1503" w14:textId="77777777" w:rsidTr="00E2233D">
        <w:trPr>
          <w:trHeight w:val="180"/>
          <w:jc w:val="center"/>
        </w:trPr>
        <w:tc>
          <w:tcPr>
            <w:tcW w:w="1622" w:type="dxa"/>
            <w:vMerge/>
            <w:tcBorders>
              <w:top w:val="nil"/>
              <w:left w:val="single" w:sz="8" w:space="0" w:color="auto"/>
              <w:bottom w:val="single" w:sz="4" w:space="0" w:color="000000"/>
              <w:right w:val="single" w:sz="8" w:space="0" w:color="auto"/>
            </w:tcBorders>
            <w:vAlign w:val="center"/>
            <w:hideMark/>
          </w:tcPr>
          <w:p w14:paraId="5FEF14F3" w14:textId="77777777" w:rsidR="00E2233D" w:rsidRPr="00795698" w:rsidRDefault="00E2233D" w:rsidP="00E2233D">
            <w:pPr>
              <w:rPr>
                <w:rFonts w:ascii="Arial" w:hAnsi="Arial" w:cs="Arial"/>
                <w:b/>
                <w:bCs/>
                <w:color w:val="000000"/>
                <w:sz w:val="8"/>
                <w:szCs w:val="8"/>
                <w:lang w:eastAsia="sq-AL"/>
              </w:rPr>
            </w:pPr>
          </w:p>
        </w:tc>
        <w:tc>
          <w:tcPr>
            <w:tcW w:w="981" w:type="dxa"/>
            <w:vMerge/>
            <w:tcBorders>
              <w:top w:val="nil"/>
              <w:left w:val="single" w:sz="8" w:space="0" w:color="auto"/>
              <w:bottom w:val="single" w:sz="8" w:space="0" w:color="000000"/>
              <w:right w:val="single" w:sz="8" w:space="0" w:color="auto"/>
            </w:tcBorders>
            <w:vAlign w:val="center"/>
            <w:hideMark/>
          </w:tcPr>
          <w:p w14:paraId="5FEF14F4" w14:textId="77777777" w:rsidR="00E2233D" w:rsidRPr="00795698" w:rsidRDefault="00E2233D" w:rsidP="00E2233D">
            <w:pPr>
              <w:rPr>
                <w:rFonts w:ascii="Arial" w:hAnsi="Arial" w:cs="Arial"/>
                <w:b/>
                <w:bCs/>
                <w:color w:val="000000"/>
                <w:sz w:val="8"/>
                <w:szCs w:val="8"/>
                <w:lang w:eastAsia="sq-AL"/>
              </w:rPr>
            </w:pPr>
          </w:p>
        </w:tc>
        <w:tc>
          <w:tcPr>
            <w:tcW w:w="2412" w:type="dxa"/>
            <w:vMerge/>
            <w:tcBorders>
              <w:top w:val="nil"/>
              <w:left w:val="single" w:sz="8" w:space="0" w:color="auto"/>
              <w:bottom w:val="single" w:sz="8" w:space="0" w:color="000000"/>
              <w:right w:val="single" w:sz="8" w:space="0" w:color="auto"/>
            </w:tcBorders>
            <w:vAlign w:val="center"/>
            <w:hideMark/>
          </w:tcPr>
          <w:p w14:paraId="5FEF14F5" w14:textId="77777777" w:rsidR="00E2233D" w:rsidRPr="00795698" w:rsidRDefault="00E2233D" w:rsidP="00E2233D">
            <w:pPr>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FEF14F6" w14:textId="77777777" w:rsidR="00E2233D" w:rsidRPr="00795698" w:rsidRDefault="00E2233D" w:rsidP="00E2233D">
            <w:pPr>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5FEF14F7" w14:textId="77777777" w:rsidR="00E2233D" w:rsidRPr="00795698" w:rsidRDefault="00E2233D" w:rsidP="00E2233D">
            <w:pPr>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5FEF14F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728" w:type="dxa"/>
            <w:tcBorders>
              <w:top w:val="nil"/>
              <w:left w:val="single" w:sz="8" w:space="0" w:color="auto"/>
              <w:bottom w:val="single" w:sz="8" w:space="0" w:color="auto"/>
              <w:right w:val="single" w:sz="8" w:space="0" w:color="auto"/>
            </w:tcBorders>
            <w:shd w:val="clear" w:color="auto" w:fill="auto"/>
            <w:vAlign w:val="center"/>
            <w:hideMark/>
          </w:tcPr>
          <w:p w14:paraId="5FEF14F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FA"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Kosto</w:t>
            </w:r>
          </w:p>
        </w:tc>
        <w:tc>
          <w:tcPr>
            <w:tcW w:w="728" w:type="dxa"/>
            <w:tcBorders>
              <w:top w:val="nil"/>
              <w:left w:val="nil"/>
              <w:bottom w:val="single" w:sz="8" w:space="0" w:color="auto"/>
              <w:right w:val="nil"/>
            </w:tcBorders>
            <w:shd w:val="clear" w:color="auto" w:fill="auto"/>
            <w:vAlign w:val="center"/>
            <w:hideMark/>
          </w:tcPr>
          <w:p w14:paraId="5FEF14F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FEF14F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FEF14FD"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BSH</w:t>
            </w:r>
          </w:p>
        </w:tc>
        <w:tc>
          <w:tcPr>
            <w:tcW w:w="728" w:type="dxa"/>
            <w:tcBorders>
              <w:top w:val="nil"/>
              <w:left w:val="nil"/>
              <w:bottom w:val="single" w:sz="8" w:space="0" w:color="auto"/>
              <w:right w:val="nil"/>
            </w:tcBorders>
            <w:shd w:val="clear" w:color="auto" w:fill="auto"/>
            <w:vAlign w:val="center"/>
            <w:hideMark/>
          </w:tcPr>
          <w:p w14:paraId="5FEF14F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Korente</w:t>
            </w:r>
          </w:p>
        </w:tc>
        <w:tc>
          <w:tcPr>
            <w:tcW w:w="528" w:type="dxa"/>
            <w:tcBorders>
              <w:top w:val="nil"/>
              <w:left w:val="single" w:sz="8" w:space="0" w:color="auto"/>
              <w:bottom w:val="single" w:sz="8" w:space="0" w:color="auto"/>
              <w:right w:val="single" w:sz="8" w:space="0" w:color="auto"/>
            </w:tcBorders>
            <w:shd w:val="clear" w:color="auto" w:fill="auto"/>
            <w:vAlign w:val="center"/>
            <w:hideMark/>
          </w:tcPr>
          <w:p w14:paraId="5FEF14F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Kapitale</w:t>
            </w:r>
          </w:p>
        </w:tc>
        <w:tc>
          <w:tcPr>
            <w:tcW w:w="408" w:type="dxa"/>
            <w:tcBorders>
              <w:top w:val="nil"/>
              <w:left w:val="nil"/>
              <w:bottom w:val="single" w:sz="8" w:space="0" w:color="auto"/>
              <w:right w:val="single" w:sz="8" w:space="0" w:color="auto"/>
            </w:tcBorders>
            <w:shd w:val="clear" w:color="auto" w:fill="auto"/>
            <w:vAlign w:val="center"/>
            <w:hideMark/>
          </w:tcPr>
          <w:p w14:paraId="5FEF1500"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Total FH</w:t>
            </w:r>
          </w:p>
        </w:tc>
        <w:tc>
          <w:tcPr>
            <w:tcW w:w="554" w:type="dxa"/>
            <w:vMerge/>
            <w:tcBorders>
              <w:top w:val="nil"/>
              <w:left w:val="single" w:sz="8" w:space="0" w:color="auto"/>
              <w:bottom w:val="single" w:sz="8" w:space="0" w:color="000000"/>
              <w:right w:val="single" w:sz="8" w:space="0" w:color="auto"/>
            </w:tcBorders>
            <w:vAlign w:val="center"/>
            <w:hideMark/>
          </w:tcPr>
          <w:p w14:paraId="5FEF1501" w14:textId="77777777" w:rsidR="00E2233D" w:rsidRPr="00795698" w:rsidRDefault="00E2233D" w:rsidP="00E2233D">
            <w:pPr>
              <w:rPr>
                <w:rFonts w:ascii="Arial" w:hAnsi="Arial" w:cs="Arial"/>
                <w:b/>
                <w:bCs/>
                <w:color w:val="000000"/>
                <w:sz w:val="8"/>
                <w:szCs w:val="8"/>
                <w:lang w:eastAsia="sq-AL"/>
              </w:rPr>
            </w:pPr>
          </w:p>
        </w:tc>
        <w:tc>
          <w:tcPr>
            <w:tcW w:w="1319" w:type="dxa"/>
            <w:vMerge/>
            <w:tcBorders>
              <w:top w:val="nil"/>
              <w:left w:val="single" w:sz="8" w:space="0" w:color="auto"/>
              <w:bottom w:val="single" w:sz="4" w:space="0" w:color="000000"/>
              <w:right w:val="single" w:sz="8" w:space="0" w:color="auto"/>
            </w:tcBorders>
            <w:vAlign w:val="center"/>
            <w:hideMark/>
          </w:tcPr>
          <w:p w14:paraId="5FEF1502" w14:textId="77777777" w:rsidR="00E2233D" w:rsidRPr="00795698" w:rsidRDefault="00E2233D" w:rsidP="00E2233D">
            <w:pPr>
              <w:rPr>
                <w:rFonts w:ascii="Arial" w:hAnsi="Arial" w:cs="Arial"/>
                <w:b/>
                <w:bCs/>
                <w:color w:val="000000"/>
                <w:sz w:val="8"/>
                <w:szCs w:val="8"/>
                <w:lang w:eastAsia="sq-AL"/>
              </w:rPr>
            </w:pPr>
          </w:p>
        </w:tc>
      </w:tr>
      <w:tr w:rsidR="00E2233D" w:rsidRPr="00795698" w14:paraId="5FEF1514"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504"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 xml:space="preserve">IDENTIFIKIMI I NEVOJAVE DHE STANDARDEVE TË MBROJTJES NGA KËRCËNIMET TERRORISTE. </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FEF1505"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MM/SHPFA</w:t>
            </w:r>
          </w:p>
        </w:tc>
        <w:tc>
          <w:tcPr>
            <w:tcW w:w="2412" w:type="dxa"/>
            <w:tcBorders>
              <w:top w:val="single" w:sz="4" w:space="0" w:color="auto"/>
              <w:left w:val="nil"/>
              <w:bottom w:val="single" w:sz="4" w:space="0" w:color="auto"/>
              <w:right w:val="single" w:sz="4" w:space="0" w:color="auto"/>
            </w:tcBorders>
            <w:shd w:val="clear" w:color="auto" w:fill="auto"/>
            <w:vAlign w:val="center"/>
            <w:hideMark/>
          </w:tcPr>
          <w:p w14:paraId="5FEF150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FEF1507"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50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50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7,890,000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50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50B"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7,890,000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50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7,890,000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FEF150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50E"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7,890,000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5FEF150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5FEF151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single" w:sz="4" w:space="0" w:color="auto"/>
              <w:left w:val="nil"/>
              <w:bottom w:val="single" w:sz="4" w:space="0" w:color="auto"/>
              <w:right w:val="single" w:sz="4" w:space="0" w:color="auto"/>
            </w:tcBorders>
            <w:shd w:val="clear" w:color="auto" w:fill="auto"/>
            <w:vAlign w:val="center"/>
            <w:hideMark/>
          </w:tcPr>
          <w:p w14:paraId="5FEF1511"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FEF151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51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64,146</w:t>
            </w:r>
          </w:p>
        </w:tc>
      </w:tr>
      <w:tr w:rsidR="00E2233D" w:rsidRPr="00795698" w14:paraId="5FEF1525" w14:textId="77777777" w:rsidTr="00E2233D">
        <w:trPr>
          <w:trHeight w:val="180"/>
          <w:jc w:val="center"/>
        </w:trPr>
        <w:tc>
          <w:tcPr>
            <w:tcW w:w="1622" w:type="dxa"/>
            <w:tcBorders>
              <w:top w:val="nil"/>
              <w:left w:val="single" w:sz="8" w:space="0" w:color="auto"/>
              <w:bottom w:val="single" w:sz="4" w:space="0" w:color="auto"/>
              <w:right w:val="single" w:sz="4" w:space="0" w:color="auto"/>
            </w:tcBorders>
            <w:shd w:val="clear" w:color="auto" w:fill="auto"/>
            <w:vAlign w:val="bottom"/>
            <w:hideMark/>
          </w:tcPr>
          <w:p w14:paraId="5FEF1515" w14:textId="77777777" w:rsidR="00E2233D" w:rsidRPr="00795698" w:rsidRDefault="00E2233D" w:rsidP="00E2233D">
            <w:pPr>
              <w:rPr>
                <w:rFonts w:ascii="Arial" w:hAnsi="Arial" w:cs="Arial"/>
                <w:b/>
                <w:bCs/>
                <w:color w:val="000000"/>
                <w:sz w:val="8"/>
                <w:szCs w:val="8"/>
                <w:lang w:eastAsia="sq-AL"/>
              </w:rPr>
            </w:pPr>
            <w:r w:rsidRPr="00795698">
              <w:rPr>
                <w:rFonts w:ascii="Arial" w:hAnsi="Arial" w:cs="Arial"/>
                <w:b/>
                <w:bCs/>
                <w:color w:val="000000"/>
                <w:sz w:val="8"/>
                <w:szCs w:val="8"/>
                <w:lang w:eastAsia="sq-AL"/>
              </w:rPr>
              <w:t>KONSOLIDIMI I KAPACITETEVE INFORMATIVE DHE PROFESIONALE-OPERACIONALE</w:t>
            </w:r>
          </w:p>
        </w:tc>
        <w:tc>
          <w:tcPr>
            <w:tcW w:w="981" w:type="dxa"/>
            <w:tcBorders>
              <w:top w:val="nil"/>
              <w:left w:val="nil"/>
              <w:bottom w:val="single" w:sz="4" w:space="0" w:color="auto"/>
              <w:right w:val="single" w:sz="4" w:space="0" w:color="auto"/>
            </w:tcBorders>
            <w:shd w:val="clear" w:color="auto" w:fill="auto"/>
            <w:vAlign w:val="center"/>
            <w:hideMark/>
          </w:tcPr>
          <w:p w14:paraId="5FEF1516"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MM/SHPFA/AISM</w:t>
            </w:r>
          </w:p>
        </w:tc>
        <w:tc>
          <w:tcPr>
            <w:tcW w:w="2412" w:type="dxa"/>
            <w:tcBorders>
              <w:top w:val="nil"/>
              <w:left w:val="nil"/>
              <w:bottom w:val="single" w:sz="4" w:space="0" w:color="auto"/>
              <w:right w:val="single" w:sz="4" w:space="0" w:color="auto"/>
            </w:tcBorders>
            <w:shd w:val="clear" w:color="auto" w:fill="auto"/>
            <w:vAlign w:val="center"/>
            <w:hideMark/>
          </w:tcPr>
          <w:p w14:paraId="5FEF151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 xml:space="preserve">SHISH/NATO </w:t>
            </w:r>
          </w:p>
        </w:tc>
        <w:tc>
          <w:tcPr>
            <w:tcW w:w="452" w:type="dxa"/>
            <w:tcBorders>
              <w:top w:val="nil"/>
              <w:left w:val="nil"/>
              <w:bottom w:val="single" w:sz="4" w:space="0" w:color="auto"/>
              <w:right w:val="single" w:sz="4" w:space="0" w:color="auto"/>
            </w:tcBorders>
            <w:shd w:val="clear" w:color="auto" w:fill="auto"/>
            <w:vAlign w:val="center"/>
            <w:hideMark/>
          </w:tcPr>
          <w:p w14:paraId="5FEF1518"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2022</w:t>
            </w:r>
          </w:p>
        </w:tc>
        <w:tc>
          <w:tcPr>
            <w:tcW w:w="554" w:type="dxa"/>
            <w:tcBorders>
              <w:top w:val="nil"/>
              <w:left w:val="nil"/>
              <w:bottom w:val="single" w:sz="4" w:space="0" w:color="auto"/>
              <w:right w:val="single" w:sz="4" w:space="0" w:color="auto"/>
            </w:tcBorders>
            <w:shd w:val="clear" w:color="auto" w:fill="auto"/>
            <w:vAlign w:val="center"/>
            <w:hideMark/>
          </w:tcPr>
          <w:p w14:paraId="5FEF1519"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2025</w:t>
            </w:r>
          </w:p>
        </w:tc>
        <w:tc>
          <w:tcPr>
            <w:tcW w:w="728" w:type="dxa"/>
            <w:tcBorders>
              <w:top w:val="nil"/>
              <w:left w:val="nil"/>
              <w:bottom w:val="single" w:sz="4" w:space="0" w:color="auto"/>
              <w:right w:val="single" w:sz="4" w:space="0" w:color="auto"/>
            </w:tcBorders>
            <w:shd w:val="clear" w:color="auto" w:fill="auto"/>
            <w:vAlign w:val="center"/>
            <w:hideMark/>
          </w:tcPr>
          <w:p w14:paraId="5FEF151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8,202,000</w:t>
            </w:r>
          </w:p>
        </w:tc>
        <w:tc>
          <w:tcPr>
            <w:tcW w:w="728" w:type="dxa"/>
            <w:tcBorders>
              <w:top w:val="nil"/>
              <w:left w:val="nil"/>
              <w:bottom w:val="single" w:sz="4" w:space="0" w:color="auto"/>
              <w:right w:val="single" w:sz="4" w:space="0" w:color="auto"/>
            </w:tcBorders>
            <w:shd w:val="clear" w:color="auto" w:fill="auto"/>
            <w:vAlign w:val="center"/>
            <w:hideMark/>
          </w:tcPr>
          <w:p w14:paraId="5FEF151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51C"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8,202,000</w:t>
            </w:r>
          </w:p>
        </w:tc>
        <w:tc>
          <w:tcPr>
            <w:tcW w:w="728" w:type="dxa"/>
            <w:tcBorders>
              <w:top w:val="nil"/>
              <w:left w:val="nil"/>
              <w:bottom w:val="single" w:sz="4" w:space="0" w:color="auto"/>
              <w:right w:val="single" w:sz="4" w:space="0" w:color="auto"/>
            </w:tcBorders>
            <w:shd w:val="clear" w:color="auto" w:fill="auto"/>
            <w:vAlign w:val="center"/>
            <w:hideMark/>
          </w:tcPr>
          <w:p w14:paraId="5FEF151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8,202,000</w:t>
            </w:r>
          </w:p>
        </w:tc>
        <w:tc>
          <w:tcPr>
            <w:tcW w:w="661" w:type="dxa"/>
            <w:tcBorders>
              <w:top w:val="nil"/>
              <w:left w:val="nil"/>
              <w:bottom w:val="single" w:sz="4" w:space="0" w:color="auto"/>
              <w:right w:val="single" w:sz="4" w:space="0" w:color="auto"/>
            </w:tcBorders>
            <w:shd w:val="clear" w:color="auto" w:fill="auto"/>
            <w:vAlign w:val="center"/>
            <w:hideMark/>
          </w:tcPr>
          <w:p w14:paraId="5FEF151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EF151F"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8,202,000</w:t>
            </w:r>
          </w:p>
        </w:tc>
        <w:tc>
          <w:tcPr>
            <w:tcW w:w="728" w:type="dxa"/>
            <w:tcBorders>
              <w:top w:val="nil"/>
              <w:left w:val="nil"/>
              <w:bottom w:val="single" w:sz="4" w:space="0" w:color="auto"/>
              <w:right w:val="single" w:sz="4" w:space="0" w:color="auto"/>
            </w:tcBorders>
            <w:shd w:val="clear" w:color="auto" w:fill="auto"/>
            <w:vAlign w:val="center"/>
            <w:hideMark/>
          </w:tcPr>
          <w:p w14:paraId="5FEF152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528" w:type="dxa"/>
            <w:tcBorders>
              <w:top w:val="nil"/>
              <w:left w:val="nil"/>
              <w:bottom w:val="single" w:sz="4" w:space="0" w:color="auto"/>
              <w:right w:val="single" w:sz="4" w:space="0" w:color="auto"/>
            </w:tcBorders>
            <w:shd w:val="clear" w:color="auto" w:fill="auto"/>
            <w:vAlign w:val="center"/>
            <w:hideMark/>
          </w:tcPr>
          <w:p w14:paraId="5FEF152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single" w:sz="4" w:space="0" w:color="auto"/>
              <w:right w:val="single" w:sz="4" w:space="0" w:color="auto"/>
            </w:tcBorders>
            <w:shd w:val="clear" w:color="auto" w:fill="auto"/>
            <w:vAlign w:val="center"/>
            <w:hideMark/>
          </w:tcPr>
          <w:p w14:paraId="5FEF1522"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554" w:type="dxa"/>
            <w:tcBorders>
              <w:top w:val="nil"/>
              <w:left w:val="nil"/>
              <w:bottom w:val="single" w:sz="4" w:space="0" w:color="auto"/>
              <w:right w:val="single" w:sz="4" w:space="0" w:color="auto"/>
            </w:tcBorders>
            <w:shd w:val="clear" w:color="auto" w:fill="auto"/>
            <w:vAlign w:val="center"/>
            <w:hideMark/>
          </w:tcPr>
          <w:p w14:paraId="5FEF1523"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0</w:t>
            </w:r>
          </w:p>
        </w:tc>
        <w:tc>
          <w:tcPr>
            <w:tcW w:w="1319" w:type="dxa"/>
            <w:tcBorders>
              <w:top w:val="nil"/>
              <w:left w:val="nil"/>
              <w:bottom w:val="single" w:sz="4" w:space="0" w:color="auto"/>
              <w:right w:val="single" w:sz="8" w:space="0" w:color="auto"/>
            </w:tcBorders>
            <w:shd w:val="clear" w:color="auto" w:fill="auto"/>
            <w:noWrap/>
            <w:vAlign w:val="center"/>
            <w:hideMark/>
          </w:tcPr>
          <w:p w14:paraId="5FEF1524" w14:textId="77777777" w:rsidR="00E2233D" w:rsidRPr="00795698" w:rsidRDefault="00E2233D" w:rsidP="00E2233D">
            <w:pPr>
              <w:jc w:val="center"/>
              <w:rPr>
                <w:rFonts w:ascii="Arial" w:hAnsi="Arial" w:cs="Arial"/>
                <w:b/>
                <w:bCs/>
                <w:color w:val="000000"/>
                <w:sz w:val="8"/>
                <w:szCs w:val="8"/>
                <w:lang w:eastAsia="sq-AL"/>
              </w:rPr>
            </w:pPr>
            <w:r w:rsidRPr="00795698">
              <w:rPr>
                <w:rFonts w:ascii="Arial" w:hAnsi="Arial" w:cs="Arial"/>
                <w:b/>
                <w:bCs/>
                <w:color w:val="000000"/>
                <w:sz w:val="8"/>
                <w:szCs w:val="8"/>
                <w:lang w:eastAsia="sq-AL"/>
              </w:rPr>
              <w:t>66,683</w:t>
            </w:r>
          </w:p>
        </w:tc>
      </w:tr>
      <w:tr w:rsidR="00E2233D" w:rsidRPr="00795698" w14:paraId="5FEF1536" w14:textId="77777777" w:rsidTr="00E2233D">
        <w:trPr>
          <w:trHeight w:val="180"/>
          <w:jc w:val="center"/>
        </w:trPr>
        <w:tc>
          <w:tcPr>
            <w:tcW w:w="1622" w:type="dxa"/>
            <w:tcBorders>
              <w:top w:val="nil"/>
              <w:left w:val="single" w:sz="8" w:space="0" w:color="auto"/>
              <w:bottom w:val="single" w:sz="8" w:space="0" w:color="auto"/>
              <w:right w:val="single" w:sz="4" w:space="0" w:color="auto"/>
            </w:tcBorders>
            <w:shd w:val="clear" w:color="auto" w:fill="auto"/>
            <w:vAlign w:val="bottom"/>
            <w:hideMark/>
          </w:tcPr>
          <w:p w14:paraId="5FEF1526" w14:textId="77777777" w:rsidR="00E2233D" w:rsidRPr="00795698" w:rsidRDefault="00E2233D" w:rsidP="00E2233D">
            <w:pPr>
              <w:rPr>
                <w:rFonts w:ascii="Arial" w:hAnsi="Arial" w:cs="Arial"/>
                <w:color w:val="000000"/>
                <w:sz w:val="8"/>
                <w:szCs w:val="8"/>
                <w:lang w:eastAsia="sq-AL"/>
              </w:rPr>
            </w:pPr>
            <w:r w:rsidRPr="00795698">
              <w:rPr>
                <w:rFonts w:ascii="Arial" w:hAnsi="Arial" w:cs="Arial"/>
                <w:b/>
                <w:bCs/>
                <w:color w:val="FF0000"/>
                <w:sz w:val="8"/>
                <w:szCs w:val="8"/>
                <w:lang w:eastAsia="sq-AL"/>
              </w:rPr>
              <w:t xml:space="preserve">Kosto totale Qëllimi i Politikës XIII </w:t>
            </w:r>
            <w:r w:rsidRPr="00795698">
              <w:rPr>
                <w:rFonts w:ascii="Arial" w:hAnsi="Arial" w:cs="Arial"/>
                <w:color w:val="000000"/>
                <w:sz w:val="8"/>
                <w:szCs w:val="8"/>
                <w:lang w:eastAsia="sq-AL"/>
              </w:rPr>
              <w:br/>
              <w:t>(objektiva specifike 13.1+13.2)</w:t>
            </w:r>
          </w:p>
        </w:tc>
        <w:tc>
          <w:tcPr>
            <w:tcW w:w="981" w:type="dxa"/>
            <w:tcBorders>
              <w:top w:val="nil"/>
              <w:left w:val="nil"/>
              <w:bottom w:val="single" w:sz="8" w:space="0" w:color="auto"/>
              <w:right w:val="single" w:sz="4" w:space="0" w:color="auto"/>
            </w:tcBorders>
            <w:shd w:val="clear" w:color="auto" w:fill="auto"/>
            <w:noWrap/>
            <w:vAlign w:val="bottom"/>
            <w:hideMark/>
          </w:tcPr>
          <w:p w14:paraId="5FEF1527"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2412" w:type="dxa"/>
            <w:tcBorders>
              <w:top w:val="nil"/>
              <w:left w:val="nil"/>
              <w:bottom w:val="single" w:sz="8" w:space="0" w:color="auto"/>
              <w:right w:val="single" w:sz="4" w:space="0" w:color="auto"/>
            </w:tcBorders>
            <w:shd w:val="clear" w:color="auto" w:fill="auto"/>
            <w:noWrap/>
            <w:vAlign w:val="bottom"/>
            <w:hideMark/>
          </w:tcPr>
          <w:p w14:paraId="5FEF1528"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5FEF1529"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5FEF152A" w14:textId="77777777" w:rsidR="00E2233D" w:rsidRPr="00795698" w:rsidRDefault="00E2233D" w:rsidP="00E2233D">
            <w:pPr>
              <w:rPr>
                <w:rFonts w:ascii="Arial" w:hAnsi="Arial" w:cs="Arial"/>
                <w:color w:val="000000"/>
                <w:sz w:val="8"/>
                <w:szCs w:val="8"/>
                <w:lang w:eastAsia="sq-AL"/>
              </w:rPr>
            </w:pPr>
            <w:r w:rsidRPr="00795698">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EF152B"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16,092,000</w:t>
            </w:r>
          </w:p>
        </w:tc>
        <w:tc>
          <w:tcPr>
            <w:tcW w:w="728" w:type="dxa"/>
            <w:tcBorders>
              <w:top w:val="nil"/>
              <w:left w:val="nil"/>
              <w:bottom w:val="single" w:sz="8" w:space="0" w:color="auto"/>
              <w:right w:val="single" w:sz="4" w:space="0" w:color="auto"/>
            </w:tcBorders>
            <w:shd w:val="clear" w:color="auto" w:fill="auto"/>
            <w:noWrap/>
            <w:vAlign w:val="center"/>
            <w:hideMark/>
          </w:tcPr>
          <w:p w14:paraId="5FEF152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52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16,092,000</w:t>
            </w:r>
          </w:p>
        </w:tc>
        <w:tc>
          <w:tcPr>
            <w:tcW w:w="728" w:type="dxa"/>
            <w:tcBorders>
              <w:top w:val="nil"/>
              <w:left w:val="nil"/>
              <w:bottom w:val="single" w:sz="8" w:space="0" w:color="auto"/>
              <w:right w:val="single" w:sz="4" w:space="0" w:color="auto"/>
            </w:tcBorders>
            <w:shd w:val="clear" w:color="auto" w:fill="auto"/>
            <w:noWrap/>
            <w:vAlign w:val="center"/>
            <w:hideMark/>
          </w:tcPr>
          <w:p w14:paraId="5FEF152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16,092,000</w:t>
            </w:r>
          </w:p>
        </w:tc>
        <w:tc>
          <w:tcPr>
            <w:tcW w:w="661" w:type="dxa"/>
            <w:tcBorders>
              <w:top w:val="nil"/>
              <w:left w:val="nil"/>
              <w:bottom w:val="single" w:sz="8" w:space="0" w:color="auto"/>
              <w:right w:val="single" w:sz="4" w:space="0" w:color="auto"/>
            </w:tcBorders>
            <w:shd w:val="clear" w:color="auto" w:fill="auto"/>
            <w:noWrap/>
            <w:vAlign w:val="center"/>
            <w:hideMark/>
          </w:tcPr>
          <w:p w14:paraId="5FEF152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FEF153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16,092,000</w:t>
            </w:r>
          </w:p>
        </w:tc>
        <w:tc>
          <w:tcPr>
            <w:tcW w:w="728" w:type="dxa"/>
            <w:tcBorders>
              <w:top w:val="nil"/>
              <w:left w:val="nil"/>
              <w:bottom w:val="single" w:sz="8" w:space="0" w:color="auto"/>
              <w:right w:val="single" w:sz="4" w:space="0" w:color="auto"/>
            </w:tcBorders>
            <w:shd w:val="clear" w:color="auto" w:fill="auto"/>
            <w:noWrap/>
            <w:vAlign w:val="center"/>
            <w:hideMark/>
          </w:tcPr>
          <w:p w14:paraId="5FEF153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nil"/>
              <w:left w:val="nil"/>
              <w:bottom w:val="single" w:sz="8" w:space="0" w:color="auto"/>
              <w:right w:val="single" w:sz="4" w:space="0" w:color="auto"/>
            </w:tcBorders>
            <w:shd w:val="clear" w:color="auto" w:fill="auto"/>
            <w:noWrap/>
            <w:vAlign w:val="center"/>
            <w:hideMark/>
          </w:tcPr>
          <w:p w14:paraId="5FEF153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nil"/>
              <w:left w:val="nil"/>
              <w:bottom w:val="single" w:sz="8" w:space="0" w:color="auto"/>
              <w:right w:val="single" w:sz="4" w:space="0" w:color="auto"/>
            </w:tcBorders>
            <w:shd w:val="clear" w:color="auto" w:fill="auto"/>
            <w:noWrap/>
            <w:vAlign w:val="center"/>
            <w:hideMark/>
          </w:tcPr>
          <w:p w14:paraId="5FEF153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nil"/>
              <w:left w:val="nil"/>
              <w:bottom w:val="single" w:sz="8" w:space="0" w:color="auto"/>
              <w:right w:val="single" w:sz="4" w:space="0" w:color="auto"/>
            </w:tcBorders>
            <w:shd w:val="clear" w:color="auto" w:fill="auto"/>
            <w:noWrap/>
            <w:vAlign w:val="center"/>
            <w:hideMark/>
          </w:tcPr>
          <w:p w14:paraId="5FEF153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nil"/>
              <w:left w:val="nil"/>
              <w:bottom w:val="single" w:sz="8" w:space="0" w:color="auto"/>
              <w:right w:val="single" w:sz="8" w:space="0" w:color="auto"/>
            </w:tcBorders>
            <w:shd w:val="clear" w:color="000000" w:fill="92D050"/>
            <w:noWrap/>
            <w:vAlign w:val="center"/>
            <w:hideMark/>
          </w:tcPr>
          <w:p w14:paraId="5FEF153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130,829</w:t>
            </w:r>
          </w:p>
        </w:tc>
      </w:tr>
      <w:tr w:rsidR="00E2233D" w:rsidRPr="00795698" w14:paraId="5FEF1547" w14:textId="77777777" w:rsidTr="00E2233D">
        <w:trPr>
          <w:trHeight w:val="180"/>
          <w:jc w:val="center"/>
        </w:trPr>
        <w:tc>
          <w:tcPr>
            <w:tcW w:w="1622"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5FEF1537"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Kosto Totale e PV</w:t>
            </w:r>
          </w:p>
        </w:tc>
        <w:tc>
          <w:tcPr>
            <w:tcW w:w="981" w:type="dxa"/>
            <w:tcBorders>
              <w:top w:val="single" w:sz="4" w:space="0" w:color="auto"/>
              <w:left w:val="nil"/>
              <w:bottom w:val="single" w:sz="8" w:space="0" w:color="auto"/>
              <w:right w:val="single" w:sz="4" w:space="0" w:color="auto"/>
            </w:tcBorders>
            <w:shd w:val="clear" w:color="000000" w:fill="BDD7EE"/>
            <w:noWrap/>
            <w:vAlign w:val="center"/>
            <w:hideMark/>
          </w:tcPr>
          <w:p w14:paraId="5FEF1538"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 </w:t>
            </w:r>
          </w:p>
        </w:tc>
        <w:tc>
          <w:tcPr>
            <w:tcW w:w="2412" w:type="dxa"/>
            <w:tcBorders>
              <w:top w:val="single" w:sz="4" w:space="0" w:color="auto"/>
              <w:left w:val="nil"/>
              <w:bottom w:val="single" w:sz="8" w:space="0" w:color="auto"/>
              <w:right w:val="single" w:sz="4" w:space="0" w:color="auto"/>
            </w:tcBorders>
            <w:shd w:val="clear" w:color="000000" w:fill="BDD7EE"/>
            <w:noWrap/>
            <w:vAlign w:val="center"/>
            <w:hideMark/>
          </w:tcPr>
          <w:p w14:paraId="5FEF1539"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 </w:t>
            </w:r>
          </w:p>
        </w:tc>
        <w:tc>
          <w:tcPr>
            <w:tcW w:w="452" w:type="dxa"/>
            <w:tcBorders>
              <w:top w:val="single" w:sz="4" w:space="0" w:color="auto"/>
              <w:left w:val="nil"/>
              <w:bottom w:val="single" w:sz="8" w:space="0" w:color="auto"/>
              <w:right w:val="single" w:sz="4" w:space="0" w:color="auto"/>
            </w:tcBorders>
            <w:shd w:val="clear" w:color="000000" w:fill="BDD7EE"/>
            <w:noWrap/>
            <w:vAlign w:val="center"/>
            <w:hideMark/>
          </w:tcPr>
          <w:p w14:paraId="5FEF153A"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 </w:t>
            </w:r>
          </w:p>
        </w:tc>
        <w:tc>
          <w:tcPr>
            <w:tcW w:w="554" w:type="dxa"/>
            <w:tcBorders>
              <w:top w:val="single" w:sz="4" w:space="0" w:color="auto"/>
              <w:left w:val="nil"/>
              <w:bottom w:val="single" w:sz="8" w:space="0" w:color="auto"/>
              <w:right w:val="single" w:sz="4" w:space="0" w:color="auto"/>
            </w:tcBorders>
            <w:shd w:val="clear" w:color="000000" w:fill="BDD7EE"/>
            <w:noWrap/>
            <w:vAlign w:val="center"/>
            <w:hideMark/>
          </w:tcPr>
          <w:p w14:paraId="5FEF153B" w14:textId="77777777" w:rsidR="00E2233D" w:rsidRPr="00795698" w:rsidRDefault="00E2233D" w:rsidP="00E2233D">
            <w:pPr>
              <w:rPr>
                <w:rFonts w:ascii="Arial" w:hAnsi="Arial" w:cs="Arial"/>
                <w:b/>
                <w:bCs/>
                <w:color w:val="FF0000"/>
                <w:sz w:val="8"/>
                <w:szCs w:val="8"/>
                <w:lang w:eastAsia="sq-AL"/>
              </w:rPr>
            </w:pPr>
            <w:r w:rsidRPr="00795698">
              <w:rPr>
                <w:rFonts w:ascii="Arial" w:hAnsi="Arial" w:cs="Arial"/>
                <w:b/>
                <w:bCs/>
                <w:color w:val="FF0000"/>
                <w:sz w:val="8"/>
                <w:szCs w:val="8"/>
                <w:lang w:eastAsia="sq-AL"/>
              </w:rPr>
              <w:t> </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5FEF153C"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2,326,949,515</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5FEF153D"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5FEF153E"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2,326,949,515</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5FEF153F"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2,326,949,515</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5FEF1540"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5FEF1541"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2,326,949,515</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5FEF1542"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28" w:type="dxa"/>
            <w:tcBorders>
              <w:top w:val="single" w:sz="4" w:space="0" w:color="auto"/>
              <w:left w:val="nil"/>
              <w:bottom w:val="single" w:sz="8" w:space="0" w:color="auto"/>
              <w:right w:val="single" w:sz="4" w:space="0" w:color="auto"/>
            </w:tcBorders>
            <w:shd w:val="clear" w:color="000000" w:fill="BDD7EE"/>
            <w:noWrap/>
            <w:vAlign w:val="center"/>
            <w:hideMark/>
          </w:tcPr>
          <w:p w14:paraId="5FEF1543"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408" w:type="dxa"/>
            <w:tcBorders>
              <w:top w:val="single" w:sz="4" w:space="0" w:color="auto"/>
              <w:left w:val="nil"/>
              <w:bottom w:val="single" w:sz="8" w:space="0" w:color="auto"/>
              <w:right w:val="single" w:sz="4" w:space="0" w:color="auto"/>
            </w:tcBorders>
            <w:shd w:val="clear" w:color="000000" w:fill="BDD7EE"/>
            <w:noWrap/>
            <w:vAlign w:val="center"/>
            <w:hideMark/>
          </w:tcPr>
          <w:p w14:paraId="5FEF1544"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554" w:type="dxa"/>
            <w:tcBorders>
              <w:top w:val="single" w:sz="4" w:space="0" w:color="auto"/>
              <w:left w:val="nil"/>
              <w:bottom w:val="single" w:sz="8" w:space="0" w:color="auto"/>
              <w:right w:val="single" w:sz="4" w:space="0" w:color="auto"/>
            </w:tcBorders>
            <w:shd w:val="clear" w:color="000000" w:fill="BDD7EE"/>
            <w:noWrap/>
            <w:vAlign w:val="center"/>
            <w:hideMark/>
          </w:tcPr>
          <w:p w14:paraId="5FEF1545"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0</w:t>
            </w:r>
          </w:p>
        </w:tc>
        <w:tc>
          <w:tcPr>
            <w:tcW w:w="1319" w:type="dxa"/>
            <w:tcBorders>
              <w:top w:val="single" w:sz="4" w:space="0" w:color="auto"/>
              <w:left w:val="nil"/>
              <w:bottom w:val="single" w:sz="8" w:space="0" w:color="auto"/>
              <w:right w:val="single" w:sz="4" w:space="0" w:color="auto"/>
            </w:tcBorders>
            <w:shd w:val="clear" w:color="000000" w:fill="BDD7EE"/>
            <w:noWrap/>
            <w:vAlign w:val="center"/>
            <w:hideMark/>
          </w:tcPr>
          <w:p w14:paraId="5FEF1546" w14:textId="77777777" w:rsidR="00E2233D" w:rsidRPr="00795698" w:rsidRDefault="00E2233D" w:rsidP="00E2233D">
            <w:pPr>
              <w:jc w:val="center"/>
              <w:rPr>
                <w:rFonts w:ascii="Arial" w:hAnsi="Arial" w:cs="Arial"/>
                <w:b/>
                <w:bCs/>
                <w:color w:val="FF0000"/>
                <w:sz w:val="8"/>
                <w:szCs w:val="8"/>
                <w:lang w:eastAsia="sq-AL"/>
              </w:rPr>
            </w:pPr>
            <w:r w:rsidRPr="00795698">
              <w:rPr>
                <w:rFonts w:ascii="Arial" w:hAnsi="Arial" w:cs="Arial"/>
                <w:b/>
                <w:bCs/>
                <w:color w:val="FF0000"/>
                <w:sz w:val="8"/>
                <w:szCs w:val="8"/>
                <w:lang w:eastAsia="sq-AL"/>
              </w:rPr>
              <w:t>18,918,289</w:t>
            </w:r>
          </w:p>
        </w:tc>
      </w:tr>
      <w:tr w:rsidR="00E2233D" w:rsidRPr="00795698" w14:paraId="5FEF1558"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48"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49"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4A"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4B"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4C"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4D"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4E"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4F"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50" w14:textId="77777777" w:rsidR="00E2233D" w:rsidRPr="00795698" w:rsidRDefault="00E2233D" w:rsidP="00E2233D">
            <w:pPr>
              <w:jc w:val="center"/>
              <w:rPr>
                <w:rFonts w:ascii="Arial" w:hAnsi="Arial" w:cs="Arial"/>
                <w:color w:val="000000"/>
                <w:sz w:val="8"/>
                <w:szCs w:val="8"/>
                <w:lang w:eastAsia="sq-AL"/>
              </w:rPr>
            </w:pPr>
          </w:p>
        </w:tc>
        <w:tc>
          <w:tcPr>
            <w:tcW w:w="661" w:type="dxa"/>
            <w:tcBorders>
              <w:top w:val="nil"/>
              <w:left w:val="nil"/>
              <w:bottom w:val="nil"/>
              <w:right w:val="nil"/>
            </w:tcBorders>
            <w:shd w:val="clear" w:color="auto" w:fill="auto"/>
            <w:noWrap/>
            <w:vAlign w:val="center"/>
            <w:hideMark/>
          </w:tcPr>
          <w:p w14:paraId="5FEF1551"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52"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53" w14:textId="77777777" w:rsidR="00E2233D" w:rsidRPr="00795698" w:rsidRDefault="00E2233D" w:rsidP="00E2233D">
            <w:pPr>
              <w:jc w:val="center"/>
              <w:rPr>
                <w:rFonts w:ascii="Arial" w:hAnsi="Arial" w:cs="Arial"/>
                <w:color w:val="000000"/>
                <w:sz w:val="8"/>
                <w:szCs w:val="8"/>
                <w:lang w:eastAsia="sq-AL"/>
              </w:rPr>
            </w:pPr>
          </w:p>
        </w:tc>
        <w:tc>
          <w:tcPr>
            <w:tcW w:w="528" w:type="dxa"/>
            <w:tcBorders>
              <w:top w:val="nil"/>
              <w:left w:val="nil"/>
              <w:bottom w:val="nil"/>
              <w:right w:val="nil"/>
            </w:tcBorders>
            <w:shd w:val="clear" w:color="auto" w:fill="auto"/>
            <w:noWrap/>
            <w:vAlign w:val="center"/>
            <w:hideMark/>
          </w:tcPr>
          <w:p w14:paraId="5FEF1554"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555"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56"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57"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69"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59"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5A"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5B"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5C"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5D"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5E"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5F"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60"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61" w14:textId="77777777" w:rsidR="00E2233D" w:rsidRPr="00795698" w:rsidRDefault="00E2233D" w:rsidP="00E2233D">
            <w:pPr>
              <w:jc w:val="center"/>
              <w:rPr>
                <w:rFonts w:ascii="Arial" w:hAnsi="Arial" w:cs="Arial"/>
                <w:color w:val="000000"/>
                <w:sz w:val="8"/>
                <w:szCs w:val="8"/>
                <w:lang w:eastAsia="sq-AL"/>
              </w:rPr>
            </w:pPr>
          </w:p>
        </w:tc>
        <w:tc>
          <w:tcPr>
            <w:tcW w:w="661" w:type="dxa"/>
            <w:tcBorders>
              <w:top w:val="nil"/>
              <w:left w:val="nil"/>
              <w:bottom w:val="nil"/>
              <w:right w:val="nil"/>
            </w:tcBorders>
            <w:shd w:val="clear" w:color="auto" w:fill="auto"/>
            <w:noWrap/>
            <w:vAlign w:val="center"/>
            <w:hideMark/>
          </w:tcPr>
          <w:p w14:paraId="5FEF1562"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63"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64" w14:textId="77777777" w:rsidR="00E2233D" w:rsidRPr="00795698" w:rsidRDefault="00E2233D" w:rsidP="00E2233D">
            <w:pPr>
              <w:jc w:val="center"/>
              <w:rPr>
                <w:rFonts w:ascii="Arial" w:hAnsi="Arial" w:cs="Arial"/>
                <w:color w:val="000000"/>
                <w:sz w:val="8"/>
                <w:szCs w:val="8"/>
                <w:lang w:eastAsia="sq-AL"/>
              </w:rPr>
            </w:pPr>
          </w:p>
        </w:tc>
        <w:tc>
          <w:tcPr>
            <w:tcW w:w="528" w:type="dxa"/>
            <w:tcBorders>
              <w:top w:val="nil"/>
              <w:left w:val="nil"/>
              <w:bottom w:val="nil"/>
              <w:right w:val="nil"/>
            </w:tcBorders>
            <w:shd w:val="clear" w:color="auto" w:fill="auto"/>
            <w:noWrap/>
            <w:vAlign w:val="center"/>
            <w:hideMark/>
          </w:tcPr>
          <w:p w14:paraId="5FEF1565"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566"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67"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68"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7A"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6A"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6B"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6C"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6D"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6E"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6F"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70"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71"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FEF1572"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 </w:t>
            </w:r>
          </w:p>
        </w:tc>
        <w:tc>
          <w:tcPr>
            <w:tcW w:w="661" w:type="dxa"/>
            <w:tcBorders>
              <w:top w:val="single" w:sz="4" w:space="0" w:color="auto"/>
              <w:left w:val="nil"/>
              <w:bottom w:val="single" w:sz="4" w:space="0" w:color="auto"/>
              <w:right w:val="single" w:sz="4" w:space="0" w:color="auto"/>
            </w:tcBorders>
            <w:shd w:val="clear" w:color="000000" w:fill="70AD47"/>
            <w:noWrap/>
            <w:vAlign w:val="center"/>
            <w:hideMark/>
          </w:tcPr>
          <w:p w14:paraId="5FEF1573" w14:textId="77777777" w:rsidR="00E2233D" w:rsidRPr="00795698" w:rsidRDefault="00E2233D" w:rsidP="00E2233D">
            <w:pPr>
              <w:jc w:val="center"/>
              <w:rPr>
                <w:rFonts w:ascii="Arial" w:hAnsi="Arial" w:cs="Arial"/>
                <w:b/>
                <w:bCs/>
                <w:color w:val="FFFFFF"/>
                <w:sz w:val="8"/>
                <w:szCs w:val="8"/>
                <w:lang w:eastAsia="sq-AL"/>
              </w:rPr>
            </w:pPr>
            <w:r w:rsidRPr="00795698">
              <w:rPr>
                <w:rFonts w:ascii="Arial" w:hAnsi="Arial" w:cs="Arial"/>
                <w:b/>
                <w:bCs/>
                <w:color w:val="FFFFFF"/>
                <w:sz w:val="8"/>
                <w:szCs w:val="8"/>
                <w:lang w:eastAsia="sq-AL"/>
              </w:rPr>
              <w:t>Kosto Korente</w:t>
            </w:r>
          </w:p>
        </w:tc>
        <w:tc>
          <w:tcPr>
            <w:tcW w:w="728" w:type="dxa"/>
            <w:tcBorders>
              <w:top w:val="single" w:sz="4" w:space="0" w:color="auto"/>
              <w:left w:val="nil"/>
              <w:bottom w:val="single" w:sz="4" w:space="0" w:color="auto"/>
              <w:right w:val="single" w:sz="4" w:space="0" w:color="auto"/>
            </w:tcBorders>
            <w:shd w:val="clear" w:color="000000" w:fill="70AD47"/>
            <w:noWrap/>
            <w:vAlign w:val="center"/>
            <w:hideMark/>
          </w:tcPr>
          <w:p w14:paraId="5FEF1574" w14:textId="77777777" w:rsidR="00E2233D" w:rsidRPr="00795698" w:rsidRDefault="00E2233D" w:rsidP="00E2233D">
            <w:pPr>
              <w:jc w:val="center"/>
              <w:rPr>
                <w:rFonts w:ascii="Arial" w:hAnsi="Arial" w:cs="Arial"/>
                <w:b/>
                <w:bCs/>
                <w:color w:val="FFFFFF"/>
                <w:sz w:val="8"/>
                <w:szCs w:val="8"/>
                <w:lang w:eastAsia="sq-AL"/>
              </w:rPr>
            </w:pPr>
            <w:r w:rsidRPr="00795698">
              <w:rPr>
                <w:rFonts w:ascii="Arial" w:hAnsi="Arial" w:cs="Arial"/>
                <w:b/>
                <w:bCs/>
                <w:color w:val="FFFFFF"/>
                <w:sz w:val="8"/>
                <w:szCs w:val="8"/>
                <w:lang w:eastAsia="sq-AL"/>
              </w:rPr>
              <w:t>Kosto Kapitale</w:t>
            </w:r>
          </w:p>
        </w:tc>
        <w:tc>
          <w:tcPr>
            <w:tcW w:w="728" w:type="dxa"/>
            <w:tcBorders>
              <w:top w:val="single" w:sz="4" w:space="0" w:color="auto"/>
              <w:left w:val="nil"/>
              <w:bottom w:val="single" w:sz="4" w:space="0" w:color="auto"/>
              <w:right w:val="single" w:sz="4" w:space="0" w:color="auto"/>
            </w:tcBorders>
            <w:shd w:val="clear" w:color="000000" w:fill="70AD47"/>
            <w:noWrap/>
            <w:vAlign w:val="center"/>
            <w:hideMark/>
          </w:tcPr>
          <w:p w14:paraId="5FEF1575" w14:textId="77777777" w:rsidR="00E2233D" w:rsidRPr="00795698" w:rsidRDefault="00E2233D" w:rsidP="00E2233D">
            <w:pPr>
              <w:jc w:val="center"/>
              <w:rPr>
                <w:rFonts w:ascii="Arial" w:hAnsi="Arial" w:cs="Arial"/>
                <w:b/>
                <w:bCs/>
                <w:color w:val="FFFFFF"/>
                <w:sz w:val="8"/>
                <w:szCs w:val="8"/>
                <w:lang w:eastAsia="sq-AL"/>
              </w:rPr>
            </w:pPr>
            <w:r w:rsidRPr="00795698">
              <w:rPr>
                <w:rFonts w:ascii="Arial" w:hAnsi="Arial" w:cs="Arial"/>
                <w:b/>
                <w:bCs/>
                <w:color w:val="FFFFFF"/>
                <w:sz w:val="8"/>
                <w:szCs w:val="8"/>
                <w:lang w:eastAsia="sq-AL"/>
              </w:rPr>
              <w:t>Totali</w:t>
            </w:r>
          </w:p>
        </w:tc>
        <w:tc>
          <w:tcPr>
            <w:tcW w:w="528" w:type="dxa"/>
            <w:tcBorders>
              <w:top w:val="nil"/>
              <w:left w:val="nil"/>
              <w:bottom w:val="nil"/>
              <w:right w:val="nil"/>
            </w:tcBorders>
            <w:shd w:val="clear" w:color="auto" w:fill="auto"/>
            <w:noWrap/>
            <w:vAlign w:val="center"/>
            <w:hideMark/>
          </w:tcPr>
          <w:p w14:paraId="5FEF1576"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577"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78"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79"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8B"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7B"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7C"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7D"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7E"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7F" w14:textId="77777777" w:rsidR="00E2233D" w:rsidRPr="00795698" w:rsidRDefault="00E2233D" w:rsidP="00E2233D">
            <w:pPr>
              <w:rPr>
                <w:rFonts w:ascii="Arial" w:hAnsi="Arial" w:cs="Arial"/>
                <w:color w:val="000000"/>
                <w:sz w:val="8"/>
                <w:szCs w:val="8"/>
                <w:lang w:eastAsia="sq-AL"/>
              </w:rPr>
            </w:pPr>
          </w:p>
        </w:tc>
        <w:tc>
          <w:tcPr>
            <w:tcW w:w="728"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5FEF1580"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Kosto totale e PV</w:t>
            </w:r>
          </w:p>
        </w:tc>
        <w:tc>
          <w:tcPr>
            <w:tcW w:w="728" w:type="dxa"/>
            <w:tcBorders>
              <w:top w:val="single" w:sz="4" w:space="0" w:color="auto"/>
              <w:left w:val="nil"/>
              <w:bottom w:val="single" w:sz="4" w:space="0" w:color="auto"/>
              <w:right w:val="single" w:sz="4" w:space="0" w:color="auto"/>
            </w:tcBorders>
            <w:shd w:val="clear" w:color="000000" w:fill="4472C4"/>
            <w:noWrap/>
            <w:vAlign w:val="center"/>
            <w:hideMark/>
          </w:tcPr>
          <w:p w14:paraId="5FEF1581"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2,326,949,515</w:t>
            </w:r>
          </w:p>
        </w:tc>
        <w:tc>
          <w:tcPr>
            <w:tcW w:w="728" w:type="dxa"/>
            <w:tcBorders>
              <w:top w:val="nil"/>
              <w:left w:val="nil"/>
              <w:bottom w:val="nil"/>
              <w:right w:val="nil"/>
            </w:tcBorders>
            <w:shd w:val="clear" w:color="auto" w:fill="auto"/>
            <w:noWrap/>
            <w:vAlign w:val="center"/>
            <w:hideMark/>
          </w:tcPr>
          <w:p w14:paraId="5FEF1582"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83"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I</w:t>
            </w:r>
          </w:p>
        </w:tc>
        <w:tc>
          <w:tcPr>
            <w:tcW w:w="661" w:type="dxa"/>
            <w:tcBorders>
              <w:top w:val="nil"/>
              <w:left w:val="nil"/>
              <w:bottom w:val="single" w:sz="4" w:space="0" w:color="auto"/>
              <w:right w:val="single" w:sz="4" w:space="0" w:color="auto"/>
            </w:tcBorders>
            <w:shd w:val="clear" w:color="000000" w:fill="70AD47"/>
            <w:noWrap/>
            <w:vAlign w:val="center"/>
            <w:hideMark/>
          </w:tcPr>
          <w:p w14:paraId="5FEF1584"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354,450,000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85"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86"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354,450,000</w:t>
            </w:r>
          </w:p>
        </w:tc>
        <w:tc>
          <w:tcPr>
            <w:tcW w:w="528" w:type="dxa"/>
            <w:tcBorders>
              <w:top w:val="nil"/>
              <w:left w:val="nil"/>
              <w:bottom w:val="nil"/>
              <w:right w:val="nil"/>
            </w:tcBorders>
            <w:shd w:val="clear" w:color="auto" w:fill="auto"/>
            <w:noWrap/>
            <w:vAlign w:val="center"/>
            <w:hideMark/>
          </w:tcPr>
          <w:p w14:paraId="5FEF1587"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15</w:t>
            </w:r>
          </w:p>
        </w:tc>
        <w:tc>
          <w:tcPr>
            <w:tcW w:w="408" w:type="dxa"/>
            <w:tcBorders>
              <w:top w:val="nil"/>
              <w:left w:val="nil"/>
              <w:bottom w:val="nil"/>
              <w:right w:val="nil"/>
            </w:tcBorders>
            <w:shd w:val="clear" w:color="auto" w:fill="auto"/>
            <w:noWrap/>
            <w:vAlign w:val="center"/>
            <w:hideMark/>
          </w:tcPr>
          <w:p w14:paraId="5FEF1588"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89"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8A"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9C"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8C"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8D"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8E"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8F"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90"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4472C4"/>
            <w:vAlign w:val="center"/>
            <w:hideMark/>
          </w:tcPr>
          <w:p w14:paraId="5FEF1591" w14:textId="50F12040"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 xml:space="preserve">PBA </w:t>
            </w:r>
            <w:r w:rsidR="006249E3" w:rsidRPr="00795698">
              <w:rPr>
                <w:rFonts w:ascii="Arial" w:hAnsi="Arial" w:cs="Arial"/>
                <w:color w:val="FFFFFF"/>
                <w:sz w:val="8"/>
                <w:szCs w:val="8"/>
                <w:lang w:eastAsia="sq-AL"/>
              </w:rPr>
              <w:t>2023–2025</w:t>
            </w:r>
          </w:p>
        </w:tc>
        <w:tc>
          <w:tcPr>
            <w:tcW w:w="728" w:type="dxa"/>
            <w:tcBorders>
              <w:top w:val="nil"/>
              <w:left w:val="nil"/>
              <w:bottom w:val="single" w:sz="4" w:space="0" w:color="auto"/>
              <w:right w:val="single" w:sz="4" w:space="0" w:color="auto"/>
            </w:tcBorders>
            <w:shd w:val="clear" w:color="000000" w:fill="4472C4"/>
            <w:noWrap/>
            <w:vAlign w:val="center"/>
            <w:hideMark/>
          </w:tcPr>
          <w:p w14:paraId="5FEF1592"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2,326,949,515</w:t>
            </w:r>
          </w:p>
        </w:tc>
        <w:tc>
          <w:tcPr>
            <w:tcW w:w="728" w:type="dxa"/>
            <w:tcBorders>
              <w:top w:val="nil"/>
              <w:left w:val="nil"/>
              <w:bottom w:val="nil"/>
              <w:right w:val="nil"/>
            </w:tcBorders>
            <w:shd w:val="clear" w:color="auto" w:fill="auto"/>
            <w:noWrap/>
            <w:vAlign w:val="center"/>
            <w:hideMark/>
          </w:tcPr>
          <w:p w14:paraId="5FEF159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100</w:t>
            </w: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94"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II</w:t>
            </w:r>
          </w:p>
        </w:tc>
        <w:tc>
          <w:tcPr>
            <w:tcW w:w="661" w:type="dxa"/>
            <w:tcBorders>
              <w:top w:val="nil"/>
              <w:left w:val="nil"/>
              <w:bottom w:val="single" w:sz="4" w:space="0" w:color="auto"/>
              <w:right w:val="single" w:sz="4" w:space="0" w:color="auto"/>
            </w:tcBorders>
            <w:shd w:val="clear" w:color="000000" w:fill="70AD47"/>
            <w:noWrap/>
            <w:vAlign w:val="center"/>
            <w:hideMark/>
          </w:tcPr>
          <w:p w14:paraId="5FEF1595"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458,503,800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96"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97"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458,503,800</w:t>
            </w:r>
          </w:p>
        </w:tc>
        <w:tc>
          <w:tcPr>
            <w:tcW w:w="528" w:type="dxa"/>
            <w:tcBorders>
              <w:top w:val="nil"/>
              <w:left w:val="nil"/>
              <w:bottom w:val="nil"/>
              <w:right w:val="nil"/>
            </w:tcBorders>
            <w:shd w:val="clear" w:color="auto" w:fill="auto"/>
            <w:noWrap/>
            <w:vAlign w:val="center"/>
            <w:hideMark/>
          </w:tcPr>
          <w:p w14:paraId="5FEF1598"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20</w:t>
            </w:r>
          </w:p>
        </w:tc>
        <w:tc>
          <w:tcPr>
            <w:tcW w:w="408" w:type="dxa"/>
            <w:tcBorders>
              <w:top w:val="nil"/>
              <w:left w:val="nil"/>
              <w:bottom w:val="nil"/>
              <w:right w:val="nil"/>
            </w:tcBorders>
            <w:shd w:val="clear" w:color="auto" w:fill="auto"/>
            <w:noWrap/>
            <w:vAlign w:val="center"/>
            <w:hideMark/>
          </w:tcPr>
          <w:p w14:paraId="5FEF1599"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9A"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9B"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AD"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9D"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9E"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9F"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A0"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A1"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4472C4"/>
            <w:vAlign w:val="center"/>
            <w:hideMark/>
          </w:tcPr>
          <w:p w14:paraId="5FEF15A2"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Financim I Huaj</w:t>
            </w:r>
          </w:p>
        </w:tc>
        <w:tc>
          <w:tcPr>
            <w:tcW w:w="728" w:type="dxa"/>
            <w:tcBorders>
              <w:top w:val="nil"/>
              <w:left w:val="nil"/>
              <w:bottom w:val="single" w:sz="4" w:space="0" w:color="auto"/>
              <w:right w:val="single" w:sz="4" w:space="0" w:color="auto"/>
            </w:tcBorders>
            <w:shd w:val="clear" w:color="000000" w:fill="4472C4"/>
            <w:noWrap/>
            <w:vAlign w:val="center"/>
            <w:hideMark/>
          </w:tcPr>
          <w:p w14:paraId="5FEF15A3"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nil"/>
              <w:right w:val="nil"/>
            </w:tcBorders>
            <w:shd w:val="clear" w:color="auto" w:fill="auto"/>
            <w:noWrap/>
            <w:vAlign w:val="center"/>
            <w:hideMark/>
          </w:tcPr>
          <w:p w14:paraId="5FEF15A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A5"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III</w:t>
            </w:r>
          </w:p>
        </w:tc>
        <w:tc>
          <w:tcPr>
            <w:tcW w:w="661" w:type="dxa"/>
            <w:tcBorders>
              <w:top w:val="nil"/>
              <w:left w:val="nil"/>
              <w:bottom w:val="single" w:sz="4" w:space="0" w:color="auto"/>
              <w:right w:val="single" w:sz="4" w:space="0" w:color="auto"/>
            </w:tcBorders>
            <w:shd w:val="clear" w:color="000000" w:fill="70AD47"/>
            <w:noWrap/>
            <w:vAlign w:val="center"/>
            <w:hideMark/>
          </w:tcPr>
          <w:p w14:paraId="5FEF15A6"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303,019,200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A7"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A8"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303,019,200</w:t>
            </w:r>
          </w:p>
        </w:tc>
        <w:tc>
          <w:tcPr>
            <w:tcW w:w="528" w:type="dxa"/>
            <w:tcBorders>
              <w:top w:val="nil"/>
              <w:left w:val="nil"/>
              <w:bottom w:val="nil"/>
              <w:right w:val="nil"/>
            </w:tcBorders>
            <w:shd w:val="clear" w:color="auto" w:fill="auto"/>
            <w:noWrap/>
            <w:vAlign w:val="center"/>
            <w:hideMark/>
          </w:tcPr>
          <w:p w14:paraId="5FEF15A9"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13</w:t>
            </w:r>
          </w:p>
        </w:tc>
        <w:tc>
          <w:tcPr>
            <w:tcW w:w="408" w:type="dxa"/>
            <w:tcBorders>
              <w:top w:val="nil"/>
              <w:left w:val="nil"/>
              <w:bottom w:val="nil"/>
              <w:right w:val="nil"/>
            </w:tcBorders>
            <w:shd w:val="clear" w:color="auto" w:fill="auto"/>
            <w:noWrap/>
            <w:vAlign w:val="center"/>
            <w:hideMark/>
          </w:tcPr>
          <w:p w14:paraId="5FEF15AA"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AB"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AC"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BE"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AE"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AF"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B0"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B1"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B2"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4472C4"/>
            <w:vAlign w:val="center"/>
            <w:hideMark/>
          </w:tcPr>
          <w:p w14:paraId="5FEF15B3" w14:textId="39BE67B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 xml:space="preserve">Hendek financiar </w:t>
            </w:r>
            <w:r w:rsidR="006249E3" w:rsidRPr="00795698">
              <w:rPr>
                <w:rFonts w:ascii="Arial" w:hAnsi="Arial" w:cs="Arial"/>
                <w:color w:val="FFFFFF"/>
                <w:sz w:val="8"/>
                <w:szCs w:val="8"/>
                <w:lang w:eastAsia="sq-AL"/>
              </w:rPr>
              <w:t>2023–2025</w:t>
            </w:r>
          </w:p>
        </w:tc>
        <w:tc>
          <w:tcPr>
            <w:tcW w:w="728" w:type="dxa"/>
            <w:tcBorders>
              <w:top w:val="nil"/>
              <w:left w:val="nil"/>
              <w:bottom w:val="single" w:sz="4" w:space="0" w:color="auto"/>
              <w:right w:val="single" w:sz="4" w:space="0" w:color="auto"/>
            </w:tcBorders>
            <w:shd w:val="clear" w:color="000000" w:fill="4472C4"/>
            <w:noWrap/>
            <w:vAlign w:val="center"/>
            <w:hideMark/>
          </w:tcPr>
          <w:p w14:paraId="5FEF15B4"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nil"/>
              <w:right w:val="nil"/>
            </w:tcBorders>
            <w:shd w:val="clear" w:color="auto" w:fill="auto"/>
            <w:noWrap/>
            <w:vAlign w:val="center"/>
            <w:hideMark/>
          </w:tcPr>
          <w:p w14:paraId="5FEF15B5"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B6"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IV</w:t>
            </w:r>
          </w:p>
        </w:tc>
        <w:tc>
          <w:tcPr>
            <w:tcW w:w="661" w:type="dxa"/>
            <w:tcBorders>
              <w:top w:val="nil"/>
              <w:left w:val="nil"/>
              <w:bottom w:val="single" w:sz="4" w:space="0" w:color="auto"/>
              <w:right w:val="single" w:sz="4" w:space="0" w:color="auto"/>
            </w:tcBorders>
            <w:shd w:val="clear" w:color="000000" w:fill="70AD47"/>
            <w:noWrap/>
            <w:vAlign w:val="center"/>
            <w:hideMark/>
          </w:tcPr>
          <w:p w14:paraId="5FEF15B7"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37,500,000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B8"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B9"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37,500,000</w:t>
            </w:r>
          </w:p>
        </w:tc>
        <w:tc>
          <w:tcPr>
            <w:tcW w:w="528" w:type="dxa"/>
            <w:tcBorders>
              <w:top w:val="nil"/>
              <w:left w:val="nil"/>
              <w:bottom w:val="nil"/>
              <w:right w:val="nil"/>
            </w:tcBorders>
            <w:shd w:val="clear" w:color="auto" w:fill="auto"/>
            <w:noWrap/>
            <w:vAlign w:val="center"/>
            <w:hideMark/>
          </w:tcPr>
          <w:p w14:paraId="5FEF15BA"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w:t>
            </w:r>
          </w:p>
        </w:tc>
        <w:tc>
          <w:tcPr>
            <w:tcW w:w="408" w:type="dxa"/>
            <w:tcBorders>
              <w:top w:val="nil"/>
              <w:left w:val="nil"/>
              <w:bottom w:val="nil"/>
              <w:right w:val="nil"/>
            </w:tcBorders>
            <w:shd w:val="clear" w:color="auto" w:fill="auto"/>
            <w:noWrap/>
            <w:vAlign w:val="center"/>
            <w:hideMark/>
          </w:tcPr>
          <w:p w14:paraId="5FEF15BB"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BC"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BD"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CF"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BF"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C0"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C1"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C2"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C3"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C4"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C5"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C6"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C7"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V</w:t>
            </w:r>
          </w:p>
        </w:tc>
        <w:tc>
          <w:tcPr>
            <w:tcW w:w="661" w:type="dxa"/>
            <w:tcBorders>
              <w:top w:val="nil"/>
              <w:left w:val="nil"/>
              <w:bottom w:val="single" w:sz="4" w:space="0" w:color="auto"/>
              <w:right w:val="single" w:sz="4" w:space="0" w:color="auto"/>
            </w:tcBorders>
            <w:shd w:val="clear" w:color="000000" w:fill="70AD47"/>
            <w:noWrap/>
            <w:vAlign w:val="center"/>
            <w:hideMark/>
          </w:tcPr>
          <w:p w14:paraId="5FEF15C8"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424,753,800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C9"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CA"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424,753,800</w:t>
            </w:r>
          </w:p>
        </w:tc>
        <w:tc>
          <w:tcPr>
            <w:tcW w:w="528" w:type="dxa"/>
            <w:tcBorders>
              <w:top w:val="nil"/>
              <w:left w:val="nil"/>
              <w:bottom w:val="nil"/>
              <w:right w:val="nil"/>
            </w:tcBorders>
            <w:shd w:val="clear" w:color="auto" w:fill="auto"/>
            <w:noWrap/>
            <w:vAlign w:val="center"/>
            <w:hideMark/>
          </w:tcPr>
          <w:p w14:paraId="5FEF15CB"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18</w:t>
            </w:r>
          </w:p>
        </w:tc>
        <w:tc>
          <w:tcPr>
            <w:tcW w:w="408" w:type="dxa"/>
            <w:tcBorders>
              <w:top w:val="nil"/>
              <w:left w:val="nil"/>
              <w:bottom w:val="nil"/>
              <w:right w:val="nil"/>
            </w:tcBorders>
            <w:shd w:val="clear" w:color="auto" w:fill="auto"/>
            <w:noWrap/>
            <w:vAlign w:val="center"/>
            <w:hideMark/>
          </w:tcPr>
          <w:p w14:paraId="5FEF15CC"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CD"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CE"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E0"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D0"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D1"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D2"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D3"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D4"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D5"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D6"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D7"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D8"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VI</w:t>
            </w:r>
          </w:p>
        </w:tc>
        <w:tc>
          <w:tcPr>
            <w:tcW w:w="661" w:type="dxa"/>
            <w:tcBorders>
              <w:top w:val="nil"/>
              <w:left w:val="nil"/>
              <w:bottom w:val="single" w:sz="4" w:space="0" w:color="auto"/>
              <w:right w:val="single" w:sz="4" w:space="0" w:color="auto"/>
            </w:tcBorders>
            <w:shd w:val="clear" w:color="000000" w:fill="70AD47"/>
            <w:noWrap/>
            <w:vAlign w:val="center"/>
            <w:hideMark/>
          </w:tcPr>
          <w:p w14:paraId="5FEF15D9"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634,935,215</w:t>
            </w:r>
          </w:p>
        </w:tc>
        <w:tc>
          <w:tcPr>
            <w:tcW w:w="728" w:type="dxa"/>
            <w:tcBorders>
              <w:top w:val="nil"/>
              <w:left w:val="nil"/>
              <w:bottom w:val="single" w:sz="4" w:space="0" w:color="auto"/>
              <w:right w:val="single" w:sz="4" w:space="0" w:color="auto"/>
            </w:tcBorders>
            <w:shd w:val="clear" w:color="000000" w:fill="70AD47"/>
            <w:noWrap/>
            <w:vAlign w:val="center"/>
            <w:hideMark/>
          </w:tcPr>
          <w:p w14:paraId="5FEF15DA"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DB"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634,935,215</w:t>
            </w:r>
          </w:p>
        </w:tc>
        <w:tc>
          <w:tcPr>
            <w:tcW w:w="528" w:type="dxa"/>
            <w:tcBorders>
              <w:top w:val="nil"/>
              <w:left w:val="nil"/>
              <w:bottom w:val="nil"/>
              <w:right w:val="nil"/>
            </w:tcBorders>
            <w:shd w:val="clear" w:color="auto" w:fill="auto"/>
            <w:noWrap/>
            <w:vAlign w:val="center"/>
            <w:hideMark/>
          </w:tcPr>
          <w:p w14:paraId="5FEF15DC"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27</w:t>
            </w:r>
          </w:p>
        </w:tc>
        <w:tc>
          <w:tcPr>
            <w:tcW w:w="408" w:type="dxa"/>
            <w:tcBorders>
              <w:top w:val="nil"/>
              <w:left w:val="nil"/>
              <w:bottom w:val="nil"/>
              <w:right w:val="nil"/>
            </w:tcBorders>
            <w:shd w:val="clear" w:color="auto" w:fill="auto"/>
            <w:noWrap/>
            <w:vAlign w:val="center"/>
            <w:hideMark/>
          </w:tcPr>
          <w:p w14:paraId="5FEF15DD"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DE"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DF"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5F1"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E1"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E2"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E3"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E4"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E5"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E6"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E7"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E8"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E9"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VII</w:t>
            </w:r>
          </w:p>
        </w:tc>
        <w:tc>
          <w:tcPr>
            <w:tcW w:w="661" w:type="dxa"/>
            <w:tcBorders>
              <w:top w:val="nil"/>
              <w:left w:val="nil"/>
              <w:bottom w:val="single" w:sz="4" w:space="0" w:color="auto"/>
              <w:right w:val="single" w:sz="4" w:space="0" w:color="auto"/>
            </w:tcBorders>
            <w:shd w:val="clear" w:color="000000" w:fill="70AD47"/>
            <w:noWrap/>
            <w:vAlign w:val="center"/>
            <w:hideMark/>
          </w:tcPr>
          <w:p w14:paraId="5FEF15EA"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51,185,500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EB"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EC"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51,185,500</w:t>
            </w:r>
          </w:p>
        </w:tc>
        <w:tc>
          <w:tcPr>
            <w:tcW w:w="528" w:type="dxa"/>
            <w:tcBorders>
              <w:top w:val="nil"/>
              <w:left w:val="nil"/>
              <w:bottom w:val="nil"/>
              <w:right w:val="nil"/>
            </w:tcBorders>
            <w:shd w:val="clear" w:color="auto" w:fill="auto"/>
            <w:noWrap/>
            <w:vAlign w:val="center"/>
            <w:hideMark/>
          </w:tcPr>
          <w:p w14:paraId="5FEF15ED"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w:t>
            </w:r>
          </w:p>
        </w:tc>
        <w:tc>
          <w:tcPr>
            <w:tcW w:w="408" w:type="dxa"/>
            <w:tcBorders>
              <w:top w:val="nil"/>
              <w:left w:val="nil"/>
              <w:bottom w:val="nil"/>
              <w:right w:val="nil"/>
            </w:tcBorders>
            <w:shd w:val="clear" w:color="auto" w:fill="auto"/>
            <w:noWrap/>
            <w:vAlign w:val="center"/>
            <w:hideMark/>
          </w:tcPr>
          <w:p w14:paraId="5FEF15EE"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5EF"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5F0"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02"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5F2"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5F3"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5F4"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5F5"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5F6"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F7"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F8"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5F9"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5FA"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VIII</w:t>
            </w:r>
          </w:p>
        </w:tc>
        <w:tc>
          <w:tcPr>
            <w:tcW w:w="661" w:type="dxa"/>
            <w:tcBorders>
              <w:top w:val="nil"/>
              <w:left w:val="nil"/>
              <w:bottom w:val="single" w:sz="4" w:space="0" w:color="auto"/>
              <w:right w:val="single" w:sz="4" w:space="0" w:color="auto"/>
            </w:tcBorders>
            <w:shd w:val="clear" w:color="000000" w:fill="70AD47"/>
            <w:noWrap/>
            <w:vAlign w:val="center"/>
            <w:hideMark/>
          </w:tcPr>
          <w:p w14:paraId="5FEF15FB"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12,780,000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5FC"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5FD"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12,780,000</w:t>
            </w:r>
          </w:p>
        </w:tc>
        <w:tc>
          <w:tcPr>
            <w:tcW w:w="528" w:type="dxa"/>
            <w:tcBorders>
              <w:top w:val="nil"/>
              <w:left w:val="nil"/>
              <w:bottom w:val="nil"/>
              <w:right w:val="nil"/>
            </w:tcBorders>
            <w:shd w:val="clear" w:color="auto" w:fill="auto"/>
            <w:noWrap/>
            <w:vAlign w:val="center"/>
            <w:hideMark/>
          </w:tcPr>
          <w:p w14:paraId="5FEF15FE"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w:t>
            </w:r>
          </w:p>
        </w:tc>
        <w:tc>
          <w:tcPr>
            <w:tcW w:w="408" w:type="dxa"/>
            <w:tcBorders>
              <w:top w:val="nil"/>
              <w:left w:val="nil"/>
              <w:bottom w:val="nil"/>
              <w:right w:val="nil"/>
            </w:tcBorders>
            <w:shd w:val="clear" w:color="auto" w:fill="auto"/>
            <w:noWrap/>
            <w:vAlign w:val="center"/>
            <w:hideMark/>
          </w:tcPr>
          <w:p w14:paraId="5FEF15FF"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00"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01"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13"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03"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04"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05"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06"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07"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08"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09"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0A"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60B"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IX</w:t>
            </w:r>
          </w:p>
        </w:tc>
        <w:tc>
          <w:tcPr>
            <w:tcW w:w="661" w:type="dxa"/>
            <w:tcBorders>
              <w:top w:val="nil"/>
              <w:left w:val="nil"/>
              <w:bottom w:val="single" w:sz="4" w:space="0" w:color="auto"/>
              <w:right w:val="single" w:sz="4" w:space="0" w:color="auto"/>
            </w:tcBorders>
            <w:shd w:val="clear" w:color="000000" w:fill="70AD47"/>
            <w:noWrap/>
            <w:vAlign w:val="center"/>
            <w:hideMark/>
          </w:tcPr>
          <w:p w14:paraId="5FEF160C"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10,500,000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60D"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60E"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10,500,000</w:t>
            </w:r>
          </w:p>
        </w:tc>
        <w:tc>
          <w:tcPr>
            <w:tcW w:w="528" w:type="dxa"/>
            <w:tcBorders>
              <w:top w:val="nil"/>
              <w:left w:val="nil"/>
              <w:bottom w:val="nil"/>
              <w:right w:val="nil"/>
            </w:tcBorders>
            <w:shd w:val="clear" w:color="auto" w:fill="auto"/>
            <w:noWrap/>
            <w:vAlign w:val="center"/>
            <w:hideMark/>
          </w:tcPr>
          <w:p w14:paraId="5FEF160F"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nil"/>
              <w:right w:val="nil"/>
            </w:tcBorders>
            <w:shd w:val="clear" w:color="auto" w:fill="auto"/>
            <w:noWrap/>
            <w:vAlign w:val="center"/>
            <w:hideMark/>
          </w:tcPr>
          <w:p w14:paraId="5FEF1610"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11"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12"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24"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14"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15"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16"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17"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18"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19"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1A"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1B"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61C"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X</w:t>
            </w:r>
          </w:p>
        </w:tc>
        <w:tc>
          <w:tcPr>
            <w:tcW w:w="661" w:type="dxa"/>
            <w:tcBorders>
              <w:top w:val="nil"/>
              <w:left w:val="nil"/>
              <w:bottom w:val="single" w:sz="4" w:space="0" w:color="auto"/>
              <w:right w:val="single" w:sz="4" w:space="0" w:color="auto"/>
            </w:tcBorders>
            <w:shd w:val="clear" w:color="000000" w:fill="70AD47"/>
            <w:noWrap/>
            <w:vAlign w:val="center"/>
            <w:hideMark/>
          </w:tcPr>
          <w:p w14:paraId="5FEF161D"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2,700,000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61E"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61F"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2,700,000</w:t>
            </w:r>
          </w:p>
        </w:tc>
        <w:tc>
          <w:tcPr>
            <w:tcW w:w="528" w:type="dxa"/>
            <w:tcBorders>
              <w:top w:val="nil"/>
              <w:left w:val="nil"/>
              <w:bottom w:val="nil"/>
              <w:right w:val="nil"/>
            </w:tcBorders>
            <w:shd w:val="clear" w:color="auto" w:fill="auto"/>
            <w:noWrap/>
            <w:vAlign w:val="center"/>
            <w:hideMark/>
          </w:tcPr>
          <w:p w14:paraId="5FEF1620"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nil"/>
              <w:right w:val="nil"/>
            </w:tcBorders>
            <w:shd w:val="clear" w:color="auto" w:fill="auto"/>
            <w:noWrap/>
            <w:vAlign w:val="center"/>
            <w:hideMark/>
          </w:tcPr>
          <w:p w14:paraId="5FEF1621"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22"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23"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35"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25"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26"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27"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28"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29"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2A"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2B"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2C"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62D"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XI</w:t>
            </w:r>
          </w:p>
        </w:tc>
        <w:tc>
          <w:tcPr>
            <w:tcW w:w="661" w:type="dxa"/>
            <w:tcBorders>
              <w:top w:val="nil"/>
              <w:left w:val="nil"/>
              <w:bottom w:val="single" w:sz="4" w:space="0" w:color="auto"/>
              <w:right w:val="single" w:sz="4" w:space="0" w:color="auto"/>
            </w:tcBorders>
            <w:shd w:val="clear" w:color="000000" w:fill="70AD47"/>
            <w:noWrap/>
            <w:vAlign w:val="center"/>
            <w:hideMark/>
          </w:tcPr>
          <w:p w14:paraId="5FEF162E"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13,932,000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62F"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630"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13,932,000</w:t>
            </w:r>
          </w:p>
        </w:tc>
        <w:tc>
          <w:tcPr>
            <w:tcW w:w="528" w:type="dxa"/>
            <w:tcBorders>
              <w:top w:val="nil"/>
              <w:left w:val="nil"/>
              <w:bottom w:val="nil"/>
              <w:right w:val="nil"/>
            </w:tcBorders>
            <w:shd w:val="clear" w:color="auto" w:fill="auto"/>
            <w:noWrap/>
            <w:vAlign w:val="center"/>
            <w:hideMark/>
          </w:tcPr>
          <w:p w14:paraId="5FEF1631"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w:t>
            </w:r>
          </w:p>
        </w:tc>
        <w:tc>
          <w:tcPr>
            <w:tcW w:w="408" w:type="dxa"/>
            <w:tcBorders>
              <w:top w:val="nil"/>
              <w:left w:val="nil"/>
              <w:bottom w:val="nil"/>
              <w:right w:val="nil"/>
            </w:tcBorders>
            <w:shd w:val="clear" w:color="auto" w:fill="auto"/>
            <w:noWrap/>
            <w:vAlign w:val="center"/>
            <w:hideMark/>
          </w:tcPr>
          <w:p w14:paraId="5FEF1632"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33"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34"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46"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36"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37"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38"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39"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3A"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3B"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3C"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3D"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63E" w14:textId="5C9317BD"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w:t>
            </w:r>
            <w:r w:rsidR="007C064A" w:rsidRPr="00795698">
              <w:rPr>
                <w:rFonts w:ascii="Arial" w:hAnsi="Arial" w:cs="Arial"/>
                <w:color w:val="FFFFFF"/>
                <w:sz w:val="8"/>
                <w:szCs w:val="8"/>
                <w:lang w:eastAsia="sq-AL"/>
              </w:rPr>
              <w:t xml:space="preserve"> </w:t>
            </w:r>
            <w:r w:rsidRPr="00795698">
              <w:rPr>
                <w:rFonts w:ascii="Arial" w:hAnsi="Arial" w:cs="Arial"/>
                <w:color w:val="FFFFFF"/>
                <w:sz w:val="8"/>
                <w:szCs w:val="8"/>
                <w:lang w:eastAsia="sq-AL"/>
              </w:rPr>
              <w:t>XII</w:t>
            </w:r>
          </w:p>
        </w:tc>
        <w:tc>
          <w:tcPr>
            <w:tcW w:w="661" w:type="dxa"/>
            <w:tcBorders>
              <w:top w:val="nil"/>
              <w:left w:val="nil"/>
              <w:bottom w:val="single" w:sz="4" w:space="0" w:color="auto"/>
              <w:right w:val="single" w:sz="4" w:space="0" w:color="auto"/>
            </w:tcBorders>
            <w:shd w:val="clear" w:color="000000" w:fill="70AD47"/>
            <w:noWrap/>
            <w:vAlign w:val="center"/>
            <w:hideMark/>
          </w:tcPr>
          <w:p w14:paraId="5FEF163F"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6,598,000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640"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641"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6,598,000</w:t>
            </w:r>
          </w:p>
        </w:tc>
        <w:tc>
          <w:tcPr>
            <w:tcW w:w="528" w:type="dxa"/>
            <w:tcBorders>
              <w:top w:val="nil"/>
              <w:left w:val="nil"/>
              <w:bottom w:val="nil"/>
              <w:right w:val="nil"/>
            </w:tcBorders>
            <w:shd w:val="clear" w:color="auto" w:fill="auto"/>
            <w:noWrap/>
            <w:vAlign w:val="center"/>
            <w:hideMark/>
          </w:tcPr>
          <w:p w14:paraId="5FEF1642"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0</w:t>
            </w:r>
          </w:p>
        </w:tc>
        <w:tc>
          <w:tcPr>
            <w:tcW w:w="408" w:type="dxa"/>
            <w:tcBorders>
              <w:top w:val="nil"/>
              <w:left w:val="nil"/>
              <w:bottom w:val="nil"/>
              <w:right w:val="nil"/>
            </w:tcBorders>
            <w:shd w:val="clear" w:color="auto" w:fill="auto"/>
            <w:noWrap/>
            <w:vAlign w:val="center"/>
            <w:hideMark/>
          </w:tcPr>
          <w:p w14:paraId="5FEF1643"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44"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45"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57"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47"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48"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49"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4A"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4B"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4C"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4D"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4E"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70AD47"/>
            <w:noWrap/>
            <w:vAlign w:val="center"/>
            <w:hideMark/>
          </w:tcPr>
          <w:p w14:paraId="5FEF164F"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Qëllimi i Politikës XIII</w:t>
            </w:r>
          </w:p>
        </w:tc>
        <w:tc>
          <w:tcPr>
            <w:tcW w:w="661" w:type="dxa"/>
            <w:tcBorders>
              <w:top w:val="nil"/>
              <w:left w:val="nil"/>
              <w:bottom w:val="single" w:sz="4" w:space="0" w:color="auto"/>
              <w:right w:val="single" w:sz="4" w:space="0" w:color="auto"/>
            </w:tcBorders>
            <w:shd w:val="clear" w:color="000000" w:fill="70AD47"/>
            <w:noWrap/>
            <w:vAlign w:val="center"/>
            <w:hideMark/>
          </w:tcPr>
          <w:p w14:paraId="5FEF1650"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16,092,000</w:t>
            </w:r>
          </w:p>
        </w:tc>
        <w:tc>
          <w:tcPr>
            <w:tcW w:w="728" w:type="dxa"/>
            <w:tcBorders>
              <w:top w:val="nil"/>
              <w:left w:val="nil"/>
              <w:bottom w:val="single" w:sz="4" w:space="0" w:color="auto"/>
              <w:right w:val="single" w:sz="4" w:space="0" w:color="auto"/>
            </w:tcBorders>
            <w:shd w:val="clear" w:color="000000" w:fill="70AD47"/>
            <w:noWrap/>
            <w:vAlign w:val="center"/>
            <w:hideMark/>
          </w:tcPr>
          <w:p w14:paraId="5FEF1651"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single" w:sz="4" w:space="0" w:color="auto"/>
              <w:right w:val="single" w:sz="4" w:space="0" w:color="auto"/>
            </w:tcBorders>
            <w:shd w:val="clear" w:color="000000" w:fill="70AD47"/>
            <w:noWrap/>
            <w:vAlign w:val="center"/>
            <w:hideMark/>
          </w:tcPr>
          <w:p w14:paraId="5FEF1652"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16,092,000</w:t>
            </w:r>
          </w:p>
        </w:tc>
        <w:tc>
          <w:tcPr>
            <w:tcW w:w="528" w:type="dxa"/>
            <w:tcBorders>
              <w:top w:val="nil"/>
              <w:left w:val="nil"/>
              <w:bottom w:val="nil"/>
              <w:right w:val="nil"/>
            </w:tcBorders>
            <w:shd w:val="clear" w:color="auto" w:fill="auto"/>
            <w:noWrap/>
            <w:vAlign w:val="center"/>
            <w:hideMark/>
          </w:tcPr>
          <w:p w14:paraId="5FEF1653"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1</w:t>
            </w:r>
          </w:p>
        </w:tc>
        <w:tc>
          <w:tcPr>
            <w:tcW w:w="408" w:type="dxa"/>
            <w:tcBorders>
              <w:top w:val="nil"/>
              <w:left w:val="nil"/>
              <w:bottom w:val="nil"/>
              <w:right w:val="nil"/>
            </w:tcBorders>
            <w:shd w:val="clear" w:color="auto" w:fill="auto"/>
            <w:noWrap/>
            <w:vAlign w:val="center"/>
            <w:hideMark/>
          </w:tcPr>
          <w:p w14:paraId="5FEF1654"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55"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56"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68"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58"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59"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5A"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5B"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5C"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5D"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5E"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5F"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60" w14:textId="77777777" w:rsidR="00E2233D" w:rsidRPr="00795698" w:rsidRDefault="00E2233D" w:rsidP="00E2233D">
            <w:pPr>
              <w:jc w:val="center"/>
              <w:rPr>
                <w:rFonts w:ascii="Arial" w:hAnsi="Arial" w:cs="Arial"/>
                <w:color w:val="000000"/>
                <w:sz w:val="8"/>
                <w:szCs w:val="8"/>
                <w:lang w:eastAsia="sq-AL"/>
              </w:rPr>
            </w:pPr>
          </w:p>
        </w:tc>
        <w:tc>
          <w:tcPr>
            <w:tcW w:w="661" w:type="dxa"/>
            <w:tcBorders>
              <w:top w:val="nil"/>
              <w:left w:val="nil"/>
              <w:bottom w:val="nil"/>
              <w:right w:val="nil"/>
            </w:tcBorders>
            <w:shd w:val="clear" w:color="auto" w:fill="auto"/>
            <w:noWrap/>
            <w:vAlign w:val="center"/>
            <w:hideMark/>
          </w:tcPr>
          <w:p w14:paraId="5FEF1661"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62"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63" w14:textId="77777777" w:rsidR="00E2233D" w:rsidRPr="00795698" w:rsidRDefault="00E2233D" w:rsidP="00E2233D">
            <w:pPr>
              <w:jc w:val="center"/>
              <w:rPr>
                <w:rFonts w:ascii="Arial" w:hAnsi="Arial" w:cs="Arial"/>
                <w:color w:val="000000"/>
                <w:sz w:val="8"/>
                <w:szCs w:val="8"/>
                <w:lang w:eastAsia="sq-AL"/>
              </w:rPr>
            </w:pPr>
          </w:p>
        </w:tc>
        <w:tc>
          <w:tcPr>
            <w:tcW w:w="528" w:type="dxa"/>
            <w:tcBorders>
              <w:top w:val="nil"/>
              <w:left w:val="nil"/>
              <w:bottom w:val="nil"/>
              <w:right w:val="nil"/>
            </w:tcBorders>
            <w:shd w:val="clear" w:color="auto" w:fill="auto"/>
            <w:noWrap/>
            <w:vAlign w:val="center"/>
            <w:hideMark/>
          </w:tcPr>
          <w:p w14:paraId="5FEF1664"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665"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66"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67"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79"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69"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6A"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6B"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6C"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6D" w14:textId="77777777" w:rsidR="00E2233D" w:rsidRPr="00795698" w:rsidRDefault="00E2233D" w:rsidP="00E2233D">
            <w:pPr>
              <w:rPr>
                <w:rFonts w:ascii="Arial" w:hAnsi="Arial" w:cs="Arial"/>
                <w:color w:val="000000"/>
                <w:sz w:val="8"/>
                <w:szCs w:val="8"/>
                <w:lang w:eastAsia="sq-AL"/>
              </w:rPr>
            </w:pPr>
          </w:p>
        </w:tc>
        <w:tc>
          <w:tcPr>
            <w:tcW w:w="72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FEF166E"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 xml:space="preserve">Kosto Korente </w:t>
            </w:r>
          </w:p>
        </w:tc>
        <w:tc>
          <w:tcPr>
            <w:tcW w:w="728" w:type="dxa"/>
            <w:tcBorders>
              <w:top w:val="single" w:sz="4" w:space="0" w:color="auto"/>
              <w:left w:val="nil"/>
              <w:bottom w:val="single" w:sz="4" w:space="0" w:color="auto"/>
              <w:right w:val="single" w:sz="4" w:space="0" w:color="auto"/>
            </w:tcBorders>
            <w:shd w:val="clear" w:color="000000" w:fill="ED7D31"/>
            <w:noWrap/>
            <w:vAlign w:val="center"/>
            <w:hideMark/>
          </w:tcPr>
          <w:p w14:paraId="5FEF166F"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2,326,949,515</w:t>
            </w:r>
          </w:p>
        </w:tc>
        <w:tc>
          <w:tcPr>
            <w:tcW w:w="728" w:type="dxa"/>
            <w:tcBorders>
              <w:top w:val="nil"/>
              <w:left w:val="nil"/>
              <w:bottom w:val="nil"/>
              <w:right w:val="nil"/>
            </w:tcBorders>
            <w:shd w:val="clear" w:color="auto" w:fill="auto"/>
            <w:noWrap/>
            <w:vAlign w:val="center"/>
            <w:hideMark/>
          </w:tcPr>
          <w:p w14:paraId="5FEF1670"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71" w14:textId="77777777" w:rsidR="00E2233D" w:rsidRPr="00795698" w:rsidRDefault="00E2233D" w:rsidP="00E2233D">
            <w:pPr>
              <w:jc w:val="center"/>
              <w:rPr>
                <w:rFonts w:ascii="Arial" w:hAnsi="Arial" w:cs="Arial"/>
                <w:color w:val="000000"/>
                <w:sz w:val="8"/>
                <w:szCs w:val="8"/>
                <w:lang w:eastAsia="sq-AL"/>
              </w:rPr>
            </w:pPr>
          </w:p>
        </w:tc>
        <w:tc>
          <w:tcPr>
            <w:tcW w:w="661" w:type="dxa"/>
            <w:tcBorders>
              <w:top w:val="nil"/>
              <w:left w:val="nil"/>
              <w:bottom w:val="nil"/>
              <w:right w:val="nil"/>
            </w:tcBorders>
            <w:shd w:val="clear" w:color="auto" w:fill="auto"/>
            <w:noWrap/>
            <w:vAlign w:val="center"/>
            <w:hideMark/>
          </w:tcPr>
          <w:p w14:paraId="5FEF1672"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73"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74" w14:textId="77777777" w:rsidR="00E2233D" w:rsidRPr="00795698" w:rsidRDefault="00E2233D" w:rsidP="00E2233D">
            <w:pPr>
              <w:jc w:val="center"/>
              <w:rPr>
                <w:rFonts w:ascii="Arial" w:hAnsi="Arial" w:cs="Arial"/>
                <w:color w:val="000000"/>
                <w:sz w:val="8"/>
                <w:szCs w:val="8"/>
                <w:lang w:eastAsia="sq-AL"/>
              </w:rPr>
            </w:pPr>
            <w:r w:rsidRPr="00795698">
              <w:rPr>
                <w:rFonts w:ascii="Arial" w:hAnsi="Arial" w:cs="Arial"/>
                <w:color w:val="000000"/>
                <w:sz w:val="8"/>
                <w:szCs w:val="8"/>
                <w:lang w:eastAsia="sq-AL"/>
              </w:rPr>
              <w:t>2,326,949,515</w:t>
            </w:r>
          </w:p>
        </w:tc>
        <w:tc>
          <w:tcPr>
            <w:tcW w:w="528" w:type="dxa"/>
            <w:tcBorders>
              <w:top w:val="nil"/>
              <w:left w:val="nil"/>
              <w:bottom w:val="nil"/>
              <w:right w:val="nil"/>
            </w:tcBorders>
            <w:shd w:val="clear" w:color="auto" w:fill="auto"/>
            <w:noWrap/>
            <w:vAlign w:val="center"/>
            <w:hideMark/>
          </w:tcPr>
          <w:p w14:paraId="5FEF1675"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676"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77"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78"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8A"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7A"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7B"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7C"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7D"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7E"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ED7D31"/>
            <w:noWrap/>
            <w:vAlign w:val="center"/>
            <w:hideMark/>
          </w:tcPr>
          <w:p w14:paraId="5FEF167F"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Kosto kapitale</w:t>
            </w:r>
          </w:p>
        </w:tc>
        <w:tc>
          <w:tcPr>
            <w:tcW w:w="728" w:type="dxa"/>
            <w:tcBorders>
              <w:top w:val="nil"/>
              <w:left w:val="nil"/>
              <w:bottom w:val="single" w:sz="4" w:space="0" w:color="auto"/>
              <w:right w:val="single" w:sz="4" w:space="0" w:color="auto"/>
            </w:tcBorders>
            <w:shd w:val="clear" w:color="000000" w:fill="ED7D31"/>
            <w:noWrap/>
            <w:vAlign w:val="center"/>
            <w:hideMark/>
          </w:tcPr>
          <w:p w14:paraId="5FEF1680"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0</w:t>
            </w:r>
          </w:p>
        </w:tc>
        <w:tc>
          <w:tcPr>
            <w:tcW w:w="728" w:type="dxa"/>
            <w:tcBorders>
              <w:top w:val="nil"/>
              <w:left w:val="nil"/>
              <w:bottom w:val="nil"/>
              <w:right w:val="nil"/>
            </w:tcBorders>
            <w:shd w:val="clear" w:color="auto" w:fill="auto"/>
            <w:noWrap/>
            <w:vAlign w:val="center"/>
            <w:hideMark/>
          </w:tcPr>
          <w:p w14:paraId="5FEF1681"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82" w14:textId="77777777" w:rsidR="00E2233D" w:rsidRPr="00795698" w:rsidRDefault="00E2233D" w:rsidP="00E2233D">
            <w:pPr>
              <w:jc w:val="center"/>
              <w:rPr>
                <w:rFonts w:ascii="Arial" w:hAnsi="Arial" w:cs="Arial"/>
                <w:color w:val="000000"/>
                <w:sz w:val="8"/>
                <w:szCs w:val="8"/>
                <w:lang w:eastAsia="sq-AL"/>
              </w:rPr>
            </w:pPr>
          </w:p>
        </w:tc>
        <w:tc>
          <w:tcPr>
            <w:tcW w:w="661" w:type="dxa"/>
            <w:tcBorders>
              <w:top w:val="nil"/>
              <w:left w:val="nil"/>
              <w:bottom w:val="nil"/>
              <w:right w:val="nil"/>
            </w:tcBorders>
            <w:shd w:val="clear" w:color="auto" w:fill="auto"/>
            <w:noWrap/>
            <w:vAlign w:val="center"/>
            <w:hideMark/>
          </w:tcPr>
          <w:p w14:paraId="5FEF1683"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84"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85" w14:textId="77777777" w:rsidR="00E2233D" w:rsidRPr="00795698" w:rsidRDefault="00E2233D" w:rsidP="00E2233D">
            <w:pPr>
              <w:jc w:val="center"/>
              <w:rPr>
                <w:rFonts w:ascii="Arial" w:hAnsi="Arial" w:cs="Arial"/>
                <w:color w:val="000000"/>
                <w:sz w:val="8"/>
                <w:szCs w:val="8"/>
                <w:lang w:eastAsia="sq-AL"/>
              </w:rPr>
            </w:pPr>
          </w:p>
        </w:tc>
        <w:tc>
          <w:tcPr>
            <w:tcW w:w="528" w:type="dxa"/>
            <w:tcBorders>
              <w:top w:val="nil"/>
              <w:left w:val="nil"/>
              <w:bottom w:val="nil"/>
              <w:right w:val="nil"/>
            </w:tcBorders>
            <w:shd w:val="clear" w:color="auto" w:fill="auto"/>
            <w:noWrap/>
            <w:vAlign w:val="center"/>
            <w:hideMark/>
          </w:tcPr>
          <w:p w14:paraId="5FEF1686"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687"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88"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89" w14:textId="77777777" w:rsidR="00E2233D" w:rsidRPr="00795698" w:rsidRDefault="00E2233D" w:rsidP="00E2233D">
            <w:pPr>
              <w:jc w:val="center"/>
              <w:rPr>
                <w:rFonts w:ascii="Arial" w:hAnsi="Arial" w:cs="Arial"/>
                <w:color w:val="000000"/>
                <w:sz w:val="8"/>
                <w:szCs w:val="8"/>
                <w:lang w:eastAsia="sq-AL"/>
              </w:rPr>
            </w:pPr>
          </w:p>
        </w:tc>
      </w:tr>
      <w:tr w:rsidR="00E2233D" w:rsidRPr="00795698" w14:paraId="5FEF169B" w14:textId="77777777" w:rsidTr="00E2233D">
        <w:trPr>
          <w:trHeight w:val="180"/>
          <w:jc w:val="center"/>
        </w:trPr>
        <w:tc>
          <w:tcPr>
            <w:tcW w:w="1622" w:type="dxa"/>
            <w:tcBorders>
              <w:top w:val="nil"/>
              <w:left w:val="nil"/>
              <w:bottom w:val="nil"/>
              <w:right w:val="nil"/>
            </w:tcBorders>
            <w:shd w:val="clear" w:color="auto" w:fill="auto"/>
            <w:noWrap/>
            <w:vAlign w:val="bottom"/>
            <w:hideMark/>
          </w:tcPr>
          <w:p w14:paraId="5FEF168B" w14:textId="77777777" w:rsidR="00E2233D" w:rsidRPr="00795698" w:rsidRDefault="00E2233D" w:rsidP="00E2233D">
            <w:pPr>
              <w:rPr>
                <w:rFonts w:ascii="Arial" w:hAnsi="Arial" w:cs="Arial"/>
                <w:color w:val="000000"/>
                <w:sz w:val="8"/>
                <w:szCs w:val="8"/>
                <w:lang w:eastAsia="sq-AL"/>
              </w:rPr>
            </w:pPr>
          </w:p>
        </w:tc>
        <w:tc>
          <w:tcPr>
            <w:tcW w:w="981" w:type="dxa"/>
            <w:tcBorders>
              <w:top w:val="nil"/>
              <w:left w:val="nil"/>
              <w:bottom w:val="nil"/>
              <w:right w:val="nil"/>
            </w:tcBorders>
            <w:shd w:val="clear" w:color="auto" w:fill="auto"/>
            <w:noWrap/>
            <w:vAlign w:val="bottom"/>
            <w:hideMark/>
          </w:tcPr>
          <w:p w14:paraId="5FEF168C" w14:textId="77777777" w:rsidR="00E2233D" w:rsidRPr="00795698" w:rsidRDefault="00E2233D" w:rsidP="00E2233D">
            <w:pPr>
              <w:rPr>
                <w:rFonts w:ascii="Arial" w:hAnsi="Arial" w:cs="Arial"/>
                <w:color w:val="000000"/>
                <w:sz w:val="8"/>
                <w:szCs w:val="8"/>
                <w:lang w:eastAsia="sq-AL"/>
              </w:rPr>
            </w:pPr>
          </w:p>
        </w:tc>
        <w:tc>
          <w:tcPr>
            <w:tcW w:w="2412" w:type="dxa"/>
            <w:tcBorders>
              <w:top w:val="nil"/>
              <w:left w:val="nil"/>
              <w:bottom w:val="nil"/>
              <w:right w:val="nil"/>
            </w:tcBorders>
            <w:shd w:val="clear" w:color="auto" w:fill="auto"/>
            <w:noWrap/>
            <w:vAlign w:val="bottom"/>
            <w:hideMark/>
          </w:tcPr>
          <w:p w14:paraId="5FEF168D" w14:textId="77777777" w:rsidR="00E2233D" w:rsidRPr="00795698" w:rsidRDefault="00E2233D" w:rsidP="00E2233D">
            <w:pPr>
              <w:rPr>
                <w:rFonts w:ascii="Arial" w:hAnsi="Arial" w:cs="Arial"/>
                <w:color w:val="000000"/>
                <w:sz w:val="8"/>
                <w:szCs w:val="8"/>
                <w:lang w:eastAsia="sq-AL"/>
              </w:rPr>
            </w:pPr>
          </w:p>
        </w:tc>
        <w:tc>
          <w:tcPr>
            <w:tcW w:w="452" w:type="dxa"/>
            <w:tcBorders>
              <w:top w:val="nil"/>
              <w:left w:val="nil"/>
              <w:bottom w:val="nil"/>
              <w:right w:val="nil"/>
            </w:tcBorders>
            <w:shd w:val="clear" w:color="auto" w:fill="auto"/>
            <w:noWrap/>
            <w:vAlign w:val="bottom"/>
            <w:hideMark/>
          </w:tcPr>
          <w:p w14:paraId="5FEF168E" w14:textId="77777777" w:rsidR="00E2233D" w:rsidRPr="00795698" w:rsidRDefault="00E2233D" w:rsidP="00E2233D">
            <w:pP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bottom"/>
            <w:hideMark/>
          </w:tcPr>
          <w:p w14:paraId="5FEF168F" w14:textId="77777777" w:rsidR="00E2233D" w:rsidRPr="00795698" w:rsidRDefault="00E2233D" w:rsidP="00E2233D">
            <w:pPr>
              <w:rPr>
                <w:rFonts w:ascii="Arial" w:hAnsi="Arial" w:cs="Arial"/>
                <w:color w:val="000000"/>
                <w:sz w:val="8"/>
                <w:szCs w:val="8"/>
                <w:lang w:eastAsia="sq-AL"/>
              </w:rPr>
            </w:pPr>
          </w:p>
        </w:tc>
        <w:tc>
          <w:tcPr>
            <w:tcW w:w="728" w:type="dxa"/>
            <w:tcBorders>
              <w:top w:val="nil"/>
              <w:left w:val="single" w:sz="4" w:space="0" w:color="auto"/>
              <w:bottom w:val="single" w:sz="4" w:space="0" w:color="auto"/>
              <w:right w:val="single" w:sz="4" w:space="0" w:color="auto"/>
            </w:tcBorders>
            <w:shd w:val="clear" w:color="000000" w:fill="ED7D31"/>
            <w:noWrap/>
            <w:vAlign w:val="center"/>
            <w:hideMark/>
          </w:tcPr>
          <w:p w14:paraId="5FEF1690"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Total kosto</w:t>
            </w:r>
          </w:p>
        </w:tc>
        <w:tc>
          <w:tcPr>
            <w:tcW w:w="728" w:type="dxa"/>
            <w:tcBorders>
              <w:top w:val="nil"/>
              <w:left w:val="nil"/>
              <w:bottom w:val="single" w:sz="4" w:space="0" w:color="auto"/>
              <w:right w:val="single" w:sz="4" w:space="0" w:color="auto"/>
            </w:tcBorders>
            <w:shd w:val="clear" w:color="000000" w:fill="ED7D31"/>
            <w:noWrap/>
            <w:vAlign w:val="center"/>
            <w:hideMark/>
          </w:tcPr>
          <w:p w14:paraId="5FEF1691" w14:textId="77777777" w:rsidR="00E2233D" w:rsidRPr="00795698" w:rsidRDefault="00E2233D" w:rsidP="00E2233D">
            <w:pPr>
              <w:jc w:val="center"/>
              <w:rPr>
                <w:rFonts w:ascii="Arial" w:hAnsi="Arial" w:cs="Arial"/>
                <w:color w:val="FFFFFF"/>
                <w:sz w:val="8"/>
                <w:szCs w:val="8"/>
                <w:lang w:eastAsia="sq-AL"/>
              </w:rPr>
            </w:pPr>
            <w:r w:rsidRPr="00795698">
              <w:rPr>
                <w:rFonts w:ascii="Arial" w:hAnsi="Arial" w:cs="Arial"/>
                <w:color w:val="FFFFFF"/>
                <w:sz w:val="8"/>
                <w:szCs w:val="8"/>
                <w:lang w:eastAsia="sq-AL"/>
              </w:rPr>
              <w:t>2,326,949,515</w:t>
            </w:r>
          </w:p>
        </w:tc>
        <w:tc>
          <w:tcPr>
            <w:tcW w:w="728" w:type="dxa"/>
            <w:tcBorders>
              <w:top w:val="nil"/>
              <w:left w:val="nil"/>
              <w:bottom w:val="nil"/>
              <w:right w:val="nil"/>
            </w:tcBorders>
            <w:shd w:val="clear" w:color="auto" w:fill="auto"/>
            <w:noWrap/>
            <w:vAlign w:val="center"/>
            <w:hideMark/>
          </w:tcPr>
          <w:p w14:paraId="5FEF1692"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93" w14:textId="77777777" w:rsidR="00E2233D" w:rsidRPr="00795698" w:rsidRDefault="00E2233D" w:rsidP="00E2233D">
            <w:pPr>
              <w:jc w:val="center"/>
              <w:rPr>
                <w:rFonts w:ascii="Arial" w:hAnsi="Arial" w:cs="Arial"/>
                <w:color w:val="000000"/>
                <w:sz w:val="8"/>
                <w:szCs w:val="8"/>
                <w:lang w:eastAsia="sq-AL"/>
              </w:rPr>
            </w:pPr>
          </w:p>
        </w:tc>
        <w:tc>
          <w:tcPr>
            <w:tcW w:w="661" w:type="dxa"/>
            <w:tcBorders>
              <w:top w:val="nil"/>
              <w:left w:val="nil"/>
              <w:bottom w:val="nil"/>
              <w:right w:val="nil"/>
            </w:tcBorders>
            <w:shd w:val="clear" w:color="auto" w:fill="auto"/>
            <w:noWrap/>
            <w:vAlign w:val="center"/>
            <w:hideMark/>
          </w:tcPr>
          <w:p w14:paraId="5FEF1694"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95" w14:textId="77777777" w:rsidR="00E2233D" w:rsidRPr="00795698" w:rsidRDefault="00E2233D" w:rsidP="00E2233D">
            <w:pPr>
              <w:jc w:val="center"/>
              <w:rPr>
                <w:rFonts w:ascii="Arial" w:hAnsi="Arial" w:cs="Arial"/>
                <w:color w:val="000000"/>
                <w:sz w:val="8"/>
                <w:szCs w:val="8"/>
                <w:lang w:eastAsia="sq-AL"/>
              </w:rPr>
            </w:pPr>
          </w:p>
        </w:tc>
        <w:tc>
          <w:tcPr>
            <w:tcW w:w="728" w:type="dxa"/>
            <w:tcBorders>
              <w:top w:val="nil"/>
              <w:left w:val="nil"/>
              <w:bottom w:val="nil"/>
              <w:right w:val="nil"/>
            </w:tcBorders>
            <w:shd w:val="clear" w:color="auto" w:fill="auto"/>
            <w:noWrap/>
            <w:vAlign w:val="center"/>
            <w:hideMark/>
          </w:tcPr>
          <w:p w14:paraId="5FEF1696" w14:textId="77777777" w:rsidR="00E2233D" w:rsidRPr="00795698" w:rsidRDefault="00E2233D" w:rsidP="00E2233D">
            <w:pPr>
              <w:jc w:val="center"/>
              <w:rPr>
                <w:rFonts w:ascii="Arial" w:hAnsi="Arial" w:cs="Arial"/>
                <w:color w:val="000000"/>
                <w:sz w:val="8"/>
                <w:szCs w:val="8"/>
                <w:lang w:eastAsia="sq-AL"/>
              </w:rPr>
            </w:pPr>
          </w:p>
        </w:tc>
        <w:tc>
          <w:tcPr>
            <w:tcW w:w="528" w:type="dxa"/>
            <w:tcBorders>
              <w:top w:val="nil"/>
              <w:left w:val="nil"/>
              <w:bottom w:val="nil"/>
              <w:right w:val="nil"/>
            </w:tcBorders>
            <w:shd w:val="clear" w:color="auto" w:fill="auto"/>
            <w:noWrap/>
            <w:vAlign w:val="center"/>
            <w:hideMark/>
          </w:tcPr>
          <w:p w14:paraId="5FEF1697" w14:textId="77777777" w:rsidR="00E2233D" w:rsidRPr="00795698" w:rsidRDefault="00E2233D" w:rsidP="00E2233D">
            <w:pPr>
              <w:jc w:val="center"/>
              <w:rPr>
                <w:rFonts w:ascii="Arial" w:hAnsi="Arial" w:cs="Arial"/>
                <w:color w:val="000000"/>
                <w:sz w:val="8"/>
                <w:szCs w:val="8"/>
                <w:lang w:eastAsia="sq-AL"/>
              </w:rPr>
            </w:pPr>
          </w:p>
        </w:tc>
        <w:tc>
          <w:tcPr>
            <w:tcW w:w="408" w:type="dxa"/>
            <w:tcBorders>
              <w:top w:val="nil"/>
              <w:left w:val="nil"/>
              <w:bottom w:val="nil"/>
              <w:right w:val="nil"/>
            </w:tcBorders>
            <w:shd w:val="clear" w:color="auto" w:fill="auto"/>
            <w:noWrap/>
            <w:vAlign w:val="center"/>
            <w:hideMark/>
          </w:tcPr>
          <w:p w14:paraId="5FEF1698" w14:textId="77777777" w:rsidR="00E2233D" w:rsidRPr="00795698" w:rsidRDefault="00E2233D" w:rsidP="00E2233D">
            <w:pPr>
              <w:jc w:val="center"/>
              <w:rPr>
                <w:rFonts w:ascii="Arial" w:hAnsi="Arial" w:cs="Arial"/>
                <w:color w:val="000000"/>
                <w:sz w:val="8"/>
                <w:szCs w:val="8"/>
                <w:lang w:eastAsia="sq-AL"/>
              </w:rPr>
            </w:pPr>
          </w:p>
        </w:tc>
        <w:tc>
          <w:tcPr>
            <w:tcW w:w="554" w:type="dxa"/>
            <w:tcBorders>
              <w:top w:val="nil"/>
              <w:left w:val="nil"/>
              <w:bottom w:val="nil"/>
              <w:right w:val="nil"/>
            </w:tcBorders>
            <w:shd w:val="clear" w:color="auto" w:fill="auto"/>
            <w:noWrap/>
            <w:vAlign w:val="center"/>
            <w:hideMark/>
          </w:tcPr>
          <w:p w14:paraId="5FEF1699" w14:textId="77777777" w:rsidR="00E2233D" w:rsidRPr="00795698" w:rsidRDefault="00E2233D" w:rsidP="00E2233D">
            <w:pPr>
              <w:jc w:val="center"/>
              <w:rPr>
                <w:rFonts w:ascii="Arial" w:hAnsi="Arial" w:cs="Arial"/>
                <w:color w:val="000000"/>
                <w:sz w:val="8"/>
                <w:szCs w:val="8"/>
                <w:lang w:eastAsia="sq-AL"/>
              </w:rPr>
            </w:pPr>
          </w:p>
        </w:tc>
        <w:tc>
          <w:tcPr>
            <w:tcW w:w="1319" w:type="dxa"/>
            <w:tcBorders>
              <w:top w:val="nil"/>
              <w:left w:val="nil"/>
              <w:bottom w:val="nil"/>
              <w:right w:val="nil"/>
            </w:tcBorders>
            <w:shd w:val="clear" w:color="auto" w:fill="auto"/>
            <w:noWrap/>
            <w:vAlign w:val="center"/>
            <w:hideMark/>
          </w:tcPr>
          <w:p w14:paraId="5FEF169A" w14:textId="77777777" w:rsidR="00E2233D" w:rsidRPr="00795698" w:rsidRDefault="00E2233D" w:rsidP="00E2233D">
            <w:pPr>
              <w:jc w:val="center"/>
              <w:rPr>
                <w:rFonts w:ascii="Arial" w:hAnsi="Arial" w:cs="Arial"/>
                <w:color w:val="000000"/>
                <w:sz w:val="8"/>
                <w:szCs w:val="8"/>
                <w:lang w:eastAsia="sq-AL"/>
              </w:rPr>
            </w:pPr>
          </w:p>
        </w:tc>
      </w:tr>
    </w:tbl>
    <w:p w14:paraId="5FEF169C" w14:textId="77777777" w:rsidR="00E2233D" w:rsidRPr="00795698" w:rsidRDefault="00E2233D" w:rsidP="00484F64">
      <w:pPr>
        <w:pStyle w:val="TEKSTIIIII"/>
        <w:rPr>
          <w:i/>
          <w:sz w:val="18"/>
          <w:lang w:val="sq-AL"/>
        </w:rPr>
      </w:pPr>
    </w:p>
    <w:p w14:paraId="5FEF169D" w14:textId="77777777" w:rsidR="0083073C" w:rsidRPr="00795698" w:rsidRDefault="0083073C" w:rsidP="00484F64">
      <w:pPr>
        <w:pStyle w:val="TEKSTIIIII"/>
        <w:rPr>
          <w:i/>
          <w:sz w:val="18"/>
          <w:lang w:val="sq-AL"/>
        </w:rPr>
      </w:pPr>
    </w:p>
    <w:p w14:paraId="5FEF169E" w14:textId="77777777" w:rsidR="0083073C" w:rsidRPr="00795698" w:rsidRDefault="0083073C" w:rsidP="00484F64">
      <w:pPr>
        <w:pStyle w:val="TEKSTIIIII"/>
        <w:rPr>
          <w:i/>
          <w:sz w:val="18"/>
          <w:lang w:val="sq-AL"/>
        </w:rPr>
      </w:pPr>
    </w:p>
    <w:p w14:paraId="5FEF169F" w14:textId="77777777" w:rsidR="0083073C" w:rsidRPr="00795698" w:rsidRDefault="0083073C" w:rsidP="00484F64">
      <w:pPr>
        <w:pStyle w:val="TEKSTIIIII"/>
        <w:rPr>
          <w:i/>
          <w:sz w:val="18"/>
          <w:lang w:val="sq-AL"/>
        </w:rPr>
      </w:pPr>
    </w:p>
    <w:p w14:paraId="5FEF16A0" w14:textId="77777777" w:rsidR="0083073C" w:rsidRPr="00795698" w:rsidRDefault="0083073C" w:rsidP="00484F64">
      <w:pPr>
        <w:pStyle w:val="TEKSTIIIII"/>
        <w:rPr>
          <w:i/>
          <w:sz w:val="18"/>
          <w:lang w:val="sq-AL"/>
        </w:rPr>
      </w:pPr>
    </w:p>
    <w:p w14:paraId="5FEF16A1" w14:textId="77777777" w:rsidR="0083073C" w:rsidRPr="00795698" w:rsidRDefault="0083073C" w:rsidP="00484F64">
      <w:pPr>
        <w:pStyle w:val="TEKSTIIIII"/>
        <w:rPr>
          <w:i/>
          <w:sz w:val="18"/>
          <w:lang w:val="sq-AL"/>
        </w:rPr>
      </w:pPr>
    </w:p>
    <w:p w14:paraId="5FEF16A2" w14:textId="77777777" w:rsidR="0083073C" w:rsidRPr="00795698" w:rsidRDefault="0083073C" w:rsidP="00484F64">
      <w:pPr>
        <w:pStyle w:val="TEKSTIIIII"/>
        <w:rPr>
          <w:i/>
          <w:sz w:val="18"/>
          <w:lang w:val="sq-AL"/>
        </w:rPr>
      </w:pPr>
    </w:p>
    <w:p w14:paraId="5FEF16A3" w14:textId="77777777" w:rsidR="0083073C" w:rsidRPr="00795698" w:rsidRDefault="0083073C" w:rsidP="00484F64">
      <w:pPr>
        <w:pStyle w:val="TEKSTIIIII"/>
        <w:rPr>
          <w:i/>
          <w:sz w:val="18"/>
          <w:lang w:val="sq-AL"/>
        </w:rPr>
      </w:pPr>
    </w:p>
    <w:p w14:paraId="5FEF16A4" w14:textId="77777777" w:rsidR="0083073C" w:rsidRPr="00795698" w:rsidRDefault="0083073C" w:rsidP="00484F64">
      <w:pPr>
        <w:pStyle w:val="TEKSTIIIII"/>
        <w:rPr>
          <w:i/>
          <w:sz w:val="18"/>
          <w:lang w:val="sq-AL"/>
        </w:rPr>
      </w:pPr>
    </w:p>
    <w:p w14:paraId="5FEF16A5" w14:textId="77777777" w:rsidR="0083073C" w:rsidRPr="00795698" w:rsidRDefault="0083073C" w:rsidP="00484F64">
      <w:pPr>
        <w:pStyle w:val="TEKSTIIIII"/>
        <w:rPr>
          <w:i/>
          <w:sz w:val="18"/>
          <w:lang w:val="sq-AL"/>
        </w:rPr>
      </w:pPr>
    </w:p>
    <w:p w14:paraId="5FEF16A6" w14:textId="77777777" w:rsidR="0083073C" w:rsidRPr="00795698" w:rsidRDefault="0083073C" w:rsidP="00484F64">
      <w:pPr>
        <w:pStyle w:val="TEKSTIIIII"/>
        <w:rPr>
          <w:i/>
          <w:sz w:val="18"/>
          <w:lang w:val="sq-AL"/>
        </w:rPr>
      </w:pPr>
    </w:p>
    <w:p w14:paraId="5FEF16A7" w14:textId="77777777" w:rsidR="0083073C" w:rsidRPr="00795698" w:rsidRDefault="0083073C" w:rsidP="00484F64">
      <w:pPr>
        <w:pStyle w:val="TEKSTIIIII"/>
        <w:rPr>
          <w:i/>
          <w:sz w:val="18"/>
          <w:lang w:val="sq-AL"/>
        </w:rPr>
      </w:pPr>
    </w:p>
    <w:p w14:paraId="5FEF16A8" w14:textId="77777777" w:rsidR="0083073C" w:rsidRPr="00795698" w:rsidRDefault="0083073C" w:rsidP="00484F64">
      <w:pPr>
        <w:pStyle w:val="TEKSTIIIII"/>
        <w:rPr>
          <w:i/>
          <w:sz w:val="18"/>
          <w:lang w:val="sq-AL"/>
        </w:rPr>
      </w:pPr>
    </w:p>
    <w:p w14:paraId="5FEF16A9" w14:textId="77777777" w:rsidR="0083073C" w:rsidRPr="00795698" w:rsidRDefault="0083073C" w:rsidP="00484F64">
      <w:pPr>
        <w:pStyle w:val="TEKSTIIIII"/>
        <w:rPr>
          <w:i/>
          <w:sz w:val="18"/>
          <w:lang w:val="sq-AL"/>
        </w:rPr>
      </w:pPr>
    </w:p>
    <w:p w14:paraId="5FEF16AA" w14:textId="77777777" w:rsidR="0083073C" w:rsidRPr="00795698" w:rsidRDefault="0083073C" w:rsidP="00484F64">
      <w:pPr>
        <w:pStyle w:val="TEKSTIIIII"/>
        <w:rPr>
          <w:i/>
          <w:sz w:val="18"/>
          <w:lang w:val="sq-AL"/>
        </w:rPr>
      </w:pPr>
    </w:p>
    <w:p w14:paraId="5FEF16AB" w14:textId="77777777" w:rsidR="0083073C" w:rsidRPr="00795698" w:rsidRDefault="0083073C" w:rsidP="00484F64">
      <w:pPr>
        <w:pStyle w:val="TEKSTIIIII"/>
        <w:rPr>
          <w:i/>
          <w:sz w:val="18"/>
          <w:lang w:val="sq-AL"/>
        </w:rPr>
      </w:pPr>
    </w:p>
    <w:p w14:paraId="5FEF16AC" w14:textId="77777777" w:rsidR="0083073C" w:rsidRPr="00795698" w:rsidRDefault="0083073C" w:rsidP="00484F64">
      <w:pPr>
        <w:pStyle w:val="TEKSTIIIII"/>
        <w:rPr>
          <w:i/>
          <w:sz w:val="18"/>
          <w:lang w:val="sq-AL"/>
        </w:rPr>
      </w:pPr>
    </w:p>
    <w:p w14:paraId="5FEF16AD" w14:textId="77777777" w:rsidR="0083073C" w:rsidRPr="00795698" w:rsidRDefault="0083073C" w:rsidP="00484F64">
      <w:pPr>
        <w:pStyle w:val="TEKSTIIIII"/>
        <w:rPr>
          <w:i/>
          <w:sz w:val="18"/>
          <w:lang w:val="sq-AL"/>
        </w:rPr>
      </w:pPr>
    </w:p>
    <w:p w14:paraId="5FEF16AE" w14:textId="77777777" w:rsidR="0083073C" w:rsidRPr="00795698" w:rsidRDefault="0083073C" w:rsidP="00484F64">
      <w:pPr>
        <w:pStyle w:val="TEKSTIIIII"/>
        <w:rPr>
          <w:i/>
          <w:sz w:val="18"/>
          <w:lang w:val="sq-AL"/>
        </w:rPr>
      </w:pPr>
    </w:p>
    <w:tbl>
      <w:tblPr>
        <w:tblW w:w="12620" w:type="dxa"/>
        <w:tblInd w:w="93" w:type="dxa"/>
        <w:tblLook w:val="04A0" w:firstRow="1" w:lastRow="0" w:firstColumn="1" w:lastColumn="0" w:noHBand="0" w:noVBand="1"/>
      </w:tblPr>
      <w:tblGrid>
        <w:gridCol w:w="6120"/>
        <w:gridCol w:w="1560"/>
        <w:gridCol w:w="1600"/>
        <w:gridCol w:w="1900"/>
        <w:gridCol w:w="1440"/>
      </w:tblGrid>
      <w:tr w:rsidR="0083073C" w:rsidRPr="00795698" w14:paraId="5FEF16B0" w14:textId="77777777" w:rsidTr="0083073C">
        <w:trPr>
          <w:trHeight w:val="180"/>
        </w:trPr>
        <w:tc>
          <w:tcPr>
            <w:tcW w:w="12620" w:type="dxa"/>
            <w:gridSpan w:val="5"/>
            <w:tcBorders>
              <w:top w:val="nil"/>
              <w:left w:val="nil"/>
              <w:bottom w:val="nil"/>
              <w:right w:val="nil"/>
            </w:tcBorders>
            <w:shd w:val="clear" w:color="auto" w:fill="auto"/>
            <w:noWrap/>
            <w:vAlign w:val="center"/>
            <w:hideMark/>
          </w:tcPr>
          <w:p w14:paraId="5FEF16AF" w14:textId="071D7F4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4"/>
                <w:szCs w:val="12"/>
                <w:lang w:eastAsia="sq-AL"/>
              </w:rPr>
              <w:t>Nevoja Kapitale (në</w:t>
            </w:r>
            <w:r w:rsidR="007C064A" w:rsidRPr="00795698">
              <w:rPr>
                <w:rFonts w:ascii="Arial" w:hAnsi="Arial" w:cs="Arial"/>
                <w:b/>
                <w:bCs/>
                <w:color w:val="000000"/>
                <w:sz w:val="14"/>
                <w:szCs w:val="12"/>
                <w:lang w:eastAsia="sq-AL"/>
              </w:rPr>
              <w:t xml:space="preserve"> </w:t>
            </w:r>
            <w:r w:rsidRPr="00795698">
              <w:rPr>
                <w:rFonts w:ascii="Arial" w:hAnsi="Arial" w:cs="Arial"/>
                <w:b/>
                <w:bCs/>
                <w:color w:val="000000"/>
                <w:sz w:val="14"/>
                <w:szCs w:val="12"/>
                <w:lang w:eastAsia="sq-AL"/>
              </w:rPr>
              <w:t>Lek)</w:t>
            </w:r>
          </w:p>
        </w:tc>
      </w:tr>
      <w:tr w:rsidR="0083073C" w:rsidRPr="00795698" w14:paraId="5FEF16B6" w14:textId="77777777" w:rsidTr="0083073C">
        <w:trPr>
          <w:trHeight w:val="180"/>
        </w:trPr>
        <w:tc>
          <w:tcPr>
            <w:tcW w:w="612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5FEF16B1" w14:textId="77777777" w:rsidR="0083073C" w:rsidRPr="00795698" w:rsidRDefault="0083073C" w:rsidP="0083073C">
            <w:pPr>
              <w:jc w:val="both"/>
              <w:rPr>
                <w:rFonts w:ascii="Arial" w:hAnsi="Arial" w:cs="Arial"/>
                <w:b/>
                <w:bCs/>
                <w:color w:val="FFFFFF"/>
                <w:sz w:val="12"/>
                <w:szCs w:val="12"/>
                <w:lang w:eastAsia="sq-AL"/>
              </w:rPr>
            </w:pPr>
            <w:r w:rsidRPr="00795698">
              <w:rPr>
                <w:rFonts w:ascii="Arial" w:hAnsi="Arial" w:cs="Arial"/>
                <w:b/>
                <w:bCs/>
                <w:color w:val="FFFFFF"/>
                <w:sz w:val="12"/>
                <w:szCs w:val="12"/>
                <w:lang w:eastAsia="sq-AL"/>
              </w:rPr>
              <w:lastRenderedPageBreak/>
              <w:t>Qëllimet e Politikave</w:t>
            </w:r>
          </w:p>
        </w:tc>
        <w:tc>
          <w:tcPr>
            <w:tcW w:w="1560" w:type="dxa"/>
            <w:vMerge w:val="restart"/>
            <w:tcBorders>
              <w:top w:val="single" w:sz="8" w:space="0" w:color="auto"/>
              <w:left w:val="nil"/>
              <w:bottom w:val="single" w:sz="8" w:space="0" w:color="4472C4"/>
              <w:right w:val="nil"/>
            </w:tcBorders>
            <w:shd w:val="clear" w:color="000000" w:fill="4472C4"/>
            <w:vAlign w:val="center"/>
            <w:hideMark/>
          </w:tcPr>
          <w:p w14:paraId="5FEF16B2" w14:textId="77777777" w:rsidR="0083073C" w:rsidRPr="00795698" w:rsidRDefault="0083073C"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Natyra/Tipologjia e Kostove</w:t>
            </w:r>
          </w:p>
        </w:tc>
        <w:tc>
          <w:tcPr>
            <w:tcW w:w="1600" w:type="dxa"/>
            <w:tcBorders>
              <w:top w:val="single" w:sz="8" w:space="0" w:color="auto"/>
              <w:left w:val="nil"/>
              <w:bottom w:val="nil"/>
              <w:right w:val="nil"/>
            </w:tcBorders>
            <w:shd w:val="clear" w:color="000000" w:fill="4472C4"/>
            <w:vAlign w:val="center"/>
            <w:hideMark/>
          </w:tcPr>
          <w:p w14:paraId="5FEF16B3" w14:textId="77777777" w:rsidR="0083073C" w:rsidRPr="00795698" w:rsidRDefault="0083073C"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Kostot totale</w:t>
            </w:r>
          </w:p>
        </w:tc>
        <w:tc>
          <w:tcPr>
            <w:tcW w:w="1900" w:type="dxa"/>
            <w:tcBorders>
              <w:top w:val="single" w:sz="8" w:space="0" w:color="auto"/>
              <w:left w:val="nil"/>
              <w:bottom w:val="nil"/>
              <w:right w:val="nil"/>
            </w:tcBorders>
            <w:shd w:val="clear" w:color="000000" w:fill="4472C4"/>
            <w:vAlign w:val="center"/>
            <w:hideMark/>
          </w:tcPr>
          <w:p w14:paraId="5FEF16B4" w14:textId="77777777" w:rsidR="0083073C" w:rsidRPr="00795698" w:rsidRDefault="0083073C"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Kosto të Planifikuara në</w:t>
            </w:r>
          </w:p>
        </w:tc>
        <w:tc>
          <w:tcPr>
            <w:tcW w:w="1440" w:type="dxa"/>
            <w:tcBorders>
              <w:top w:val="single" w:sz="8" w:space="0" w:color="auto"/>
              <w:left w:val="nil"/>
              <w:bottom w:val="nil"/>
              <w:right w:val="single" w:sz="8" w:space="0" w:color="auto"/>
            </w:tcBorders>
            <w:shd w:val="clear" w:color="000000" w:fill="4472C4"/>
            <w:vAlign w:val="center"/>
            <w:hideMark/>
          </w:tcPr>
          <w:p w14:paraId="5FEF16B5" w14:textId="77777777" w:rsidR="0083073C" w:rsidRPr="00795698" w:rsidRDefault="0083073C"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Hendeku Financiar</w:t>
            </w:r>
          </w:p>
        </w:tc>
      </w:tr>
      <w:tr w:rsidR="0083073C" w:rsidRPr="00795698" w14:paraId="5FEF16BC" w14:textId="77777777" w:rsidTr="0083073C">
        <w:trPr>
          <w:trHeight w:val="180"/>
        </w:trPr>
        <w:tc>
          <w:tcPr>
            <w:tcW w:w="6120" w:type="dxa"/>
            <w:vMerge/>
            <w:tcBorders>
              <w:top w:val="single" w:sz="8" w:space="0" w:color="auto"/>
              <w:left w:val="single" w:sz="8" w:space="0" w:color="auto"/>
              <w:bottom w:val="single" w:sz="8" w:space="0" w:color="4472C4"/>
              <w:right w:val="nil"/>
            </w:tcBorders>
            <w:vAlign w:val="center"/>
            <w:hideMark/>
          </w:tcPr>
          <w:p w14:paraId="5FEF16B7" w14:textId="77777777" w:rsidR="0083073C" w:rsidRPr="00795698" w:rsidRDefault="0083073C" w:rsidP="0083073C">
            <w:pPr>
              <w:rPr>
                <w:rFonts w:ascii="Arial" w:hAnsi="Arial" w:cs="Arial"/>
                <w:b/>
                <w:bCs/>
                <w:color w:val="FFFFFF"/>
                <w:sz w:val="12"/>
                <w:szCs w:val="12"/>
                <w:lang w:eastAsia="sq-AL"/>
              </w:rPr>
            </w:pPr>
          </w:p>
        </w:tc>
        <w:tc>
          <w:tcPr>
            <w:tcW w:w="1560" w:type="dxa"/>
            <w:vMerge/>
            <w:tcBorders>
              <w:top w:val="single" w:sz="8" w:space="0" w:color="auto"/>
              <w:left w:val="nil"/>
              <w:bottom w:val="single" w:sz="8" w:space="0" w:color="4472C4"/>
              <w:right w:val="nil"/>
            </w:tcBorders>
            <w:vAlign w:val="center"/>
            <w:hideMark/>
          </w:tcPr>
          <w:p w14:paraId="5FEF16B8" w14:textId="77777777" w:rsidR="0083073C" w:rsidRPr="00795698" w:rsidRDefault="0083073C" w:rsidP="0083073C">
            <w:pPr>
              <w:rPr>
                <w:rFonts w:ascii="Arial" w:hAnsi="Arial" w:cs="Arial"/>
                <w:b/>
                <w:bCs/>
                <w:color w:val="FFFFFF"/>
                <w:sz w:val="12"/>
                <w:szCs w:val="12"/>
                <w:lang w:eastAsia="sq-AL"/>
              </w:rPr>
            </w:pPr>
          </w:p>
        </w:tc>
        <w:tc>
          <w:tcPr>
            <w:tcW w:w="1600" w:type="dxa"/>
            <w:tcBorders>
              <w:top w:val="nil"/>
              <w:left w:val="nil"/>
              <w:bottom w:val="nil"/>
              <w:right w:val="nil"/>
            </w:tcBorders>
            <w:shd w:val="clear" w:color="000000" w:fill="4472C4"/>
            <w:vAlign w:val="center"/>
            <w:hideMark/>
          </w:tcPr>
          <w:p w14:paraId="5FEF16B9" w14:textId="361E17A6" w:rsidR="0083073C" w:rsidRPr="00795698" w:rsidRDefault="006249E3"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2023–2025</w:t>
            </w:r>
          </w:p>
        </w:tc>
        <w:tc>
          <w:tcPr>
            <w:tcW w:w="1900" w:type="dxa"/>
            <w:tcBorders>
              <w:top w:val="nil"/>
              <w:left w:val="nil"/>
              <w:bottom w:val="nil"/>
              <w:right w:val="nil"/>
            </w:tcBorders>
            <w:shd w:val="clear" w:color="000000" w:fill="4472C4"/>
            <w:vAlign w:val="center"/>
            <w:hideMark/>
          </w:tcPr>
          <w:p w14:paraId="5FEF16BA" w14:textId="6F207C8F" w:rsidR="0083073C" w:rsidRPr="00795698" w:rsidRDefault="0083073C"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 xml:space="preserve">PBA </w:t>
            </w:r>
            <w:r w:rsidR="006249E3" w:rsidRPr="00795698">
              <w:rPr>
                <w:rFonts w:ascii="Arial" w:hAnsi="Arial" w:cs="Arial"/>
                <w:b/>
                <w:bCs/>
                <w:color w:val="FFFFFF"/>
                <w:sz w:val="12"/>
                <w:szCs w:val="12"/>
                <w:lang w:eastAsia="sq-AL"/>
              </w:rPr>
              <w:t>2023–2025</w:t>
            </w:r>
          </w:p>
        </w:tc>
        <w:tc>
          <w:tcPr>
            <w:tcW w:w="1440" w:type="dxa"/>
            <w:tcBorders>
              <w:top w:val="nil"/>
              <w:left w:val="nil"/>
              <w:bottom w:val="nil"/>
              <w:right w:val="single" w:sz="8" w:space="0" w:color="auto"/>
            </w:tcBorders>
            <w:shd w:val="clear" w:color="000000" w:fill="4472C4"/>
            <w:vAlign w:val="center"/>
            <w:hideMark/>
          </w:tcPr>
          <w:p w14:paraId="5FEF16BB" w14:textId="513B4FD5" w:rsidR="0083073C" w:rsidRPr="00795698" w:rsidRDefault="006249E3"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2023–2025</w:t>
            </w:r>
          </w:p>
        </w:tc>
      </w:tr>
      <w:tr w:rsidR="0083073C" w:rsidRPr="00795698" w14:paraId="5FEF16C2" w14:textId="77777777" w:rsidTr="0083073C">
        <w:trPr>
          <w:trHeight w:val="180"/>
        </w:trPr>
        <w:tc>
          <w:tcPr>
            <w:tcW w:w="6120" w:type="dxa"/>
            <w:vMerge/>
            <w:tcBorders>
              <w:top w:val="single" w:sz="8" w:space="0" w:color="auto"/>
              <w:left w:val="single" w:sz="8" w:space="0" w:color="auto"/>
              <w:bottom w:val="single" w:sz="8" w:space="0" w:color="4472C4"/>
              <w:right w:val="nil"/>
            </w:tcBorders>
            <w:vAlign w:val="center"/>
            <w:hideMark/>
          </w:tcPr>
          <w:p w14:paraId="5FEF16BD" w14:textId="77777777" w:rsidR="0083073C" w:rsidRPr="00795698" w:rsidRDefault="0083073C" w:rsidP="0083073C">
            <w:pPr>
              <w:rPr>
                <w:rFonts w:ascii="Arial" w:hAnsi="Arial" w:cs="Arial"/>
                <w:b/>
                <w:bCs/>
                <w:color w:val="FFFFFF"/>
                <w:sz w:val="12"/>
                <w:szCs w:val="12"/>
                <w:lang w:eastAsia="sq-AL"/>
              </w:rPr>
            </w:pPr>
          </w:p>
        </w:tc>
        <w:tc>
          <w:tcPr>
            <w:tcW w:w="1560" w:type="dxa"/>
            <w:vMerge/>
            <w:tcBorders>
              <w:top w:val="single" w:sz="8" w:space="0" w:color="auto"/>
              <w:left w:val="nil"/>
              <w:bottom w:val="single" w:sz="8" w:space="0" w:color="4472C4"/>
              <w:right w:val="nil"/>
            </w:tcBorders>
            <w:vAlign w:val="center"/>
            <w:hideMark/>
          </w:tcPr>
          <w:p w14:paraId="5FEF16BE" w14:textId="77777777" w:rsidR="0083073C" w:rsidRPr="00795698" w:rsidRDefault="0083073C" w:rsidP="0083073C">
            <w:pPr>
              <w:rPr>
                <w:rFonts w:ascii="Arial" w:hAnsi="Arial" w:cs="Arial"/>
                <w:b/>
                <w:bCs/>
                <w:color w:val="FFFFFF"/>
                <w:sz w:val="12"/>
                <w:szCs w:val="12"/>
                <w:lang w:eastAsia="sq-AL"/>
              </w:rPr>
            </w:pPr>
          </w:p>
        </w:tc>
        <w:tc>
          <w:tcPr>
            <w:tcW w:w="1600" w:type="dxa"/>
            <w:tcBorders>
              <w:top w:val="nil"/>
              <w:left w:val="nil"/>
              <w:bottom w:val="single" w:sz="8" w:space="0" w:color="4472C4"/>
              <w:right w:val="nil"/>
            </w:tcBorders>
            <w:shd w:val="clear" w:color="000000" w:fill="4472C4"/>
            <w:vAlign w:val="center"/>
            <w:hideMark/>
          </w:tcPr>
          <w:p w14:paraId="5FEF16BF" w14:textId="77777777" w:rsidR="0083073C" w:rsidRPr="00795698" w:rsidRDefault="0083073C" w:rsidP="0083073C">
            <w:pPr>
              <w:rPr>
                <w:rFonts w:ascii="Calibri" w:hAnsi="Calibri" w:cs="Calibri"/>
                <w:color w:val="000000"/>
                <w:sz w:val="12"/>
                <w:szCs w:val="12"/>
                <w:lang w:eastAsia="sq-AL"/>
              </w:rPr>
            </w:pPr>
            <w:r w:rsidRPr="00795698">
              <w:rPr>
                <w:rFonts w:ascii="Calibri" w:hAnsi="Calibri" w:cs="Calibri"/>
                <w:color w:val="000000"/>
                <w:sz w:val="12"/>
                <w:szCs w:val="12"/>
                <w:lang w:eastAsia="sq-AL"/>
              </w:rPr>
              <w:t> </w:t>
            </w:r>
          </w:p>
        </w:tc>
        <w:tc>
          <w:tcPr>
            <w:tcW w:w="1900" w:type="dxa"/>
            <w:tcBorders>
              <w:top w:val="nil"/>
              <w:left w:val="nil"/>
              <w:bottom w:val="single" w:sz="8" w:space="0" w:color="4472C4"/>
              <w:right w:val="nil"/>
            </w:tcBorders>
            <w:shd w:val="clear" w:color="000000" w:fill="4472C4"/>
            <w:vAlign w:val="center"/>
            <w:hideMark/>
          </w:tcPr>
          <w:p w14:paraId="5FEF16C0" w14:textId="77777777" w:rsidR="0083073C" w:rsidRPr="00795698" w:rsidRDefault="0083073C" w:rsidP="0083073C">
            <w:pPr>
              <w:jc w:val="center"/>
              <w:rPr>
                <w:rFonts w:ascii="Arial" w:hAnsi="Arial" w:cs="Arial"/>
                <w:b/>
                <w:bCs/>
                <w:color w:val="FFFFFF"/>
                <w:sz w:val="12"/>
                <w:szCs w:val="12"/>
                <w:lang w:eastAsia="sq-AL"/>
              </w:rPr>
            </w:pPr>
            <w:r w:rsidRPr="00795698">
              <w:rPr>
                <w:rFonts w:ascii="Arial" w:hAnsi="Arial" w:cs="Arial"/>
                <w:b/>
                <w:bCs/>
                <w:color w:val="FFFFFF"/>
                <w:sz w:val="12"/>
                <w:szCs w:val="12"/>
                <w:lang w:eastAsia="sq-AL"/>
              </w:rPr>
              <w:t>Buxheti dhe Donatoret</w:t>
            </w:r>
          </w:p>
        </w:tc>
        <w:tc>
          <w:tcPr>
            <w:tcW w:w="1440" w:type="dxa"/>
            <w:tcBorders>
              <w:top w:val="nil"/>
              <w:left w:val="nil"/>
              <w:bottom w:val="single" w:sz="8" w:space="0" w:color="4472C4"/>
              <w:right w:val="single" w:sz="8" w:space="0" w:color="auto"/>
            </w:tcBorders>
            <w:shd w:val="clear" w:color="000000" w:fill="4472C4"/>
            <w:vAlign w:val="center"/>
            <w:hideMark/>
          </w:tcPr>
          <w:p w14:paraId="5FEF16C1" w14:textId="77777777" w:rsidR="0083073C" w:rsidRPr="00795698" w:rsidRDefault="0083073C" w:rsidP="0083073C">
            <w:pPr>
              <w:rPr>
                <w:rFonts w:ascii="Calibri" w:hAnsi="Calibri" w:cs="Calibri"/>
                <w:color w:val="000000"/>
                <w:sz w:val="12"/>
                <w:szCs w:val="12"/>
                <w:lang w:eastAsia="sq-AL"/>
              </w:rPr>
            </w:pPr>
            <w:r w:rsidRPr="00795698">
              <w:rPr>
                <w:rFonts w:ascii="Calibri" w:hAnsi="Calibri" w:cs="Calibri"/>
                <w:color w:val="000000"/>
                <w:sz w:val="12"/>
                <w:szCs w:val="12"/>
                <w:lang w:eastAsia="sq-AL"/>
              </w:rPr>
              <w:t> </w:t>
            </w:r>
          </w:p>
        </w:tc>
      </w:tr>
      <w:tr w:rsidR="0083073C" w:rsidRPr="00795698" w14:paraId="5FEF16C8" w14:textId="77777777" w:rsidTr="0083073C">
        <w:trPr>
          <w:trHeight w:val="180"/>
        </w:trPr>
        <w:tc>
          <w:tcPr>
            <w:tcW w:w="6120" w:type="dxa"/>
            <w:vMerge w:val="restart"/>
            <w:tcBorders>
              <w:top w:val="nil"/>
              <w:left w:val="single" w:sz="8" w:space="0" w:color="auto"/>
              <w:bottom w:val="single" w:sz="8" w:space="0" w:color="4472C4"/>
              <w:right w:val="single" w:sz="8" w:space="0" w:color="8EAADB"/>
            </w:tcBorders>
            <w:shd w:val="clear" w:color="000000" w:fill="D9E2F3"/>
            <w:vAlign w:val="center"/>
            <w:hideMark/>
          </w:tcPr>
          <w:p w14:paraId="5FEF16C3"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II.QËLLIMI I POLITIKËS 1: MBAJTJA E KËRCËNIMIT TERRORIST NË NIVEL “TË ULËT”</w:t>
            </w:r>
          </w:p>
        </w:tc>
        <w:tc>
          <w:tcPr>
            <w:tcW w:w="1560" w:type="dxa"/>
            <w:tcBorders>
              <w:top w:val="nil"/>
              <w:left w:val="nil"/>
              <w:bottom w:val="single" w:sz="8" w:space="0" w:color="8EAADB"/>
              <w:right w:val="single" w:sz="8" w:space="0" w:color="8EAADB"/>
            </w:tcBorders>
            <w:shd w:val="clear" w:color="000000" w:fill="D9E2F3"/>
            <w:vAlign w:val="center"/>
            <w:hideMark/>
          </w:tcPr>
          <w:p w14:paraId="5FEF16C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6C5"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354,450,000</w:t>
            </w:r>
          </w:p>
        </w:tc>
        <w:tc>
          <w:tcPr>
            <w:tcW w:w="1900" w:type="dxa"/>
            <w:tcBorders>
              <w:top w:val="nil"/>
              <w:left w:val="nil"/>
              <w:bottom w:val="single" w:sz="8" w:space="0" w:color="8EAADB"/>
              <w:right w:val="single" w:sz="8" w:space="0" w:color="8EAADB"/>
            </w:tcBorders>
            <w:shd w:val="clear" w:color="000000" w:fill="D9E2F3"/>
            <w:vAlign w:val="center"/>
            <w:hideMark/>
          </w:tcPr>
          <w:p w14:paraId="5FEF16C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354,450,000</w:t>
            </w:r>
          </w:p>
        </w:tc>
        <w:tc>
          <w:tcPr>
            <w:tcW w:w="144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5FEF16C7"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6CE" w14:textId="77777777" w:rsidTr="0083073C">
        <w:trPr>
          <w:trHeight w:val="180"/>
        </w:trPr>
        <w:tc>
          <w:tcPr>
            <w:tcW w:w="6120" w:type="dxa"/>
            <w:vMerge/>
            <w:tcBorders>
              <w:top w:val="nil"/>
              <w:left w:val="single" w:sz="8" w:space="0" w:color="auto"/>
              <w:bottom w:val="single" w:sz="8" w:space="0" w:color="4472C4"/>
              <w:right w:val="single" w:sz="8" w:space="0" w:color="8EAADB"/>
            </w:tcBorders>
            <w:vAlign w:val="center"/>
            <w:hideMark/>
          </w:tcPr>
          <w:p w14:paraId="5FEF16C9"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6C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6CB"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6C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nil"/>
              <w:left w:val="single" w:sz="8" w:space="0" w:color="8EAADB"/>
              <w:bottom w:val="single" w:sz="8" w:space="0" w:color="8EAADB"/>
              <w:right w:val="single" w:sz="8" w:space="0" w:color="auto"/>
            </w:tcBorders>
            <w:vAlign w:val="center"/>
            <w:hideMark/>
          </w:tcPr>
          <w:p w14:paraId="5FEF16CD"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6D4" w14:textId="77777777" w:rsidTr="0083073C">
        <w:trPr>
          <w:trHeight w:val="180"/>
        </w:trPr>
        <w:tc>
          <w:tcPr>
            <w:tcW w:w="612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5FEF16CF"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II.QËLLIMI I POLITIKËS 2: NDËRPRERJA E AKTIVITETEVE TË FAQEVE DHE PLATFORMAVE DIXHITALE SI DHE INDIVIDËVE QË TËRHEQIN NJERËZ NË TERRORIZËM</w:t>
            </w:r>
          </w:p>
        </w:tc>
        <w:tc>
          <w:tcPr>
            <w:tcW w:w="1560" w:type="dxa"/>
            <w:tcBorders>
              <w:top w:val="nil"/>
              <w:left w:val="nil"/>
              <w:bottom w:val="single" w:sz="8" w:space="0" w:color="8EAADB"/>
              <w:right w:val="single" w:sz="8" w:space="0" w:color="8EAADB"/>
            </w:tcBorders>
            <w:shd w:val="clear" w:color="000000" w:fill="D9E2F3"/>
            <w:vAlign w:val="center"/>
            <w:hideMark/>
          </w:tcPr>
          <w:p w14:paraId="5FEF16D0"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6D1"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458,503,800</w:t>
            </w:r>
          </w:p>
        </w:tc>
        <w:tc>
          <w:tcPr>
            <w:tcW w:w="1900" w:type="dxa"/>
            <w:tcBorders>
              <w:top w:val="nil"/>
              <w:left w:val="nil"/>
              <w:bottom w:val="single" w:sz="8" w:space="0" w:color="8EAADB"/>
              <w:right w:val="single" w:sz="8" w:space="0" w:color="8EAADB"/>
            </w:tcBorders>
            <w:shd w:val="clear" w:color="000000" w:fill="D9E2F3"/>
            <w:vAlign w:val="center"/>
            <w:hideMark/>
          </w:tcPr>
          <w:p w14:paraId="5FEF16D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458,503,800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6D3"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6DA" w14:textId="77777777" w:rsidTr="0083073C">
        <w:trPr>
          <w:trHeight w:val="180"/>
        </w:trPr>
        <w:tc>
          <w:tcPr>
            <w:tcW w:w="6120" w:type="dxa"/>
            <w:vMerge/>
            <w:tcBorders>
              <w:top w:val="nil"/>
              <w:left w:val="single" w:sz="8" w:space="0" w:color="auto"/>
              <w:bottom w:val="single" w:sz="8" w:space="0" w:color="8EAADB"/>
              <w:right w:val="single" w:sz="8" w:space="0" w:color="8EAADB"/>
            </w:tcBorders>
            <w:vAlign w:val="center"/>
            <w:hideMark/>
          </w:tcPr>
          <w:p w14:paraId="5FEF16D5"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6D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6D7"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6D8"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6D9"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6E0"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6DB"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3: KUPTIMI I KËRCËNIMEVE TË TERRORIZMIT NË VENDIN TONË PËRMES IDENTIFIKIMIT TË HERSHËM TË GRUPEVE TË SYNUARA DHE METODAVE RADIKALE.</w:t>
            </w:r>
          </w:p>
        </w:tc>
        <w:tc>
          <w:tcPr>
            <w:tcW w:w="1560" w:type="dxa"/>
            <w:tcBorders>
              <w:top w:val="nil"/>
              <w:left w:val="nil"/>
              <w:bottom w:val="single" w:sz="8" w:space="0" w:color="8EAADB"/>
              <w:right w:val="single" w:sz="8" w:space="0" w:color="8EAADB"/>
            </w:tcBorders>
            <w:shd w:val="clear" w:color="000000" w:fill="D9E2F3"/>
            <w:vAlign w:val="center"/>
            <w:hideMark/>
          </w:tcPr>
          <w:p w14:paraId="5FEF16D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6DD"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303,019,200</w:t>
            </w:r>
          </w:p>
        </w:tc>
        <w:tc>
          <w:tcPr>
            <w:tcW w:w="1900" w:type="dxa"/>
            <w:tcBorders>
              <w:top w:val="nil"/>
              <w:left w:val="nil"/>
              <w:bottom w:val="single" w:sz="8" w:space="0" w:color="8EAADB"/>
              <w:right w:val="single" w:sz="8" w:space="0" w:color="8EAADB"/>
            </w:tcBorders>
            <w:shd w:val="clear" w:color="000000" w:fill="D9E2F3"/>
            <w:vAlign w:val="center"/>
            <w:hideMark/>
          </w:tcPr>
          <w:p w14:paraId="5FEF16DE"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303,019,200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6DF"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6E6"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6E1"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6E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6E3"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6E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6E5"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6EC"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6E7" w14:textId="0802B3C2"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4: ZGJERIMI I</w:t>
            </w:r>
            <w:r w:rsidR="007C064A" w:rsidRPr="00795698">
              <w:rPr>
                <w:rFonts w:ascii="Arial" w:hAnsi="Arial" w:cs="Arial"/>
                <w:b/>
                <w:bCs/>
                <w:color w:val="000000"/>
                <w:sz w:val="12"/>
                <w:szCs w:val="12"/>
                <w:lang w:eastAsia="sq-AL"/>
              </w:rPr>
              <w:t xml:space="preserve"> </w:t>
            </w:r>
            <w:r w:rsidRPr="00795698">
              <w:rPr>
                <w:rFonts w:ascii="Arial" w:hAnsi="Arial" w:cs="Arial"/>
                <w:b/>
                <w:bCs/>
                <w:color w:val="000000"/>
                <w:sz w:val="12"/>
                <w:szCs w:val="12"/>
                <w:lang w:eastAsia="sq-AL"/>
              </w:rPr>
              <w:t>KAPACITETEVE OPERACIONALE TË POLICISË DHE KAPACITETEVE TË INTELIGJENCËS.</w:t>
            </w:r>
          </w:p>
        </w:tc>
        <w:tc>
          <w:tcPr>
            <w:tcW w:w="1560" w:type="dxa"/>
            <w:tcBorders>
              <w:top w:val="nil"/>
              <w:left w:val="nil"/>
              <w:bottom w:val="single" w:sz="8" w:space="0" w:color="8EAADB"/>
              <w:right w:val="single" w:sz="8" w:space="0" w:color="8EAADB"/>
            </w:tcBorders>
            <w:shd w:val="clear" w:color="000000" w:fill="D9E2F3"/>
            <w:vAlign w:val="center"/>
            <w:hideMark/>
          </w:tcPr>
          <w:p w14:paraId="5FEF16E8"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6E9"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37,500,000</w:t>
            </w:r>
          </w:p>
        </w:tc>
        <w:tc>
          <w:tcPr>
            <w:tcW w:w="1900" w:type="dxa"/>
            <w:tcBorders>
              <w:top w:val="nil"/>
              <w:left w:val="nil"/>
              <w:bottom w:val="single" w:sz="8" w:space="0" w:color="8EAADB"/>
              <w:right w:val="single" w:sz="8" w:space="0" w:color="8EAADB"/>
            </w:tcBorders>
            <w:shd w:val="clear" w:color="000000" w:fill="D9E2F3"/>
            <w:vAlign w:val="center"/>
            <w:hideMark/>
          </w:tcPr>
          <w:p w14:paraId="5FEF16E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37,500,000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6EB"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6F2"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6ED"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6EE"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6EF"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6F0"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6F1"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6F8"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6F3"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5: ZHVILLIMI I KOMUNIKIMIT STRATEGJIK</w:t>
            </w:r>
          </w:p>
        </w:tc>
        <w:tc>
          <w:tcPr>
            <w:tcW w:w="1560" w:type="dxa"/>
            <w:tcBorders>
              <w:top w:val="nil"/>
              <w:left w:val="nil"/>
              <w:bottom w:val="single" w:sz="8" w:space="0" w:color="8EAADB"/>
              <w:right w:val="single" w:sz="8" w:space="0" w:color="8EAADB"/>
            </w:tcBorders>
            <w:shd w:val="clear" w:color="000000" w:fill="D9E2F3"/>
            <w:vAlign w:val="center"/>
            <w:hideMark/>
          </w:tcPr>
          <w:p w14:paraId="5FEF16F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6F5"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424,753,800</w:t>
            </w:r>
          </w:p>
        </w:tc>
        <w:tc>
          <w:tcPr>
            <w:tcW w:w="1900" w:type="dxa"/>
            <w:tcBorders>
              <w:top w:val="nil"/>
              <w:left w:val="nil"/>
              <w:bottom w:val="single" w:sz="8" w:space="0" w:color="8EAADB"/>
              <w:right w:val="single" w:sz="8" w:space="0" w:color="8EAADB"/>
            </w:tcBorders>
            <w:shd w:val="clear" w:color="000000" w:fill="D9E2F3"/>
            <w:vAlign w:val="center"/>
            <w:hideMark/>
          </w:tcPr>
          <w:p w14:paraId="5FEF16F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424,753,800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6F7"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6FE"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6F9"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6F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6FB"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6F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6FD"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04"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6FF"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6: HETIMI, ZBULIMI DHE GODITJA E VEPRAVE PENALE NË FUSHËN E TERRORIZMIT DHE FINANCIMIT TË TIJ</w:t>
            </w:r>
          </w:p>
        </w:tc>
        <w:tc>
          <w:tcPr>
            <w:tcW w:w="1560" w:type="dxa"/>
            <w:tcBorders>
              <w:top w:val="nil"/>
              <w:left w:val="nil"/>
              <w:bottom w:val="single" w:sz="8" w:space="0" w:color="8EAADB"/>
              <w:right w:val="single" w:sz="8" w:space="0" w:color="8EAADB"/>
            </w:tcBorders>
            <w:shd w:val="clear" w:color="000000" w:fill="D9E2F3"/>
            <w:vAlign w:val="center"/>
            <w:hideMark/>
          </w:tcPr>
          <w:p w14:paraId="5FEF1700"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01"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634,935,215</w:t>
            </w:r>
          </w:p>
        </w:tc>
        <w:tc>
          <w:tcPr>
            <w:tcW w:w="1900" w:type="dxa"/>
            <w:tcBorders>
              <w:top w:val="nil"/>
              <w:left w:val="nil"/>
              <w:bottom w:val="single" w:sz="8" w:space="0" w:color="8EAADB"/>
              <w:right w:val="single" w:sz="8" w:space="0" w:color="8EAADB"/>
            </w:tcBorders>
            <w:shd w:val="clear" w:color="000000" w:fill="D9E2F3"/>
            <w:vAlign w:val="center"/>
            <w:hideMark/>
          </w:tcPr>
          <w:p w14:paraId="5FEF170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634,935,215</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03"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0A"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05"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0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07"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08"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09"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10"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0B"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7:PËRMIRËSIMI I SISTEMEVE TË MBLEDHJES, RUAJTJES, ANALIZIMIT DHE SHPËRNDARJES SË INFORMACIONIT</w:t>
            </w:r>
          </w:p>
        </w:tc>
        <w:tc>
          <w:tcPr>
            <w:tcW w:w="1560" w:type="dxa"/>
            <w:tcBorders>
              <w:top w:val="nil"/>
              <w:left w:val="nil"/>
              <w:bottom w:val="single" w:sz="8" w:space="0" w:color="8EAADB"/>
              <w:right w:val="single" w:sz="8" w:space="0" w:color="8EAADB"/>
            </w:tcBorders>
            <w:shd w:val="clear" w:color="000000" w:fill="D9E2F3"/>
            <w:vAlign w:val="center"/>
            <w:hideMark/>
          </w:tcPr>
          <w:p w14:paraId="5FEF170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0D"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51,185,500</w:t>
            </w:r>
          </w:p>
        </w:tc>
        <w:tc>
          <w:tcPr>
            <w:tcW w:w="1900" w:type="dxa"/>
            <w:tcBorders>
              <w:top w:val="nil"/>
              <w:left w:val="nil"/>
              <w:bottom w:val="single" w:sz="8" w:space="0" w:color="8EAADB"/>
              <w:right w:val="single" w:sz="8" w:space="0" w:color="8EAADB"/>
            </w:tcBorders>
            <w:shd w:val="clear" w:color="000000" w:fill="D9E2F3"/>
            <w:vAlign w:val="center"/>
            <w:hideMark/>
          </w:tcPr>
          <w:p w14:paraId="5FEF170E"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51,185,500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0F"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16"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11"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1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13"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1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15"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1C"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17" w14:textId="3CD7AFBD"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8:REAGIM NËPËRMJET FORCIMIT TË KAPACITETEVE TË INSTITUCIONEVE PËRKATËSE PËR T</w:t>
            </w:r>
            <w:r w:rsidR="0041767D" w:rsidRPr="00795698">
              <w:rPr>
                <w:rFonts w:ascii="Arial" w:hAnsi="Arial" w:cs="Arial"/>
                <w:b/>
                <w:bCs/>
                <w:color w:val="000000"/>
                <w:sz w:val="12"/>
                <w:szCs w:val="12"/>
                <w:lang w:eastAsia="sq-AL"/>
              </w:rPr>
              <w:t>’</w:t>
            </w:r>
            <w:r w:rsidRPr="00795698">
              <w:rPr>
                <w:rFonts w:ascii="Arial" w:hAnsi="Arial" w:cs="Arial"/>
                <w:b/>
                <w:bCs/>
                <w:color w:val="000000"/>
                <w:sz w:val="12"/>
                <w:szCs w:val="12"/>
                <w:lang w:eastAsia="sq-AL"/>
              </w:rPr>
              <w:t>IU PËRGJIGJUR SULMEVE TERRORISTE.</w:t>
            </w:r>
          </w:p>
        </w:tc>
        <w:tc>
          <w:tcPr>
            <w:tcW w:w="1560" w:type="dxa"/>
            <w:tcBorders>
              <w:top w:val="nil"/>
              <w:left w:val="nil"/>
              <w:bottom w:val="single" w:sz="8" w:space="0" w:color="8EAADB"/>
              <w:right w:val="single" w:sz="8" w:space="0" w:color="8EAADB"/>
            </w:tcBorders>
            <w:shd w:val="clear" w:color="000000" w:fill="D9E2F3"/>
            <w:vAlign w:val="center"/>
            <w:hideMark/>
          </w:tcPr>
          <w:p w14:paraId="5FEF1718"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19"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12,780,000</w:t>
            </w:r>
          </w:p>
        </w:tc>
        <w:tc>
          <w:tcPr>
            <w:tcW w:w="1900" w:type="dxa"/>
            <w:tcBorders>
              <w:top w:val="nil"/>
              <w:left w:val="nil"/>
              <w:bottom w:val="single" w:sz="8" w:space="0" w:color="8EAADB"/>
              <w:right w:val="single" w:sz="8" w:space="0" w:color="8EAADB"/>
            </w:tcBorders>
            <w:shd w:val="clear" w:color="000000" w:fill="D9E2F3"/>
            <w:vAlign w:val="center"/>
            <w:hideMark/>
          </w:tcPr>
          <w:p w14:paraId="5FEF171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12,780,000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1B"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22"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1D"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1E"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1F"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20"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21"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28"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23"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9:REAGIM NËPËRMJET REDUKTIMIT DHE LEHTËSIMIT TË PASOJAVE NGA NJË SULM TERRORIST</w:t>
            </w:r>
          </w:p>
        </w:tc>
        <w:tc>
          <w:tcPr>
            <w:tcW w:w="1560" w:type="dxa"/>
            <w:tcBorders>
              <w:top w:val="nil"/>
              <w:left w:val="nil"/>
              <w:bottom w:val="single" w:sz="8" w:space="0" w:color="8EAADB"/>
              <w:right w:val="single" w:sz="8" w:space="0" w:color="8EAADB"/>
            </w:tcBorders>
            <w:shd w:val="clear" w:color="000000" w:fill="D9E2F3"/>
            <w:vAlign w:val="center"/>
            <w:hideMark/>
          </w:tcPr>
          <w:p w14:paraId="5FEF172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25"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10,500,000</w:t>
            </w:r>
          </w:p>
        </w:tc>
        <w:tc>
          <w:tcPr>
            <w:tcW w:w="1900" w:type="dxa"/>
            <w:tcBorders>
              <w:top w:val="nil"/>
              <w:left w:val="nil"/>
              <w:bottom w:val="single" w:sz="8" w:space="0" w:color="8EAADB"/>
              <w:right w:val="single" w:sz="8" w:space="0" w:color="8EAADB"/>
            </w:tcBorders>
            <w:shd w:val="clear" w:color="000000" w:fill="D9E2F3"/>
            <w:vAlign w:val="center"/>
            <w:hideMark/>
          </w:tcPr>
          <w:p w14:paraId="5FEF172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10,500,000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27"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2E"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29"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2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2B"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2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2D"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34"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2F"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 xml:space="preserve">II. QËLLIMI I POLITIKËS 10:PËRGATITJA PËR MENAXHIMIN E INCIDENTEVE TERRORISTE QË PËRFSHIJNË PËRDORIMIN E MATERIALEVE CBRN </w:t>
            </w:r>
          </w:p>
        </w:tc>
        <w:tc>
          <w:tcPr>
            <w:tcW w:w="1560" w:type="dxa"/>
            <w:tcBorders>
              <w:top w:val="nil"/>
              <w:left w:val="nil"/>
              <w:bottom w:val="single" w:sz="8" w:space="0" w:color="8EAADB"/>
              <w:right w:val="single" w:sz="8" w:space="0" w:color="8EAADB"/>
            </w:tcBorders>
            <w:shd w:val="clear" w:color="000000" w:fill="D9E2F3"/>
            <w:vAlign w:val="center"/>
            <w:hideMark/>
          </w:tcPr>
          <w:p w14:paraId="5FEF1730"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31"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2,700,000</w:t>
            </w:r>
          </w:p>
        </w:tc>
        <w:tc>
          <w:tcPr>
            <w:tcW w:w="1900" w:type="dxa"/>
            <w:tcBorders>
              <w:top w:val="nil"/>
              <w:left w:val="nil"/>
              <w:bottom w:val="single" w:sz="8" w:space="0" w:color="8EAADB"/>
              <w:right w:val="single" w:sz="8" w:space="0" w:color="8EAADB"/>
            </w:tcBorders>
            <w:shd w:val="clear" w:color="000000" w:fill="D9E2F3"/>
            <w:vAlign w:val="center"/>
            <w:hideMark/>
          </w:tcPr>
          <w:p w14:paraId="5FEF173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2,700,000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33"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3A"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35"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3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37"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38"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39"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40"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3B"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11: RRITJA E NIVELIT TË SIGURISË NË FUSHËN E TRANSPORTIT, TREGTISË, SHKËMBIMIT TË MALLRAVE DHE SHËRBIMEVE</w:t>
            </w:r>
          </w:p>
        </w:tc>
        <w:tc>
          <w:tcPr>
            <w:tcW w:w="1560" w:type="dxa"/>
            <w:tcBorders>
              <w:top w:val="nil"/>
              <w:left w:val="nil"/>
              <w:bottom w:val="single" w:sz="8" w:space="0" w:color="8EAADB"/>
              <w:right w:val="single" w:sz="8" w:space="0" w:color="8EAADB"/>
            </w:tcBorders>
            <w:shd w:val="clear" w:color="000000" w:fill="D9E2F3"/>
            <w:vAlign w:val="center"/>
            <w:hideMark/>
          </w:tcPr>
          <w:p w14:paraId="5FEF173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3D"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13,932,000</w:t>
            </w:r>
          </w:p>
        </w:tc>
        <w:tc>
          <w:tcPr>
            <w:tcW w:w="1900" w:type="dxa"/>
            <w:tcBorders>
              <w:top w:val="nil"/>
              <w:left w:val="nil"/>
              <w:bottom w:val="single" w:sz="8" w:space="0" w:color="8EAADB"/>
              <w:right w:val="single" w:sz="8" w:space="0" w:color="8EAADB"/>
            </w:tcBorders>
            <w:shd w:val="clear" w:color="000000" w:fill="D9E2F3"/>
            <w:vAlign w:val="center"/>
            <w:hideMark/>
          </w:tcPr>
          <w:p w14:paraId="5FEF173E"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13,932,000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3F"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46"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41"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4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43"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4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45"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4C"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47" w14:textId="77777777"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12: RRITJA E NIVELIT TË MBROJTJES SË INFRASTRUKTURËS KRITIKE.</w:t>
            </w:r>
          </w:p>
        </w:tc>
        <w:tc>
          <w:tcPr>
            <w:tcW w:w="1560" w:type="dxa"/>
            <w:tcBorders>
              <w:top w:val="nil"/>
              <w:left w:val="nil"/>
              <w:bottom w:val="single" w:sz="8" w:space="0" w:color="8EAADB"/>
              <w:right w:val="single" w:sz="8" w:space="0" w:color="8EAADB"/>
            </w:tcBorders>
            <w:shd w:val="clear" w:color="000000" w:fill="D9E2F3"/>
            <w:vAlign w:val="center"/>
            <w:hideMark/>
          </w:tcPr>
          <w:p w14:paraId="5FEF1748"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49"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6,598,000</w:t>
            </w:r>
          </w:p>
        </w:tc>
        <w:tc>
          <w:tcPr>
            <w:tcW w:w="1900" w:type="dxa"/>
            <w:tcBorders>
              <w:top w:val="nil"/>
              <w:left w:val="nil"/>
              <w:bottom w:val="single" w:sz="8" w:space="0" w:color="8EAADB"/>
              <w:right w:val="single" w:sz="8" w:space="0" w:color="8EAADB"/>
            </w:tcBorders>
            <w:shd w:val="clear" w:color="000000" w:fill="D9E2F3"/>
            <w:vAlign w:val="center"/>
            <w:hideMark/>
          </w:tcPr>
          <w:p w14:paraId="5FEF174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6,598,000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4B"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52"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4D"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4E"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4F"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50"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51"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58" w14:textId="77777777" w:rsidTr="0083073C">
        <w:trPr>
          <w:trHeight w:val="180"/>
        </w:trPr>
        <w:tc>
          <w:tcPr>
            <w:tcW w:w="612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1753" w14:textId="06744F5E" w:rsidR="0083073C" w:rsidRPr="00795698" w:rsidRDefault="0083073C" w:rsidP="0083073C">
            <w:pPr>
              <w:rPr>
                <w:rFonts w:ascii="Arial" w:hAnsi="Arial" w:cs="Arial"/>
                <w:b/>
                <w:bCs/>
                <w:color w:val="000000"/>
                <w:sz w:val="12"/>
                <w:szCs w:val="12"/>
                <w:lang w:eastAsia="sq-AL"/>
              </w:rPr>
            </w:pPr>
            <w:r w:rsidRPr="00795698">
              <w:rPr>
                <w:rFonts w:ascii="Arial" w:hAnsi="Arial" w:cs="Arial"/>
                <w:b/>
                <w:bCs/>
                <w:color w:val="000000"/>
                <w:sz w:val="12"/>
                <w:szCs w:val="12"/>
                <w:lang w:eastAsia="sq-AL"/>
              </w:rPr>
              <w:t>II. QËLLIMI I POLITIKËS 13: MBROJTJA NGA KËRCËNIMET TERRORISTE QË</w:t>
            </w:r>
            <w:r w:rsidR="005E41AA" w:rsidRPr="00795698">
              <w:rPr>
                <w:rFonts w:ascii="Arial" w:hAnsi="Arial" w:cs="Arial"/>
                <w:b/>
                <w:bCs/>
                <w:color w:val="000000"/>
                <w:sz w:val="12"/>
                <w:szCs w:val="12"/>
                <w:lang w:eastAsia="sq-AL"/>
              </w:rPr>
              <w:t xml:space="preserve"> cenoj</w:t>
            </w:r>
            <w:r w:rsidRPr="00795698">
              <w:rPr>
                <w:rFonts w:ascii="Arial" w:hAnsi="Arial" w:cs="Arial"/>
                <w:b/>
                <w:bCs/>
                <w:color w:val="000000"/>
                <w:sz w:val="12"/>
                <w:szCs w:val="12"/>
                <w:lang w:eastAsia="sq-AL"/>
              </w:rPr>
              <w:t>NË VENDDISLOKIMET/INFRASTRUKTURËN, PAJISJET KRITIKE DHE SISTEMET E MBROJTJES SË MINISTRISË SË MBROJTJES DHE FARSH-SË.</w:t>
            </w:r>
          </w:p>
        </w:tc>
        <w:tc>
          <w:tcPr>
            <w:tcW w:w="1560" w:type="dxa"/>
            <w:tcBorders>
              <w:top w:val="nil"/>
              <w:left w:val="nil"/>
              <w:bottom w:val="single" w:sz="8" w:space="0" w:color="8EAADB"/>
              <w:right w:val="single" w:sz="8" w:space="0" w:color="8EAADB"/>
            </w:tcBorders>
            <w:shd w:val="clear" w:color="000000" w:fill="D9E2F3"/>
            <w:vAlign w:val="center"/>
            <w:hideMark/>
          </w:tcPr>
          <w:p w14:paraId="5FEF1754"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1755"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16,092,000</w:t>
            </w:r>
          </w:p>
        </w:tc>
        <w:tc>
          <w:tcPr>
            <w:tcW w:w="1900" w:type="dxa"/>
            <w:tcBorders>
              <w:top w:val="nil"/>
              <w:left w:val="nil"/>
              <w:bottom w:val="single" w:sz="8" w:space="0" w:color="8EAADB"/>
              <w:right w:val="single" w:sz="8" w:space="0" w:color="8EAADB"/>
            </w:tcBorders>
            <w:shd w:val="clear" w:color="000000" w:fill="D9E2F3"/>
            <w:vAlign w:val="center"/>
            <w:hideMark/>
          </w:tcPr>
          <w:p w14:paraId="5FEF1756"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16,092,000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1757" w14:textId="77777777" w:rsidR="0083073C" w:rsidRPr="00795698" w:rsidRDefault="0083073C" w:rsidP="0083073C">
            <w:pPr>
              <w:jc w:val="center"/>
              <w:rPr>
                <w:rFonts w:ascii="Arial" w:hAnsi="Arial" w:cs="Arial"/>
                <w:b/>
                <w:bCs/>
                <w:i/>
                <w:iCs/>
                <w:color w:val="000000"/>
                <w:sz w:val="12"/>
                <w:szCs w:val="12"/>
                <w:lang w:eastAsia="sq-AL"/>
              </w:rPr>
            </w:pPr>
            <w:r w:rsidRPr="00795698">
              <w:rPr>
                <w:rFonts w:ascii="Arial" w:hAnsi="Arial" w:cs="Arial"/>
                <w:b/>
                <w:bCs/>
                <w:i/>
                <w:iCs/>
                <w:color w:val="000000"/>
                <w:sz w:val="12"/>
                <w:szCs w:val="12"/>
                <w:lang w:eastAsia="sq-AL"/>
              </w:rPr>
              <w:t>0</w:t>
            </w:r>
          </w:p>
        </w:tc>
      </w:tr>
      <w:tr w:rsidR="0083073C" w:rsidRPr="00795698" w14:paraId="5FEF175E" w14:textId="77777777" w:rsidTr="0083073C">
        <w:trPr>
          <w:trHeight w:val="180"/>
        </w:trPr>
        <w:tc>
          <w:tcPr>
            <w:tcW w:w="6120" w:type="dxa"/>
            <w:vMerge/>
            <w:tcBorders>
              <w:top w:val="single" w:sz="8" w:space="0" w:color="4472C4"/>
              <w:left w:val="single" w:sz="8" w:space="0" w:color="auto"/>
              <w:bottom w:val="single" w:sz="8" w:space="0" w:color="8EAADB"/>
              <w:right w:val="single" w:sz="8" w:space="0" w:color="8EAADB"/>
            </w:tcBorders>
            <w:vAlign w:val="center"/>
            <w:hideMark/>
          </w:tcPr>
          <w:p w14:paraId="5FEF1759" w14:textId="77777777" w:rsidR="0083073C" w:rsidRPr="00795698" w:rsidRDefault="0083073C" w:rsidP="0083073C">
            <w:pPr>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175A"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175B"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900" w:type="dxa"/>
            <w:tcBorders>
              <w:top w:val="nil"/>
              <w:left w:val="nil"/>
              <w:bottom w:val="single" w:sz="8" w:space="0" w:color="8EAADB"/>
              <w:right w:val="single" w:sz="8" w:space="0" w:color="8EAADB"/>
            </w:tcBorders>
            <w:shd w:val="clear" w:color="auto" w:fill="auto"/>
            <w:vAlign w:val="center"/>
            <w:hideMark/>
          </w:tcPr>
          <w:p w14:paraId="5FEF175C"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FEF175D" w14:textId="77777777" w:rsidR="0083073C" w:rsidRPr="00795698" w:rsidRDefault="0083073C" w:rsidP="0083073C">
            <w:pPr>
              <w:rPr>
                <w:rFonts w:ascii="Arial" w:hAnsi="Arial" w:cs="Arial"/>
                <w:b/>
                <w:bCs/>
                <w:i/>
                <w:iCs/>
                <w:color w:val="000000"/>
                <w:sz w:val="12"/>
                <w:szCs w:val="12"/>
                <w:lang w:eastAsia="sq-AL"/>
              </w:rPr>
            </w:pPr>
          </w:p>
        </w:tc>
      </w:tr>
      <w:tr w:rsidR="0083073C" w:rsidRPr="00795698" w14:paraId="5FEF1764" w14:textId="77777777" w:rsidTr="0083073C">
        <w:trPr>
          <w:trHeight w:val="180"/>
        </w:trPr>
        <w:tc>
          <w:tcPr>
            <w:tcW w:w="6120" w:type="dxa"/>
            <w:tcBorders>
              <w:top w:val="nil"/>
              <w:left w:val="single" w:sz="8" w:space="0" w:color="auto"/>
              <w:bottom w:val="single" w:sz="8" w:space="0" w:color="8EAADB"/>
              <w:right w:val="single" w:sz="8" w:space="0" w:color="8EAADB"/>
            </w:tcBorders>
            <w:shd w:val="clear" w:color="000000" w:fill="D9E2F3"/>
            <w:vAlign w:val="center"/>
            <w:hideMark/>
          </w:tcPr>
          <w:p w14:paraId="5FEF175F" w14:textId="77777777" w:rsidR="0083073C" w:rsidRPr="00795698" w:rsidRDefault="0083073C" w:rsidP="0083073C">
            <w:pPr>
              <w:jc w:val="right"/>
              <w:rPr>
                <w:rFonts w:ascii="Arial" w:hAnsi="Arial" w:cs="Arial"/>
                <w:b/>
                <w:bCs/>
                <w:color w:val="000000"/>
                <w:sz w:val="12"/>
                <w:szCs w:val="12"/>
                <w:lang w:eastAsia="sq-AL"/>
              </w:rPr>
            </w:pPr>
            <w:r w:rsidRPr="00795698">
              <w:rPr>
                <w:rFonts w:ascii="Arial" w:hAnsi="Arial" w:cs="Arial"/>
                <w:b/>
                <w:bCs/>
                <w:color w:val="000000"/>
                <w:sz w:val="12"/>
                <w:szCs w:val="12"/>
                <w:lang w:eastAsia="sq-AL"/>
              </w:rPr>
              <w:t>TOTALI [Lekë]</w:t>
            </w:r>
          </w:p>
        </w:tc>
        <w:tc>
          <w:tcPr>
            <w:tcW w:w="1560" w:type="dxa"/>
            <w:tcBorders>
              <w:top w:val="nil"/>
              <w:left w:val="nil"/>
              <w:bottom w:val="single" w:sz="8" w:space="0" w:color="8EAADB"/>
              <w:right w:val="single" w:sz="8" w:space="0" w:color="8EAADB"/>
            </w:tcBorders>
            <w:shd w:val="clear" w:color="000000" w:fill="D9E2F3"/>
            <w:vAlign w:val="center"/>
            <w:hideMark/>
          </w:tcPr>
          <w:p w14:paraId="5FEF1760" w14:textId="7777777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2"/>
                <w:szCs w:val="12"/>
                <w:lang w:eastAsia="sq-AL"/>
              </w:rPr>
              <w:t> </w:t>
            </w:r>
          </w:p>
        </w:tc>
        <w:tc>
          <w:tcPr>
            <w:tcW w:w="1600" w:type="dxa"/>
            <w:tcBorders>
              <w:top w:val="nil"/>
              <w:left w:val="nil"/>
              <w:bottom w:val="single" w:sz="8" w:space="0" w:color="8EAADB"/>
              <w:right w:val="single" w:sz="8" w:space="0" w:color="8EAADB"/>
            </w:tcBorders>
            <w:shd w:val="clear" w:color="000000" w:fill="D9E2F3"/>
            <w:vAlign w:val="center"/>
            <w:hideMark/>
          </w:tcPr>
          <w:p w14:paraId="5FEF1761" w14:textId="7777777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2"/>
                <w:szCs w:val="12"/>
                <w:lang w:eastAsia="sq-AL"/>
              </w:rPr>
              <w:t>2,326,949,515</w:t>
            </w:r>
          </w:p>
        </w:tc>
        <w:tc>
          <w:tcPr>
            <w:tcW w:w="1900" w:type="dxa"/>
            <w:tcBorders>
              <w:top w:val="nil"/>
              <w:left w:val="nil"/>
              <w:bottom w:val="single" w:sz="8" w:space="0" w:color="8EAADB"/>
              <w:right w:val="single" w:sz="8" w:space="0" w:color="8EAADB"/>
            </w:tcBorders>
            <w:shd w:val="clear" w:color="000000" w:fill="D9E2F3"/>
            <w:vAlign w:val="center"/>
            <w:hideMark/>
          </w:tcPr>
          <w:p w14:paraId="5FEF1762" w14:textId="77777777" w:rsidR="0083073C" w:rsidRPr="00795698" w:rsidRDefault="0083073C" w:rsidP="0083073C">
            <w:pPr>
              <w:jc w:val="center"/>
              <w:rPr>
                <w:rFonts w:ascii="Arial" w:hAnsi="Arial" w:cs="Arial"/>
                <w:color w:val="000000"/>
                <w:sz w:val="12"/>
                <w:szCs w:val="12"/>
                <w:lang w:eastAsia="sq-AL"/>
              </w:rPr>
            </w:pPr>
            <w:r w:rsidRPr="00795698">
              <w:rPr>
                <w:rFonts w:ascii="Arial" w:hAnsi="Arial" w:cs="Arial"/>
                <w:color w:val="000000"/>
                <w:sz w:val="12"/>
                <w:szCs w:val="12"/>
                <w:lang w:eastAsia="sq-AL"/>
              </w:rPr>
              <w:t>2,326,949,515</w:t>
            </w:r>
          </w:p>
        </w:tc>
        <w:tc>
          <w:tcPr>
            <w:tcW w:w="1440" w:type="dxa"/>
            <w:tcBorders>
              <w:top w:val="single" w:sz="8" w:space="0" w:color="4472C4"/>
              <w:left w:val="single" w:sz="8" w:space="0" w:color="4472C4"/>
              <w:bottom w:val="nil"/>
              <w:right w:val="nil"/>
            </w:tcBorders>
            <w:shd w:val="clear" w:color="000000" w:fill="D9E2F3"/>
            <w:vAlign w:val="center"/>
            <w:hideMark/>
          </w:tcPr>
          <w:p w14:paraId="5FEF1763" w14:textId="7777777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2"/>
                <w:szCs w:val="12"/>
                <w:lang w:eastAsia="sq-AL"/>
              </w:rPr>
              <w:t>0</w:t>
            </w:r>
          </w:p>
        </w:tc>
      </w:tr>
      <w:tr w:rsidR="0083073C" w:rsidRPr="00795698" w14:paraId="5FEF176A" w14:textId="77777777" w:rsidTr="0083073C">
        <w:trPr>
          <w:trHeight w:val="180"/>
        </w:trPr>
        <w:tc>
          <w:tcPr>
            <w:tcW w:w="6120" w:type="dxa"/>
            <w:tcBorders>
              <w:top w:val="nil"/>
              <w:left w:val="single" w:sz="8" w:space="0" w:color="auto"/>
              <w:bottom w:val="nil"/>
              <w:right w:val="single" w:sz="8" w:space="0" w:color="8EAADB"/>
            </w:tcBorders>
            <w:shd w:val="clear" w:color="auto" w:fill="auto"/>
            <w:vAlign w:val="center"/>
            <w:hideMark/>
          </w:tcPr>
          <w:p w14:paraId="5FEF1765" w14:textId="77777777" w:rsidR="0083073C" w:rsidRPr="00795698" w:rsidRDefault="0083073C" w:rsidP="0083073C">
            <w:pPr>
              <w:jc w:val="right"/>
              <w:rPr>
                <w:rFonts w:ascii="Arial" w:hAnsi="Arial" w:cs="Arial"/>
                <w:b/>
                <w:bCs/>
                <w:color w:val="000000"/>
                <w:sz w:val="12"/>
                <w:szCs w:val="12"/>
                <w:lang w:eastAsia="sq-AL"/>
              </w:rPr>
            </w:pPr>
            <w:r w:rsidRPr="00795698">
              <w:rPr>
                <w:rFonts w:ascii="Arial" w:hAnsi="Arial" w:cs="Arial"/>
                <w:b/>
                <w:bCs/>
                <w:color w:val="000000"/>
                <w:sz w:val="12"/>
                <w:szCs w:val="12"/>
                <w:lang w:eastAsia="sq-AL"/>
              </w:rPr>
              <w:t>TOTALI [Euro]</w:t>
            </w:r>
          </w:p>
        </w:tc>
        <w:tc>
          <w:tcPr>
            <w:tcW w:w="15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F1766" w14:textId="7777777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2"/>
                <w:szCs w:val="12"/>
                <w:lang w:eastAsia="sq-AL"/>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F1767" w14:textId="77777777" w:rsidR="0083073C" w:rsidRPr="00795698" w:rsidRDefault="0083073C" w:rsidP="0083073C">
            <w:pPr>
              <w:jc w:val="center"/>
              <w:rPr>
                <w:rFonts w:ascii="Arial" w:hAnsi="Arial" w:cs="Arial"/>
                <w:b/>
                <w:bCs/>
                <w:color w:val="000000"/>
                <w:sz w:val="12"/>
                <w:szCs w:val="12"/>
                <w:lang w:eastAsia="sq-AL"/>
              </w:rPr>
            </w:pPr>
            <w:bookmarkStart w:id="128" w:name="RANGE!C32"/>
            <w:r w:rsidRPr="00795698">
              <w:rPr>
                <w:rFonts w:ascii="Arial" w:hAnsi="Arial" w:cs="Arial"/>
                <w:b/>
                <w:bCs/>
                <w:color w:val="000000"/>
                <w:sz w:val="12"/>
                <w:szCs w:val="12"/>
                <w:lang w:eastAsia="sq-AL"/>
              </w:rPr>
              <w:t>18,918,289</w:t>
            </w:r>
            <w:bookmarkEnd w:id="128"/>
          </w:p>
        </w:tc>
        <w:tc>
          <w:tcPr>
            <w:tcW w:w="19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F1768" w14:textId="7777777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2"/>
                <w:szCs w:val="12"/>
                <w:lang w:eastAsia="sq-AL"/>
              </w:rPr>
              <w:t>18,918,289</w:t>
            </w:r>
          </w:p>
        </w:tc>
        <w:tc>
          <w:tcPr>
            <w:tcW w:w="1440" w:type="dxa"/>
            <w:vMerge w:val="restart"/>
            <w:tcBorders>
              <w:top w:val="single" w:sz="8" w:space="0" w:color="4472C4"/>
              <w:left w:val="single" w:sz="8" w:space="0" w:color="8EAADB"/>
              <w:bottom w:val="single" w:sz="8" w:space="0" w:color="000000"/>
              <w:right w:val="nil"/>
            </w:tcBorders>
            <w:shd w:val="clear" w:color="auto" w:fill="auto"/>
            <w:vAlign w:val="center"/>
            <w:hideMark/>
          </w:tcPr>
          <w:p w14:paraId="5FEF1769" w14:textId="77777777" w:rsidR="0083073C" w:rsidRPr="00795698" w:rsidRDefault="0083073C" w:rsidP="0083073C">
            <w:pPr>
              <w:jc w:val="center"/>
              <w:rPr>
                <w:rFonts w:ascii="Arial" w:hAnsi="Arial" w:cs="Arial"/>
                <w:b/>
                <w:bCs/>
                <w:color w:val="000000"/>
                <w:sz w:val="12"/>
                <w:szCs w:val="12"/>
                <w:lang w:eastAsia="sq-AL"/>
              </w:rPr>
            </w:pPr>
            <w:r w:rsidRPr="00795698">
              <w:rPr>
                <w:rFonts w:ascii="Arial" w:hAnsi="Arial" w:cs="Arial"/>
                <w:b/>
                <w:bCs/>
                <w:color w:val="000000"/>
                <w:sz w:val="12"/>
                <w:szCs w:val="12"/>
                <w:lang w:eastAsia="sq-AL"/>
              </w:rPr>
              <w:t>0</w:t>
            </w:r>
          </w:p>
        </w:tc>
      </w:tr>
      <w:tr w:rsidR="0083073C" w:rsidRPr="00795698" w14:paraId="5FEF1770" w14:textId="77777777" w:rsidTr="0083073C">
        <w:trPr>
          <w:trHeight w:val="180"/>
        </w:trPr>
        <w:tc>
          <w:tcPr>
            <w:tcW w:w="6120" w:type="dxa"/>
            <w:tcBorders>
              <w:top w:val="nil"/>
              <w:left w:val="single" w:sz="8" w:space="0" w:color="auto"/>
              <w:bottom w:val="single" w:sz="8" w:space="0" w:color="auto"/>
              <w:right w:val="single" w:sz="8" w:space="0" w:color="8EAADB"/>
            </w:tcBorders>
            <w:shd w:val="clear" w:color="auto" w:fill="auto"/>
            <w:vAlign w:val="center"/>
            <w:hideMark/>
          </w:tcPr>
          <w:p w14:paraId="5FEF176B" w14:textId="77777777" w:rsidR="0083073C" w:rsidRPr="00795698" w:rsidRDefault="0083073C" w:rsidP="0083073C">
            <w:pPr>
              <w:jc w:val="right"/>
              <w:rPr>
                <w:rFonts w:ascii="Arial" w:hAnsi="Arial" w:cs="Arial"/>
                <w:b/>
                <w:bCs/>
                <w:i/>
                <w:iCs/>
                <w:color w:val="FF0000"/>
                <w:sz w:val="12"/>
                <w:szCs w:val="12"/>
                <w:lang w:eastAsia="sq-AL"/>
              </w:rPr>
            </w:pPr>
            <w:r w:rsidRPr="00795698">
              <w:rPr>
                <w:rFonts w:ascii="Arial" w:hAnsi="Arial" w:cs="Arial"/>
                <w:b/>
                <w:bCs/>
                <w:i/>
                <w:iCs/>
                <w:color w:val="FF0000"/>
                <w:sz w:val="12"/>
                <w:szCs w:val="12"/>
                <w:lang w:eastAsia="sq-AL"/>
              </w:rPr>
              <w:t>1 euro 123 Lekë</w:t>
            </w:r>
          </w:p>
        </w:tc>
        <w:tc>
          <w:tcPr>
            <w:tcW w:w="1560" w:type="dxa"/>
            <w:vMerge/>
            <w:tcBorders>
              <w:top w:val="nil"/>
              <w:left w:val="single" w:sz="8" w:space="0" w:color="8EAADB"/>
              <w:bottom w:val="single" w:sz="8" w:space="0" w:color="000000"/>
              <w:right w:val="single" w:sz="8" w:space="0" w:color="8EAADB"/>
            </w:tcBorders>
            <w:vAlign w:val="center"/>
            <w:hideMark/>
          </w:tcPr>
          <w:p w14:paraId="5FEF176C" w14:textId="77777777" w:rsidR="0083073C" w:rsidRPr="00795698" w:rsidRDefault="0083073C" w:rsidP="0083073C">
            <w:pPr>
              <w:rPr>
                <w:rFonts w:ascii="Arial" w:hAnsi="Arial" w:cs="Arial"/>
                <w:b/>
                <w:bCs/>
                <w:color w:val="000000"/>
                <w:sz w:val="12"/>
                <w:szCs w:val="12"/>
                <w:lang w:eastAsia="sq-AL"/>
              </w:rPr>
            </w:pPr>
          </w:p>
        </w:tc>
        <w:tc>
          <w:tcPr>
            <w:tcW w:w="1600" w:type="dxa"/>
            <w:vMerge/>
            <w:tcBorders>
              <w:top w:val="nil"/>
              <w:left w:val="single" w:sz="8" w:space="0" w:color="8EAADB"/>
              <w:bottom w:val="single" w:sz="8" w:space="0" w:color="000000"/>
              <w:right w:val="single" w:sz="8" w:space="0" w:color="8EAADB"/>
            </w:tcBorders>
            <w:vAlign w:val="center"/>
            <w:hideMark/>
          </w:tcPr>
          <w:p w14:paraId="5FEF176D" w14:textId="77777777" w:rsidR="0083073C" w:rsidRPr="00795698" w:rsidRDefault="0083073C" w:rsidP="0083073C">
            <w:pPr>
              <w:rPr>
                <w:rFonts w:ascii="Arial" w:hAnsi="Arial" w:cs="Arial"/>
                <w:b/>
                <w:bCs/>
                <w:color w:val="000000"/>
                <w:sz w:val="12"/>
                <w:szCs w:val="12"/>
                <w:lang w:eastAsia="sq-AL"/>
              </w:rPr>
            </w:pPr>
          </w:p>
        </w:tc>
        <w:tc>
          <w:tcPr>
            <w:tcW w:w="1900" w:type="dxa"/>
            <w:vMerge/>
            <w:tcBorders>
              <w:top w:val="nil"/>
              <w:left w:val="single" w:sz="8" w:space="0" w:color="8EAADB"/>
              <w:bottom w:val="single" w:sz="8" w:space="0" w:color="000000"/>
              <w:right w:val="single" w:sz="8" w:space="0" w:color="8EAADB"/>
            </w:tcBorders>
            <w:vAlign w:val="center"/>
            <w:hideMark/>
          </w:tcPr>
          <w:p w14:paraId="5FEF176E" w14:textId="77777777" w:rsidR="0083073C" w:rsidRPr="00795698" w:rsidRDefault="0083073C" w:rsidP="0083073C">
            <w:pPr>
              <w:rPr>
                <w:rFonts w:ascii="Arial" w:hAnsi="Arial" w:cs="Arial"/>
                <w:b/>
                <w:bCs/>
                <w:color w:val="000000"/>
                <w:sz w:val="12"/>
                <w:szCs w:val="12"/>
                <w:lang w:eastAsia="sq-AL"/>
              </w:rPr>
            </w:pPr>
          </w:p>
        </w:tc>
        <w:tc>
          <w:tcPr>
            <w:tcW w:w="1440" w:type="dxa"/>
            <w:vMerge/>
            <w:tcBorders>
              <w:top w:val="single" w:sz="8" w:space="0" w:color="4472C4"/>
              <w:left w:val="single" w:sz="8" w:space="0" w:color="8EAADB"/>
              <w:bottom w:val="single" w:sz="8" w:space="0" w:color="000000"/>
              <w:right w:val="nil"/>
            </w:tcBorders>
            <w:vAlign w:val="center"/>
            <w:hideMark/>
          </w:tcPr>
          <w:p w14:paraId="5FEF176F" w14:textId="77777777" w:rsidR="0083073C" w:rsidRPr="00795698" w:rsidRDefault="0083073C" w:rsidP="0083073C">
            <w:pPr>
              <w:rPr>
                <w:rFonts w:ascii="Arial" w:hAnsi="Arial" w:cs="Arial"/>
                <w:b/>
                <w:bCs/>
                <w:color w:val="000000"/>
                <w:sz w:val="12"/>
                <w:szCs w:val="12"/>
                <w:lang w:eastAsia="sq-AL"/>
              </w:rPr>
            </w:pPr>
          </w:p>
        </w:tc>
      </w:tr>
    </w:tbl>
    <w:p w14:paraId="5FEF1771" w14:textId="77777777" w:rsidR="0083073C" w:rsidRPr="00795698" w:rsidRDefault="0083073C" w:rsidP="00484F64">
      <w:pPr>
        <w:pStyle w:val="TEKSTIIIII"/>
        <w:rPr>
          <w:i/>
          <w:sz w:val="18"/>
          <w:lang w:val="sq-AL"/>
        </w:rPr>
      </w:pPr>
    </w:p>
    <w:p w14:paraId="5FEF1772" w14:textId="77777777" w:rsidR="0083073C" w:rsidRPr="00795698" w:rsidRDefault="0083073C" w:rsidP="00484F64">
      <w:pPr>
        <w:pStyle w:val="TEKSTIIIII"/>
        <w:rPr>
          <w:i/>
          <w:sz w:val="18"/>
          <w:lang w:val="sq-AL"/>
        </w:rPr>
      </w:pPr>
    </w:p>
    <w:p w14:paraId="5FEF1773" w14:textId="77777777" w:rsidR="0083073C" w:rsidRPr="00795698" w:rsidRDefault="0083073C" w:rsidP="00484F64">
      <w:pPr>
        <w:pStyle w:val="TEKSTIIIII"/>
        <w:rPr>
          <w:i/>
          <w:sz w:val="18"/>
          <w:lang w:val="sq-AL"/>
        </w:rPr>
      </w:pPr>
    </w:p>
    <w:p w14:paraId="5FEF1774" w14:textId="77777777" w:rsidR="0083073C" w:rsidRPr="00795698" w:rsidRDefault="0083073C" w:rsidP="00484F64">
      <w:pPr>
        <w:pStyle w:val="TEKSTIIIII"/>
        <w:rPr>
          <w:i/>
          <w:sz w:val="18"/>
          <w:lang w:val="sq-AL"/>
        </w:rPr>
      </w:pPr>
    </w:p>
    <w:p w14:paraId="5FEF1775" w14:textId="77777777" w:rsidR="004E41AF" w:rsidRPr="00795698" w:rsidRDefault="004E41AF" w:rsidP="00484F64">
      <w:pPr>
        <w:pStyle w:val="TEKSTIIIII"/>
        <w:rPr>
          <w:i/>
          <w:sz w:val="18"/>
          <w:lang w:val="sq-AL"/>
        </w:rPr>
      </w:pPr>
    </w:p>
    <w:p w14:paraId="5FEF1776" w14:textId="77777777" w:rsidR="004E41AF" w:rsidRPr="00795698" w:rsidRDefault="004E41AF" w:rsidP="00484F64">
      <w:pPr>
        <w:pStyle w:val="TEKSTIIIII"/>
        <w:rPr>
          <w:i/>
          <w:sz w:val="18"/>
          <w:lang w:val="sq-AL"/>
        </w:rPr>
      </w:pPr>
    </w:p>
    <w:p w14:paraId="5FEF1777" w14:textId="77777777" w:rsidR="004E41AF" w:rsidRPr="00795698" w:rsidRDefault="004E41AF" w:rsidP="00484F64">
      <w:pPr>
        <w:pStyle w:val="TEKSTIIIII"/>
        <w:rPr>
          <w:i/>
          <w:sz w:val="18"/>
          <w:lang w:val="sq-AL"/>
        </w:rPr>
      </w:pPr>
    </w:p>
    <w:p w14:paraId="5FEF1778" w14:textId="77777777" w:rsidR="004E41AF" w:rsidRPr="00795698" w:rsidRDefault="004E41AF" w:rsidP="00484F64">
      <w:pPr>
        <w:pStyle w:val="TEKSTIIIII"/>
        <w:rPr>
          <w:i/>
          <w:sz w:val="18"/>
          <w:lang w:val="sq-AL"/>
        </w:rPr>
      </w:pPr>
    </w:p>
    <w:p w14:paraId="5FEF1779" w14:textId="77777777" w:rsidR="004E41AF" w:rsidRPr="00795698" w:rsidRDefault="004E41AF" w:rsidP="00484F64">
      <w:pPr>
        <w:pStyle w:val="TEKSTIIIII"/>
        <w:rPr>
          <w:i/>
          <w:sz w:val="18"/>
          <w:lang w:val="sq-AL"/>
        </w:rPr>
      </w:pPr>
    </w:p>
    <w:p w14:paraId="5FEF177A" w14:textId="77777777" w:rsidR="004E41AF" w:rsidRPr="00795698" w:rsidRDefault="004E41AF" w:rsidP="00484F64">
      <w:pPr>
        <w:pStyle w:val="TEKSTIIIII"/>
        <w:rPr>
          <w:i/>
          <w:sz w:val="18"/>
          <w:lang w:val="sq-AL"/>
        </w:rPr>
      </w:pPr>
    </w:p>
    <w:p w14:paraId="5FEF177B" w14:textId="77777777" w:rsidR="004E41AF" w:rsidRPr="00795698" w:rsidRDefault="004E41AF" w:rsidP="00484F64">
      <w:pPr>
        <w:pStyle w:val="TEKSTIIIII"/>
        <w:rPr>
          <w:i/>
          <w:sz w:val="18"/>
          <w:lang w:val="sq-AL"/>
        </w:rPr>
      </w:pPr>
    </w:p>
    <w:p w14:paraId="5FEF177C" w14:textId="77777777" w:rsidR="004E41AF" w:rsidRPr="00795698" w:rsidRDefault="004E41AF" w:rsidP="00484F64">
      <w:pPr>
        <w:pStyle w:val="TEKSTIIIII"/>
        <w:rPr>
          <w:i/>
          <w:sz w:val="18"/>
          <w:lang w:val="sq-AL"/>
        </w:rPr>
      </w:pPr>
    </w:p>
    <w:p w14:paraId="5FEF177D" w14:textId="77777777" w:rsidR="004E41AF" w:rsidRPr="00795698" w:rsidRDefault="004E41AF" w:rsidP="00484F64">
      <w:pPr>
        <w:pStyle w:val="TEKSTIIIII"/>
        <w:rPr>
          <w:i/>
          <w:sz w:val="18"/>
          <w:lang w:val="sq-AL"/>
        </w:rPr>
      </w:pPr>
    </w:p>
    <w:p w14:paraId="5FEF177E" w14:textId="77777777" w:rsidR="004E41AF" w:rsidRPr="00795698" w:rsidRDefault="004E41AF" w:rsidP="00484F64">
      <w:pPr>
        <w:pStyle w:val="TEKSTIIIII"/>
        <w:rPr>
          <w:i/>
          <w:sz w:val="18"/>
          <w:lang w:val="sq-AL"/>
        </w:rPr>
      </w:pPr>
    </w:p>
    <w:p w14:paraId="5FEF177F" w14:textId="77777777" w:rsidR="004E41AF" w:rsidRPr="00795698" w:rsidRDefault="004E41AF" w:rsidP="00E754C5">
      <w:pPr>
        <w:pStyle w:val="TEKSTIIIII"/>
        <w:jc w:val="center"/>
        <w:rPr>
          <w:i/>
          <w:sz w:val="18"/>
          <w:lang w:val="sq-AL"/>
        </w:rPr>
      </w:pPr>
      <w:r w:rsidRPr="00795698">
        <w:rPr>
          <w:noProof/>
          <w:lang w:val="sq-AL"/>
        </w:rPr>
        <w:lastRenderedPageBreak/>
        <w:drawing>
          <wp:inline distT="0" distB="0" distL="0" distR="0" wp14:anchorId="5FEF2D05" wp14:editId="5FEF2D06">
            <wp:extent cx="6189259" cy="4640239"/>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0998" t="28476" r="30455" b="20147"/>
                    <a:stretch/>
                  </pic:blipFill>
                  <pic:spPr bwMode="auto">
                    <a:xfrm>
                      <a:off x="0" y="0"/>
                      <a:ext cx="6191851" cy="4642182"/>
                    </a:xfrm>
                    <a:prstGeom prst="rect">
                      <a:avLst/>
                    </a:prstGeom>
                    <a:ln>
                      <a:noFill/>
                    </a:ln>
                    <a:extLst>
                      <a:ext uri="{53640926-AAD7-44D8-BBD7-CCE9431645EC}">
                        <a14:shadowObscured xmlns:a14="http://schemas.microsoft.com/office/drawing/2010/main"/>
                      </a:ext>
                    </a:extLst>
                  </pic:spPr>
                </pic:pic>
              </a:graphicData>
            </a:graphic>
          </wp:inline>
        </w:drawing>
      </w:r>
    </w:p>
    <w:p w14:paraId="5FEF1780" w14:textId="77777777" w:rsidR="004E41AF" w:rsidRPr="00795698" w:rsidRDefault="004E41AF" w:rsidP="00484F64">
      <w:pPr>
        <w:pStyle w:val="TEKSTIIIII"/>
        <w:rPr>
          <w:i/>
          <w:sz w:val="18"/>
          <w:lang w:val="sq-AL"/>
        </w:rPr>
      </w:pPr>
    </w:p>
    <w:p w14:paraId="5FEF1781" w14:textId="77777777" w:rsidR="004E41AF" w:rsidRPr="00795698" w:rsidRDefault="004E41AF" w:rsidP="00484F64">
      <w:pPr>
        <w:pStyle w:val="TEKSTIIIII"/>
        <w:rPr>
          <w:i/>
          <w:sz w:val="18"/>
          <w:lang w:val="sq-AL"/>
        </w:rPr>
      </w:pPr>
    </w:p>
    <w:p w14:paraId="5FEF1782" w14:textId="77777777" w:rsidR="00BC53EF" w:rsidRPr="00795698" w:rsidRDefault="00BC53EF" w:rsidP="00484F64">
      <w:pPr>
        <w:pStyle w:val="TEKSTIIIII"/>
        <w:rPr>
          <w:i/>
          <w:sz w:val="18"/>
          <w:lang w:val="sq-AL"/>
        </w:rPr>
      </w:pPr>
    </w:p>
    <w:p w14:paraId="5FEF1783" w14:textId="77777777" w:rsidR="00BC53EF" w:rsidRPr="00795698" w:rsidRDefault="00BC53EF" w:rsidP="00484F64">
      <w:pPr>
        <w:pStyle w:val="TEKSTIIIII"/>
        <w:rPr>
          <w:i/>
          <w:sz w:val="18"/>
          <w:lang w:val="sq-AL"/>
        </w:rPr>
      </w:pPr>
    </w:p>
    <w:p w14:paraId="5FEF1784" w14:textId="77777777" w:rsidR="00BC53EF" w:rsidRPr="00795698" w:rsidRDefault="00BC53EF" w:rsidP="00484F64">
      <w:pPr>
        <w:pStyle w:val="TEKSTIIIII"/>
        <w:rPr>
          <w:i/>
          <w:sz w:val="18"/>
          <w:lang w:val="sq-AL"/>
        </w:rPr>
      </w:pPr>
    </w:p>
    <w:p w14:paraId="5FEF1785" w14:textId="77777777" w:rsidR="00BC53EF" w:rsidRPr="00795698" w:rsidRDefault="00BC53EF" w:rsidP="00BC53EF">
      <w:pPr>
        <w:pStyle w:val="TEKSTIIIII"/>
        <w:jc w:val="center"/>
        <w:rPr>
          <w:i/>
          <w:sz w:val="18"/>
          <w:lang w:val="sq-AL"/>
        </w:rPr>
      </w:pPr>
      <w:r w:rsidRPr="00795698">
        <w:rPr>
          <w:noProof/>
          <w:lang w:val="sq-AL"/>
        </w:rPr>
        <w:lastRenderedPageBreak/>
        <w:drawing>
          <wp:inline distT="0" distB="0" distL="0" distR="0" wp14:anchorId="5FEF2D07" wp14:editId="099C36A8">
            <wp:extent cx="5943600" cy="4318635"/>
            <wp:effectExtent l="0" t="0" r="19050" b="24765"/>
            <wp:docPr id="10" name="Chart 10">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FEF1786" w14:textId="77777777" w:rsidR="00BC53EF" w:rsidRPr="00795698" w:rsidRDefault="00BC53EF" w:rsidP="00BC53EF">
      <w:pPr>
        <w:pStyle w:val="TEKSTIIIII"/>
        <w:jc w:val="center"/>
        <w:rPr>
          <w:i/>
          <w:sz w:val="18"/>
          <w:lang w:val="sq-AL"/>
        </w:rPr>
      </w:pPr>
    </w:p>
    <w:p w14:paraId="5FEF1787" w14:textId="77777777" w:rsidR="00BC53EF" w:rsidRPr="00795698" w:rsidRDefault="00BC53EF" w:rsidP="00BC53EF">
      <w:pPr>
        <w:pStyle w:val="TEKSTIIIII"/>
        <w:jc w:val="center"/>
        <w:rPr>
          <w:i/>
          <w:sz w:val="18"/>
          <w:lang w:val="sq-AL"/>
        </w:rPr>
      </w:pPr>
    </w:p>
    <w:p w14:paraId="5FEF1788" w14:textId="77777777" w:rsidR="00BC53EF" w:rsidRPr="00795698" w:rsidRDefault="00BC53EF" w:rsidP="00BC53EF">
      <w:pPr>
        <w:pStyle w:val="TEKSTIIIII"/>
        <w:jc w:val="center"/>
        <w:rPr>
          <w:i/>
          <w:sz w:val="18"/>
          <w:lang w:val="sq-AL"/>
        </w:rPr>
      </w:pPr>
    </w:p>
    <w:p w14:paraId="5FEF1789" w14:textId="77777777" w:rsidR="00BC53EF" w:rsidRPr="00795698" w:rsidRDefault="00BC53EF" w:rsidP="00BC53EF">
      <w:pPr>
        <w:pStyle w:val="TEKSTIIIII"/>
        <w:jc w:val="center"/>
        <w:rPr>
          <w:i/>
          <w:sz w:val="18"/>
          <w:lang w:val="sq-AL"/>
        </w:rPr>
      </w:pPr>
    </w:p>
    <w:p w14:paraId="5FEF178A" w14:textId="77777777" w:rsidR="00BC53EF" w:rsidRPr="00795698" w:rsidRDefault="00BC53EF" w:rsidP="00BC53EF">
      <w:pPr>
        <w:pStyle w:val="TEKSTIIIII"/>
        <w:jc w:val="center"/>
        <w:rPr>
          <w:i/>
          <w:sz w:val="18"/>
          <w:lang w:val="sq-AL"/>
        </w:rPr>
      </w:pPr>
    </w:p>
    <w:p w14:paraId="5FEF178B" w14:textId="77777777" w:rsidR="00BC53EF" w:rsidRPr="00795698" w:rsidRDefault="00BC53EF" w:rsidP="00BC53EF">
      <w:pPr>
        <w:pStyle w:val="TEKSTIIIII"/>
        <w:jc w:val="center"/>
        <w:rPr>
          <w:i/>
          <w:sz w:val="18"/>
          <w:lang w:val="sq-AL"/>
        </w:rPr>
      </w:pPr>
    </w:p>
    <w:p w14:paraId="5FEF178C" w14:textId="77777777" w:rsidR="00BC53EF" w:rsidRPr="00795698" w:rsidRDefault="00BC53EF" w:rsidP="00BC53EF">
      <w:pPr>
        <w:pStyle w:val="TEKSTIIIII"/>
        <w:jc w:val="center"/>
        <w:rPr>
          <w:i/>
          <w:sz w:val="18"/>
          <w:lang w:val="sq-AL"/>
        </w:rPr>
      </w:pPr>
    </w:p>
    <w:p w14:paraId="5FEF178D" w14:textId="77777777" w:rsidR="00BC53EF" w:rsidRPr="00795698" w:rsidRDefault="00BC53EF" w:rsidP="00BC53EF">
      <w:pPr>
        <w:pStyle w:val="TEKSTIIIII"/>
        <w:jc w:val="center"/>
        <w:rPr>
          <w:i/>
          <w:sz w:val="18"/>
          <w:lang w:val="sq-AL"/>
        </w:rPr>
      </w:pPr>
    </w:p>
    <w:p w14:paraId="5FEF178E" w14:textId="77777777" w:rsidR="00BC53EF" w:rsidRPr="00795698" w:rsidRDefault="00BC53EF" w:rsidP="00BC53EF">
      <w:pPr>
        <w:pStyle w:val="TEKSTIIIII"/>
        <w:jc w:val="center"/>
        <w:rPr>
          <w:i/>
          <w:sz w:val="18"/>
          <w:lang w:val="sq-AL"/>
        </w:rPr>
      </w:pPr>
    </w:p>
    <w:p w14:paraId="5FEF178F" w14:textId="77777777" w:rsidR="00BC53EF" w:rsidRPr="00795698" w:rsidRDefault="00BC53EF" w:rsidP="00BC53EF">
      <w:pPr>
        <w:pStyle w:val="TEKSTIIIII"/>
        <w:jc w:val="center"/>
        <w:rPr>
          <w:i/>
          <w:sz w:val="18"/>
          <w:lang w:val="sq-AL" w:eastAsia="x-none"/>
        </w:rPr>
      </w:pPr>
      <w:r w:rsidRPr="00795698">
        <w:rPr>
          <w:noProof/>
          <w:lang w:val="sq-AL"/>
        </w:rPr>
        <w:lastRenderedPageBreak/>
        <w:drawing>
          <wp:inline distT="0" distB="0" distL="0" distR="0" wp14:anchorId="5FEF2D09" wp14:editId="3CA74A08">
            <wp:extent cx="5943600" cy="4316095"/>
            <wp:effectExtent l="0" t="0" r="0" b="8255"/>
            <wp:docPr id="11" name="Chart 1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FEF1790" w14:textId="77777777" w:rsidR="00E754C5" w:rsidRPr="00795698" w:rsidRDefault="00E754C5" w:rsidP="00BC53EF">
      <w:pPr>
        <w:pStyle w:val="TEKSTIIIII"/>
        <w:jc w:val="center"/>
        <w:rPr>
          <w:i/>
          <w:sz w:val="18"/>
          <w:lang w:val="sq-AL"/>
        </w:rPr>
      </w:pPr>
    </w:p>
    <w:p w14:paraId="5FEF1791" w14:textId="77777777" w:rsidR="00E754C5" w:rsidRPr="00795698" w:rsidRDefault="00E754C5" w:rsidP="00BC53EF">
      <w:pPr>
        <w:pStyle w:val="TEKSTIIIII"/>
        <w:jc w:val="center"/>
        <w:rPr>
          <w:i/>
          <w:sz w:val="18"/>
          <w:lang w:val="sq-AL"/>
        </w:rPr>
      </w:pPr>
    </w:p>
    <w:p w14:paraId="5FEF1792" w14:textId="77777777" w:rsidR="00E754C5" w:rsidRPr="00795698" w:rsidRDefault="00E754C5" w:rsidP="00BC53EF">
      <w:pPr>
        <w:pStyle w:val="TEKSTIIIII"/>
        <w:jc w:val="center"/>
        <w:rPr>
          <w:i/>
          <w:sz w:val="18"/>
          <w:lang w:val="sq-AL"/>
        </w:rPr>
      </w:pPr>
    </w:p>
    <w:p w14:paraId="5FEF1793" w14:textId="77777777" w:rsidR="00E754C5" w:rsidRPr="00795698" w:rsidRDefault="00E754C5" w:rsidP="00BC53EF">
      <w:pPr>
        <w:pStyle w:val="TEKSTIIIII"/>
        <w:jc w:val="center"/>
        <w:rPr>
          <w:i/>
          <w:sz w:val="18"/>
          <w:lang w:val="sq-AL"/>
        </w:rPr>
      </w:pPr>
    </w:p>
    <w:p w14:paraId="5FEF1794" w14:textId="77777777" w:rsidR="00E754C5" w:rsidRPr="00795698" w:rsidRDefault="00E754C5" w:rsidP="00BC53EF">
      <w:pPr>
        <w:pStyle w:val="TEKSTIIIII"/>
        <w:jc w:val="center"/>
        <w:rPr>
          <w:i/>
          <w:sz w:val="18"/>
          <w:lang w:val="sq-AL"/>
        </w:rPr>
      </w:pPr>
    </w:p>
    <w:p w14:paraId="5FEF1795" w14:textId="77777777" w:rsidR="00E754C5" w:rsidRPr="00795698" w:rsidRDefault="00E754C5" w:rsidP="00BC53EF">
      <w:pPr>
        <w:pStyle w:val="TEKSTIIIII"/>
        <w:jc w:val="center"/>
        <w:rPr>
          <w:i/>
          <w:sz w:val="18"/>
          <w:lang w:val="sq-AL"/>
        </w:rPr>
      </w:pPr>
    </w:p>
    <w:p w14:paraId="5FEF1796" w14:textId="77777777" w:rsidR="00E754C5" w:rsidRPr="00795698" w:rsidRDefault="00E754C5" w:rsidP="00BC53EF">
      <w:pPr>
        <w:pStyle w:val="TEKSTIIIII"/>
        <w:jc w:val="center"/>
        <w:rPr>
          <w:i/>
          <w:sz w:val="18"/>
          <w:lang w:val="sq-AL"/>
        </w:rPr>
      </w:pPr>
    </w:p>
    <w:p w14:paraId="5FEF1797" w14:textId="77777777" w:rsidR="00E754C5" w:rsidRPr="00795698" w:rsidRDefault="00E754C5" w:rsidP="00BC53EF">
      <w:pPr>
        <w:pStyle w:val="TEKSTIIIII"/>
        <w:jc w:val="center"/>
        <w:rPr>
          <w:i/>
          <w:sz w:val="18"/>
          <w:lang w:val="sq-AL"/>
        </w:rPr>
      </w:pPr>
    </w:p>
    <w:p w14:paraId="5FEF1798" w14:textId="77777777" w:rsidR="00E754C5" w:rsidRPr="00795698" w:rsidRDefault="00E754C5" w:rsidP="00BC53EF">
      <w:pPr>
        <w:pStyle w:val="TEKSTIIIII"/>
        <w:jc w:val="center"/>
        <w:rPr>
          <w:i/>
          <w:sz w:val="18"/>
          <w:lang w:val="sq-AL"/>
        </w:rPr>
      </w:pPr>
    </w:p>
    <w:p w14:paraId="5FEF1799" w14:textId="77777777" w:rsidR="00E754C5" w:rsidRPr="00795698" w:rsidRDefault="00E754C5" w:rsidP="00BC53EF">
      <w:pPr>
        <w:pStyle w:val="TEKSTIIIII"/>
        <w:jc w:val="center"/>
        <w:rPr>
          <w:i/>
          <w:sz w:val="18"/>
          <w:lang w:val="sq-AL"/>
        </w:rPr>
      </w:pPr>
    </w:p>
    <w:p w14:paraId="5FEF179A" w14:textId="77777777" w:rsidR="00E754C5" w:rsidRPr="00795698" w:rsidRDefault="00E754C5" w:rsidP="00BC53EF">
      <w:pPr>
        <w:pStyle w:val="TEKSTIIIII"/>
        <w:jc w:val="center"/>
        <w:rPr>
          <w:i/>
          <w:sz w:val="18"/>
          <w:lang w:val="sq-AL"/>
        </w:rPr>
      </w:pPr>
    </w:p>
    <w:p w14:paraId="5FEF179B" w14:textId="77777777" w:rsidR="00E754C5" w:rsidRPr="00795698" w:rsidRDefault="00E754C5" w:rsidP="00BC53EF">
      <w:pPr>
        <w:pStyle w:val="TEKSTIIIII"/>
        <w:jc w:val="center"/>
        <w:rPr>
          <w:i/>
          <w:sz w:val="18"/>
          <w:lang w:val="sq-AL"/>
        </w:rPr>
      </w:pPr>
    </w:p>
    <w:tbl>
      <w:tblPr>
        <w:tblW w:w="9390" w:type="dxa"/>
        <w:jc w:val="center"/>
        <w:tblLook w:val="04A0" w:firstRow="1" w:lastRow="0" w:firstColumn="1" w:lastColumn="0" w:noHBand="0" w:noVBand="1"/>
      </w:tblPr>
      <w:tblGrid>
        <w:gridCol w:w="347"/>
        <w:gridCol w:w="1316"/>
        <w:gridCol w:w="620"/>
        <w:gridCol w:w="621"/>
        <w:gridCol w:w="608"/>
        <w:gridCol w:w="370"/>
        <w:gridCol w:w="415"/>
        <w:gridCol w:w="455"/>
        <w:gridCol w:w="428"/>
        <w:gridCol w:w="455"/>
        <w:gridCol w:w="455"/>
        <w:gridCol w:w="402"/>
        <w:gridCol w:w="455"/>
        <w:gridCol w:w="455"/>
        <w:gridCol w:w="402"/>
        <w:gridCol w:w="455"/>
        <w:gridCol w:w="455"/>
        <w:gridCol w:w="428"/>
        <w:gridCol w:w="455"/>
        <w:gridCol w:w="455"/>
        <w:gridCol w:w="402"/>
        <w:gridCol w:w="455"/>
        <w:gridCol w:w="428"/>
        <w:gridCol w:w="402"/>
        <w:gridCol w:w="592"/>
        <w:gridCol w:w="428"/>
        <w:gridCol w:w="417"/>
      </w:tblGrid>
      <w:tr w:rsidR="002117FE" w:rsidRPr="00795698" w14:paraId="5FEF179D" w14:textId="77777777" w:rsidTr="002117FE">
        <w:trPr>
          <w:trHeight w:val="180"/>
          <w:jc w:val="center"/>
        </w:trPr>
        <w:tc>
          <w:tcPr>
            <w:tcW w:w="9390" w:type="dxa"/>
            <w:gridSpan w:val="27"/>
            <w:tcBorders>
              <w:top w:val="single" w:sz="8" w:space="0" w:color="auto"/>
              <w:left w:val="single" w:sz="8" w:space="0" w:color="auto"/>
              <w:bottom w:val="nil"/>
              <w:right w:val="single" w:sz="8" w:space="0" w:color="000000"/>
            </w:tcBorders>
            <w:shd w:val="clear" w:color="000000" w:fill="E2EFDA"/>
            <w:vAlign w:val="center"/>
            <w:hideMark/>
          </w:tcPr>
          <w:p w14:paraId="5FEF179C" w14:textId="5597EFD5"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PLANI I VEPRIMIT PËR PARANDALIMIN</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DHE KUNDËRSHTIMIN E EKSTREMIZMIT TË DHUNSHËM</w:t>
            </w:r>
            <w:r w:rsidR="007C064A" w:rsidRPr="00795698">
              <w:rPr>
                <w:rFonts w:ascii="Arial" w:hAnsi="Arial" w:cs="Arial"/>
                <w:b/>
                <w:bCs/>
                <w:color w:val="000000"/>
                <w:sz w:val="6"/>
                <w:szCs w:val="6"/>
                <w:lang w:eastAsia="sq-AL"/>
              </w:rPr>
              <w:t xml:space="preserve"> </w:t>
            </w:r>
            <w:r w:rsidR="006249E3" w:rsidRPr="00795698">
              <w:rPr>
                <w:rFonts w:ascii="Arial" w:hAnsi="Arial" w:cs="Arial"/>
                <w:b/>
                <w:bCs/>
                <w:color w:val="000000"/>
                <w:sz w:val="6"/>
                <w:szCs w:val="6"/>
                <w:lang w:eastAsia="sq-AL"/>
              </w:rPr>
              <w:t>2023–2025</w:t>
            </w:r>
          </w:p>
        </w:tc>
      </w:tr>
      <w:tr w:rsidR="002117FE" w:rsidRPr="00795698" w14:paraId="5FEF179F" w14:textId="77777777" w:rsidTr="002117FE">
        <w:trPr>
          <w:trHeight w:val="180"/>
          <w:jc w:val="center"/>
        </w:trPr>
        <w:tc>
          <w:tcPr>
            <w:tcW w:w="9390" w:type="dxa"/>
            <w:gridSpan w:val="27"/>
            <w:tcBorders>
              <w:top w:val="single" w:sz="8" w:space="0" w:color="auto"/>
              <w:left w:val="single" w:sz="8" w:space="0" w:color="auto"/>
              <w:bottom w:val="single" w:sz="8" w:space="0" w:color="auto"/>
              <w:right w:val="single" w:sz="8" w:space="0" w:color="000000"/>
            </w:tcBorders>
            <w:shd w:val="clear" w:color="000000" w:fill="F8CBAD"/>
            <w:vAlign w:val="center"/>
            <w:hideMark/>
          </w:tcPr>
          <w:p w14:paraId="5FEF179E"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 QËLLIMI STRATEGJIK: LUFTA KUNDËR KRIMIT TË ORGANIZUAR, TERRORIZMIT DHE TRAFIKIMIT</w:t>
            </w:r>
          </w:p>
        </w:tc>
      </w:tr>
      <w:tr w:rsidR="002117FE" w:rsidRPr="00795698" w14:paraId="5FEF17A1" w14:textId="77777777" w:rsidTr="002117FE">
        <w:trPr>
          <w:trHeight w:val="180"/>
          <w:jc w:val="center"/>
        </w:trPr>
        <w:tc>
          <w:tcPr>
            <w:tcW w:w="9390" w:type="dxa"/>
            <w:gridSpan w:val="27"/>
            <w:tcBorders>
              <w:top w:val="single" w:sz="8" w:space="0" w:color="auto"/>
              <w:left w:val="single" w:sz="8" w:space="0" w:color="auto"/>
              <w:bottom w:val="nil"/>
              <w:right w:val="single" w:sz="8" w:space="0" w:color="000000"/>
            </w:tcBorders>
            <w:shd w:val="clear" w:color="000000" w:fill="E7E6E6"/>
            <w:vAlign w:val="center"/>
            <w:hideMark/>
          </w:tcPr>
          <w:p w14:paraId="5FEF17A0"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II. QËLLIMI I POLITIKËS 1: Mbajtja e kërcënimit terrorist në nivel të ulët</w:t>
            </w:r>
          </w:p>
        </w:tc>
      </w:tr>
      <w:tr w:rsidR="002117FE" w:rsidRPr="00795698" w14:paraId="5FEF17A3" w14:textId="77777777" w:rsidTr="002117FE">
        <w:trPr>
          <w:trHeight w:val="180"/>
          <w:jc w:val="center"/>
        </w:trPr>
        <w:tc>
          <w:tcPr>
            <w:tcW w:w="9390" w:type="dxa"/>
            <w:gridSpan w:val="27"/>
            <w:tcBorders>
              <w:top w:val="single" w:sz="8" w:space="0" w:color="auto"/>
              <w:left w:val="single" w:sz="8" w:space="0" w:color="auto"/>
              <w:bottom w:val="single" w:sz="8" w:space="0" w:color="auto"/>
              <w:right w:val="single" w:sz="8" w:space="0" w:color="000000"/>
            </w:tcBorders>
            <w:shd w:val="clear" w:color="000000" w:fill="FFFF00"/>
            <w:vAlign w:val="center"/>
            <w:hideMark/>
          </w:tcPr>
          <w:p w14:paraId="5FEF17A2" w14:textId="2B5791F8"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III. PROGRAMI/ET BUXHETORE: Programi Buxhetor "Planifikim Menaxhimi" Kodi i programit 01110; Programi buxhetor "Veprimtaria Akademike", Kodi i programit 09820; Programi Buxhetor "Policia e Shtetit", Kodi i Programit 03140; Programi Buxhetor "Mbështetja e Luftimit", 02150; Programi Buxhetor " Arsimi Bazë", Kodi i Progamit Buxhetor 09120;Programi Buxhetor "Sistemi i Burgjeve"</w:t>
            </w:r>
            <w:r w:rsidR="00D10A07" w:rsidRPr="00795698">
              <w:rPr>
                <w:rFonts w:ascii="Arial" w:hAnsi="Arial" w:cs="Arial"/>
                <w:b/>
                <w:bCs/>
                <w:sz w:val="6"/>
                <w:szCs w:val="6"/>
                <w:lang w:eastAsia="sq-AL"/>
              </w:rPr>
              <w:t>,</w:t>
            </w:r>
            <w:r w:rsidRPr="00795698">
              <w:rPr>
                <w:rFonts w:ascii="Arial" w:hAnsi="Arial" w:cs="Arial"/>
                <w:b/>
                <w:bCs/>
                <w:sz w:val="6"/>
                <w:szCs w:val="6"/>
                <w:lang w:eastAsia="sq-AL"/>
              </w:rPr>
              <w:t xml:space="preserve"> Kodi i Programit Buxhetor 03440 Programi Buxhetor</w:t>
            </w:r>
            <w:r w:rsidR="007C064A" w:rsidRPr="00795698">
              <w:rPr>
                <w:rFonts w:ascii="Arial" w:hAnsi="Arial" w:cs="Arial"/>
                <w:b/>
                <w:bCs/>
                <w:sz w:val="6"/>
                <w:szCs w:val="6"/>
                <w:lang w:eastAsia="sq-AL"/>
              </w:rPr>
              <w:t xml:space="preserve"> </w:t>
            </w:r>
            <w:r w:rsidRPr="00795698">
              <w:rPr>
                <w:rFonts w:ascii="Arial" w:hAnsi="Arial" w:cs="Arial"/>
                <w:b/>
                <w:bCs/>
                <w:sz w:val="6"/>
                <w:szCs w:val="6"/>
                <w:lang w:eastAsia="sq-AL"/>
              </w:rPr>
              <w:t>"Shërbimi i Provës", Kodi i Programit Buxhetor 03490</w:t>
            </w:r>
          </w:p>
        </w:tc>
      </w:tr>
      <w:tr w:rsidR="002117FE" w:rsidRPr="00795698" w14:paraId="5FEF17AF" w14:textId="77777777" w:rsidTr="002117FE">
        <w:trPr>
          <w:trHeight w:val="180"/>
          <w:jc w:val="center"/>
        </w:trPr>
        <w:tc>
          <w:tcPr>
            <w:tcW w:w="18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7A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1301" w:type="dxa"/>
            <w:vMerge w:val="restart"/>
            <w:tcBorders>
              <w:top w:val="nil"/>
              <w:left w:val="nil"/>
              <w:bottom w:val="single" w:sz="8" w:space="0" w:color="000000"/>
              <w:right w:val="nil"/>
            </w:tcBorders>
            <w:shd w:val="clear" w:color="auto" w:fill="auto"/>
            <w:vAlign w:val="center"/>
            <w:hideMark/>
          </w:tcPr>
          <w:p w14:paraId="5FEF17A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498" w:type="dxa"/>
            <w:tcBorders>
              <w:top w:val="nil"/>
              <w:left w:val="single" w:sz="8" w:space="0" w:color="auto"/>
              <w:bottom w:val="single" w:sz="8" w:space="0" w:color="auto"/>
              <w:right w:val="single" w:sz="4" w:space="0" w:color="auto"/>
            </w:tcBorders>
            <w:shd w:val="clear" w:color="auto" w:fill="auto"/>
            <w:vAlign w:val="center"/>
            <w:hideMark/>
          </w:tcPr>
          <w:p w14:paraId="5FEF17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076" w:type="dxa"/>
            <w:gridSpan w:val="2"/>
            <w:tcBorders>
              <w:top w:val="single" w:sz="8" w:space="0" w:color="auto"/>
              <w:left w:val="nil"/>
              <w:bottom w:val="single" w:sz="8" w:space="0" w:color="auto"/>
              <w:right w:val="single" w:sz="4" w:space="0" w:color="auto"/>
            </w:tcBorders>
            <w:shd w:val="clear" w:color="auto" w:fill="auto"/>
            <w:vAlign w:val="center"/>
            <w:hideMark/>
          </w:tcPr>
          <w:p w14:paraId="5FEF17A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67" w:type="dxa"/>
            <w:gridSpan w:val="2"/>
            <w:tcBorders>
              <w:top w:val="single" w:sz="8" w:space="0" w:color="auto"/>
              <w:left w:val="nil"/>
              <w:bottom w:val="single" w:sz="8" w:space="0" w:color="auto"/>
              <w:right w:val="single" w:sz="8" w:space="0" w:color="000000"/>
            </w:tcBorders>
            <w:shd w:val="clear" w:color="auto" w:fill="auto"/>
            <w:vAlign w:val="center"/>
            <w:hideMark/>
          </w:tcPr>
          <w:p w14:paraId="5FEF17A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8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7A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5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7A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5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7A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88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17A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116" w:type="dxa"/>
            <w:gridSpan w:val="7"/>
            <w:tcBorders>
              <w:top w:val="single" w:sz="8" w:space="0" w:color="auto"/>
              <w:left w:val="nil"/>
              <w:bottom w:val="single" w:sz="8" w:space="0" w:color="auto"/>
              <w:right w:val="single" w:sz="8" w:space="0" w:color="000000"/>
            </w:tcBorders>
            <w:shd w:val="clear" w:color="auto" w:fill="auto"/>
            <w:vAlign w:val="center"/>
            <w:hideMark/>
          </w:tcPr>
          <w:p w14:paraId="5FEF17A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Burimi i Financimit</w:t>
            </w:r>
          </w:p>
        </w:tc>
        <w:tc>
          <w:tcPr>
            <w:tcW w:w="262"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7A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2117FE" w:rsidRPr="00795698" w14:paraId="5FEF17BE" w14:textId="77777777" w:rsidTr="002117FE">
        <w:trPr>
          <w:trHeight w:val="180"/>
          <w:jc w:val="center"/>
        </w:trPr>
        <w:tc>
          <w:tcPr>
            <w:tcW w:w="182" w:type="dxa"/>
            <w:vMerge/>
            <w:tcBorders>
              <w:top w:val="nil"/>
              <w:left w:val="single" w:sz="8" w:space="0" w:color="auto"/>
              <w:bottom w:val="single" w:sz="8" w:space="0" w:color="000000"/>
              <w:right w:val="single" w:sz="8" w:space="0" w:color="auto"/>
            </w:tcBorders>
            <w:vAlign w:val="center"/>
            <w:hideMark/>
          </w:tcPr>
          <w:p w14:paraId="5FEF17B0" w14:textId="77777777" w:rsidR="002117FE" w:rsidRPr="00795698" w:rsidRDefault="002117FE" w:rsidP="002117FE">
            <w:pPr>
              <w:rPr>
                <w:rFonts w:ascii="Arial" w:hAnsi="Arial" w:cs="Arial"/>
                <w:b/>
                <w:bCs/>
                <w:color w:val="000000"/>
                <w:sz w:val="6"/>
                <w:szCs w:val="6"/>
                <w:lang w:eastAsia="sq-AL"/>
              </w:rPr>
            </w:pPr>
          </w:p>
        </w:tc>
        <w:tc>
          <w:tcPr>
            <w:tcW w:w="1301" w:type="dxa"/>
            <w:vMerge/>
            <w:tcBorders>
              <w:top w:val="nil"/>
              <w:left w:val="nil"/>
              <w:bottom w:val="single" w:sz="8" w:space="0" w:color="000000"/>
              <w:right w:val="nil"/>
            </w:tcBorders>
            <w:vAlign w:val="center"/>
            <w:hideMark/>
          </w:tcPr>
          <w:p w14:paraId="5FEF17B1" w14:textId="77777777" w:rsidR="002117FE" w:rsidRPr="00795698" w:rsidRDefault="002117FE" w:rsidP="002117FE">
            <w:pPr>
              <w:rPr>
                <w:rFonts w:ascii="Arial" w:hAnsi="Arial" w:cs="Arial"/>
                <w:b/>
                <w:bCs/>
                <w:color w:val="000000"/>
                <w:sz w:val="6"/>
                <w:szCs w:val="6"/>
                <w:lang w:eastAsia="sq-AL"/>
              </w:rPr>
            </w:pPr>
          </w:p>
        </w:tc>
        <w:tc>
          <w:tcPr>
            <w:tcW w:w="498"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17B2" w14:textId="2C93504A"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98" w:type="dxa"/>
            <w:vMerge w:val="restart"/>
            <w:tcBorders>
              <w:top w:val="nil"/>
              <w:left w:val="nil"/>
              <w:bottom w:val="single" w:sz="8" w:space="0" w:color="000000"/>
              <w:right w:val="single" w:sz="4" w:space="0" w:color="auto"/>
            </w:tcBorders>
            <w:shd w:val="clear" w:color="auto" w:fill="auto"/>
            <w:vAlign w:val="center"/>
            <w:hideMark/>
          </w:tcPr>
          <w:p w14:paraId="5FEF17B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578" w:type="dxa"/>
            <w:vMerge w:val="restart"/>
            <w:tcBorders>
              <w:top w:val="nil"/>
              <w:left w:val="single" w:sz="4" w:space="0" w:color="auto"/>
              <w:bottom w:val="single" w:sz="8" w:space="0" w:color="000000"/>
              <w:right w:val="single" w:sz="4" w:space="0" w:color="auto"/>
            </w:tcBorders>
            <w:shd w:val="clear" w:color="auto" w:fill="auto"/>
            <w:vAlign w:val="center"/>
            <w:hideMark/>
          </w:tcPr>
          <w:p w14:paraId="5FEF17B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7" w:type="dxa"/>
            <w:vMerge w:val="restart"/>
            <w:tcBorders>
              <w:top w:val="nil"/>
              <w:left w:val="single" w:sz="4" w:space="0" w:color="auto"/>
              <w:bottom w:val="single" w:sz="8" w:space="0" w:color="000000"/>
              <w:right w:val="single" w:sz="4" w:space="0" w:color="auto"/>
            </w:tcBorders>
            <w:shd w:val="clear" w:color="auto" w:fill="auto"/>
            <w:vAlign w:val="center"/>
            <w:hideMark/>
          </w:tcPr>
          <w:p w14:paraId="5FEF17B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60" w:type="dxa"/>
            <w:vMerge w:val="restart"/>
            <w:tcBorders>
              <w:top w:val="nil"/>
              <w:left w:val="single" w:sz="4" w:space="0" w:color="auto"/>
              <w:bottom w:val="single" w:sz="8" w:space="0" w:color="000000"/>
              <w:right w:val="single" w:sz="8" w:space="0" w:color="auto"/>
            </w:tcBorders>
            <w:shd w:val="clear" w:color="auto" w:fill="auto"/>
            <w:vAlign w:val="center"/>
            <w:hideMark/>
          </w:tcPr>
          <w:p w14:paraId="5FEF17B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87" w:type="dxa"/>
            <w:gridSpan w:val="3"/>
            <w:vMerge/>
            <w:tcBorders>
              <w:top w:val="nil"/>
              <w:left w:val="single" w:sz="4" w:space="0" w:color="auto"/>
              <w:bottom w:val="single" w:sz="8" w:space="0" w:color="000000"/>
              <w:right w:val="single" w:sz="8" w:space="0" w:color="auto"/>
            </w:tcBorders>
            <w:vAlign w:val="center"/>
            <w:hideMark/>
          </w:tcPr>
          <w:p w14:paraId="5FEF17B7" w14:textId="77777777" w:rsidR="002117FE" w:rsidRPr="00795698" w:rsidRDefault="002117FE" w:rsidP="002117FE">
            <w:pPr>
              <w:rPr>
                <w:rFonts w:ascii="Arial" w:hAnsi="Arial" w:cs="Arial"/>
                <w:b/>
                <w:bCs/>
                <w:color w:val="000000"/>
                <w:sz w:val="6"/>
                <w:szCs w:val="6"/>
                <w:lang w:eastAsia="sq-AL"/>
              </w:rPr>
            </w:pPr>
          </w:p>
        </w:tc>
        <w:tc>
          <w:tcPr>
            <w:tcW w:w="857" w:type="dxa"/>
            <w:gridSpan w:val="3"/>
            <w:vMerge/>
            <w:tcBorders>
              <w:top w:val="nil"/>
              <w:left w:val="single" w:sz="4" w:space="0" w:color="auto"/>
              <w:bottom w:val="single" w:sz="8" w:space="0" w:color="000000"/>
              <w:right w:val="single" w:sz="8" w:space="0" w:color="auto"/>
            </w:tcBorders>
            <w:vAlign w:val="center"/>
            <w:hideMark/>
          </w:tcPr>
          <w:p w14:paraId="5FEF17B8" w14:textId="77777777" w:rsidR="002117FE" w:rsidRPr="00795698" w:rsidRDefault="002117FE" w:rsidP="002117FE">
            <w:pPr>
              <w:rPr>
                <w:rFonts w:ascii="Arial" w:hAnsi="Arial" w:cs="Arial"/>
                <w:b/>
                <w:bCs/>
                <w:color w:val="000000"/>
                <w:sz w:val="6"/>
                <w:szCs w:val="6"/>
                <w:lang w:eastAsia="sq-AL"/>
              </w:rPr>
            </w:pPr>
          </w:p>
        </w:tc>
        <w:tc>
          <w:tcPr>
            <w:tcW w:w="857" w:type="dxa"/>
            <w:gridSpan w:val="3"/>
            <w:vMerge/>
            <w:tcBorders>
              <w:top w:val="nil"/>
              <w:left w:val="single" w:sz="4" w:space="0" w:color="auto"/>
              <w:bottom w:val="single" w:sz="8" w:space="0" w:color="000000"/>
              <w:right w:val="single" w:sz="8" w:space="0" w:color="auto"/>
            </w:tcBorders>
            <w:vAlign w:val="center"/>
            <w:hideMark/>
          </w:tcPr>
          <w:p w14:paraId="5FEF17B9" w14:textId="77777777" w:rsidR="002117FE" w:rsidRPr="00795698" w:rsidRDefault="002117FE" w:rsidP="002117FE">
            <w:pPr>
              <w:rPr>
                <w:rFonts w:ascii="Arial" w:hAnsi="Arial" w:cs="Arial"/>
                <w:b/>
                <w:bCs/>
                <w:color w:val="000000"/>
                <w:sz w:val="6"/>
                <w:szCs w:val="6"/>
                <w:lang w:eastAsia="sq-AL"/>
              </w:rPr>
            </w:pPr>
          </w:p>
        </w:tc>
        <w:tc>
          <w:tcPr>
            <w:tcW w:w="887" w:type="dxa"/>
            <w:gridSpan w:val="3"/>
            <w:vMerge/>
            <w:tcBorders>
              <w:top w:val="nil"/>
              <w:left w:val="single" w:sz="4" w:space="0" w:color="auto"/>
              <w:bottom w:val="single" w:sz="8" w:space="0" w:color="000000"/>
              <w:right w:val="single" w:sz="8" w:space="0" w:color="auto"/>
            </w:tcBorders>
            <w:vAlign w:val="center"/>
            <w:hideMark/>
          </w:tcPr>
          <w:p w14:paraId="5FEF17BA" w14:textId="77777777" w:rsidR="002117FE" w:rsidRPr="00795698" w:rsidRDefault="002117FE" w:rsidP="002117FE">
            <w:pPr>
              <w:rPr>
                <w:rFonts w:ascii="Arial" w:hAnsi="Arial" w:cs="Arial"/>
                <w:b/>
                <w:bCs/>
                <w:color w:val="000000"/>
                <w:sz w:val="6"/>
                <w:szCs w:val="6"/>
                <w:lang w:eastAsia="sq-AL"/>
              </w:rPr>
            </w:pPr>
          </w:p>
        </w:tc>
        <w:tc>
          <w:tcPr>
            <w:tcW w:w="857" w:type="dxa"/>
            <w:gridSpan w:val="3"/>
            <w:tcBorders>
              <w:top w:val="single" w:sz="8" w:space="0" w:color="auto"/>
              <w:left w:val="nil"/>
              <w:bottom w:val="single" w:sz="8" w:space="0" w:color="auto"/>
              <w:right w:val="single" w:sz="8" w:space="0" w:color="000000"/>
            </w:tcBorders>
            <w:shd w:val="clear" w:color="auto" w:fill="auto"/>
            <w:vAlign w:val="center"/>
            <w:hideMark/>
          </w:tcPr>
          <w:p w14:paraId="5FEF17BB" w14:textId="719F119A"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259" w:type="dxa"/>
            <w:gridSpan w:val="4"/>
            <w:tcBorders>
              <w:top w:val="single" w:sz="8" w:space="0" w:color="auto"/>
              <w:left w:val="nil"/>
              <w:bottom w:val="single" w:sz="8" w:space="0" w:color="auto"/>
              <w:right w:val="single" w:sz="8" w:space="0" w:color="000000"/>
            </w:tcBorders>
            <w:shd w:val="clear" w:color="auto" w:fill="auto"/>
            <w:vAlign w:val="center"/>
            <w:hideMark/>
          </w:tcPr>
          <w:p w14:paraId="5FEF17B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62" w:type="dxa"/>
            <w:vMerge/>
            <w:tcBorders>
              <w:top w:val="nil"/>
              <w:left w:val="single" w:sz="8" w:space="0" w:color="auto"/>
              <w:bottom w:val="single" w:sz="8" w:space="0" w:color="000000"/>
              <w:right w:val="single" w:sz="8" w:space="0" w:color="auto"/>
            </w:tcBorders>
            <w:vAlign w:val="center"/>
            <w:hideMark/>
          </w:tcPr>
          <w:p w14:paraId="5FEF17BD" w14:textId="77777777" w:rsidR="002117FE" w:rsidRPr="00795698" w:rsidRDefault="002117FE" w:rsidP="002117FE">
            <w:pPr>
              <w:rPr>
                <w:rFonts w:ascii="Arial" w:hAnsi="Arial" w:cs="Arial"/>
                <w:b/>
                <w:bCs/>
                <w:color w:val="000000"/>
                <w:sz w:val="6"/>
                <w:szCs w:val="6"/>
                <w:lang w:eastAsia="sq-AL"/>
              </w:rPr>
            </w:pPr>
          </w:p>
        </w:tc>
      </w:tr>
      <w:tr w:rsidR="002117FE" w:rsidRPr="00795698" w14:paraId="5FEF17DA" w14:textId="77777777" w:rsidTr="002117FE">
        <w:trPr>
          <w:trHeight w:val="180"/>
          <w:jc w:val="center"/>
        </w:trPr>
        <w:tc>
          <w:tcPr>
            <w:tcW w:w="182" w:type="dxa"/>
            <w:vMerge/>
            <w:tcBorders>
              <w:top w:val="nil"/>
              <w:left w:val="single" w:sz="8" w:space="0" w:color="auto"/>
              <w:bottom w:val="single" w:sz="8" w:space="0" w:color="000000"/>
              <w:right w:val="single" w:sz="8" w:space="0" w:color="auto"/>
            </w:tcBorders>
            <w:vAlign w:val="center"/>
            <w:hideMark/>
          </w:tcPr>
          <w:p w14:paraId="5FEF17BF" w14:textId="77777777" w:rsidR="002117FE" w:rsidRPr="00795698" w:rsidRDefault="002117FE" w:rsidP="002117FE">
            <w:pPr>
              <w:rPr>
                <w:rFonts w:ascii="Arial" w:hAnsi="Arial" w:cs="Arial"/>
                <w:b/>
                <w:bCs/>
                <w:color w:val="000000"/>
                <w:sz w:val="6"/>
                <w:szCs w:val="6"/>
                <w:lang w:eastAsia="sq-AL"/>
              </w:rPr>
            </w:pPr>
          </w:p>
        </w:tc>
        <w:tc>
          <w:tcPr>
            <w:tcW w:w="1301" w:type="dxa"/>
            <w:vMerge/>
            <w:tcBorders>
              <w:top w:val="nil"/>
              <w:left w:val="nil"/>
              <w:bottom w:val="single" w:sz="8" w:space="0" w:color="000000"/>
              <w:right w:val="nil"/>
            </w:tcBorders>
            <w:vAlign w:val="center"/>
            <w:hideMark/>
          </w:tcPr>
          <w:p w14:paraId="5FEF17C0" w14:textId="77777777" w:rsidR="002117FE" w:rsidRPr="00795698" w:rsidRDefault="002117FE" w:rsidP="002117FE">
            <w:pPr>
              <w:rPr>
                <w:rFonts w:ascii="Arial" w:hAnsi="Arial" w:cs="Arial"/>
                <w:b/>
                <w:bCs/>
                <w:color w:val="000000"/>
                <w:sz w:val="6"/>
                <w:szCs w:val="6"/>
                <w:lang w:eastAsia="sq-AL"/>
              </w:rPr>
            </w:pPr>
          </w:p>
        </w:tc>
        <w:tc>
          <w:tcPr>
            <w:tcW w:w="498" w:type="dxa"/>
            <w:vMerge/>
            <w:tcBorders>
              <w:top w:val="nil"/>
              <w:left w:val="single" w:sz="8" w:space="0" w:color="auto"/>
              <w:bottom w:val="single" w:sz="8" w:space="0" w:color="000000"/>
              <w:right w:val="single" w:sz="8" w:space="0" w:color="auto"/>
            </w:tcBorders>
            <w:vAlign w:val="center"/>
            <w:hideMark/>
          </w:tcPr>
          <w:p w14:paraId="5FEF17C1" w14:textId="77777777" w:rsidR="002117FE" w:rsidRPr="00795698" w:rsidRDefault="002117FE" w:rsidP="002117FE">
            <w:pPr>
              <w:rPr>
                <w:rFonts w:ascii="Arial" w:hAnsi="Arial" w:cs="Arial"/>
                <w:color w:val="000000"/>
                <w:sz w:val="6"/>
                <w:szCs w:val="6"/>
                <w:lang w:eastAsia="sq-AL"/>
              </w:rPr>
            </w:pPr>
          </w:p>
        </w:tc>
        <w:tc>
          <w:tcPr>
            <w:tcW w:w="498" w:type="dxa"/>
            <w:vMerge/>
            <w:tcBorders>
              <w:top w:val="nil"/>
              <w:left w:val="nil"/>
              <w:bottom w:val="single" w:sz="8" w:space="0" w:color="000000"/>
              <w:right w:val="single" w:sz="4" w:space="0" w:color="auto"/>
            </w:tcBorders>
            <w:vAlign w:val="center"/>
            <w:hideMark/>
          </w:tcPr>
          <w:p w14:paraId="5FEF17C2" w14:textId="77777777" w:rsidR="002117FE" w:rsidRPr="00795698" w:rsidRDefault="002117FE" w:rsidP="002117FE">
            <w:pPr>
              <w:rPr>
                <w:rFonts w:ascii="Arial" w:hAnsi="Arial" w:cs="Arial"/>
                <w:b/>
                <w:bCs/>
                <w:color w:val="000000"/>
                <w:sz w:val="6"/>
                <w:szCs w:val="6"/>
                <w:lang w:eastAsia="sq-AL"/>
              </w:rPr>
            </w:pPr>
          </w:p>
        </w:tc>
        <w:tc>
          <w:tcPr>
            <w:tcW w:w="578" w:type="dxa"/>
            <w:vMerge/>
            <w:tcBorders>
              <w:top w:val="nil"/>
              <w:left w:val="single" w:sz="4" w:space="0" w:color="auto"/>
              <w:bottom w:val="single" w:sz="8" w:space="0" w:color="000000"/>
              <w:right w:val="single" w:sz="4" w:space="0" w:color="auto"/>
            </w:tcBorders>
            <w:vAlign w:val="center"/>
            <w:hideMark/>
          </w:tcPr>
          <w:p w14:paraId="5FEF17C3" w14:textId="77777777" w:rsidR="002117FE" w:rsidRPr="00795698" w:rsidRDefault="002117FE" w:rsidP="002117FE">
            <w:pPr>
              <w:rPr>
                <w:rFonts w:ascii="Arial" w:hAnsi="Arial" w:cs="Arial"/>
                <w:b/>
                <w:bCs/>
                <w:color w:val="000000"/>
                <w:sz w:val="6"/>
                <w:szCs w:val="6"/>
                <w:lang w:eastAsia="sq-AL"/>
              </w:rPr>
            </w:pPr>
          </w:p>
        </w:tc>
        <w:tc>
          <w:tcPr>
            <w:tcW w:w="207" w:type="dxa"/>
            <w:vMerge/>
            <w:tcBorders>
              <w:top w:val="nil"/>
              <w:left w:val="single" w:sz="4" w:space="0" w:color="auto"/>
              <w:bottom w:val="single" w:sz="8" w:space="0" w:color="000000"/>
              <w:right w:val="single" w:sz="4" w:space="0" w:color="auto"/>
            </w:tcBorders>
            <w:vAlign w:val="center"/>
            <w:hideMark/>
          </w:tcPr>
          <w:p w14:paraId="5FEF17C4" w14:textId="77777777" w:rsidR="002117FE" w:rsidRPr="00795698" w:rsidRDefault="002117FE" w:rsidP="002117FE">
            <w:pPr>
              <w:rPr>
                <w:rFonts w:ascii="Arial" w:hAnsi="Arial" w:cs="Arial"/>
                <w:b/>
                <w:bCs/>
                <w:color w:val="000000"/>
                <w:sz w:val="6"/>
                <w:szCs w:val="6"/>
                <w:lang w:eastAsia="sq-AL"/>
              </w:rPr>
            </w:pPr>
          </w:p>
        </w:tc>
        <w:tc>
          <w:tcPr>
            <w:tcW w:w="260" w:type="dxa"/>
            <w:vMerge/>
            <w:tcBorders>
              <w:top w:val="nil"/>
              <w:left w:val="single" w:sz="4" w:space="0" w:color="auto"/>
              <w:bottom w:val="single" w:sz="8" w:space="0" w:color="000000"/>
              <w:right w:val="single" w:sz="8" w:space="0" w:color="auto"/>
            </w:tcBorders>
            <w:vAlign w:val="center"/>
            <w:hideMark/>
          </w:tcPr>
          <w:p w14:paraId="5FEF17C5" w14:textId="77777777" w:rsidR="002117FE" w:rsidRPr="00795698" w:rsidRDefault="002117FE" w:rsidP="002117FE">
            <w:pPr>
              <w:rPr>
                <w:rFonts w:ascii="Arial" w:hAnsi="Arial" w:cs="Arial"/>
                <w:b/>
                <w:bCs/>
                <w:color w:val="000000"/>
                <w:sz w:val="6"/>
                <w:szCs w:val="6"/>
                <w:lang w:eastAsia="sq-AL"/>
              </w:rPr>
            </w:pPr>
          </w:p>
        </w:tc>
        <w:tc>
          <w:tcPr>
            <w:tcW w:w="306" w:type="dxa"/>
            <w:tcBorders>
              <w:top w:val="nil"/>
              <w:left w:val="nil"/>
              <w:bottom w:val="single" w:sz="8" w:space="0" w:color="auto"/>
              <w:right w:val="nil"/>
            </w:tcBorders>
            <w:shd w:val="clear" w:color="auto" w:fill="auto"/>
            <w:vAlign w:val="center"/>
            <w:hideMark/>
          </w:tcPr>
          <w:p w14:paraId="5FEF17C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75" w:type="dxa"/>
            <w:tcBorders>
              <w:top w:val="nil"/>
              <w:left w:val="nil"/>
              <w:bottom w:val="single" w:sz="8" w:space="0" w:color="auto"/>
              <w:right w:val="nil"/>
            </w:tcBorders>
            <w:shd w:val="clear" w:color="auto" w:fill="auto"/>
            <w:vAlign w:val="center"/>
            <w:hideMark/>
          </w:tcPr>
          <w:p w14:paraId="5FEF17C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17C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8" w:space="0" w:color="auto"/>
              <w:right w:val="nil"/>
            </w:tcBorders>
            <w:shd w:val="clear" w:color="auto" w:fill="auto"/>
            <w:vAlign w:val="center"/>
            <w:hideMark/>
          </w:tcPr>
          <w:p w14:paraId="5FEF17C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nil"/>
              <w:bottom w:val="single" w:sz="8" w:space="0" w:color="auto"/>
              <w:right w:val="nil"/>
            </w:tcBorders>
            <w:shd w:val="clear" w:color="auto" w:fill="auto"/>
            <w:vAlign w:val="center"/>
            <w:hideMark/>
          </w:tcPr>
          <w:p w14:paraId="5FEF17C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17C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8" w:space="0" w:color="auto"/>
              <w:right w:val="nil"/>
            </w:tcBorders>
            <w:shd w:val="clear" w:color="auto" w:fill="auto"/>
            <w:vAlign w:val="center"/>
            <w:hideMark/>
          </w:tcPr>
          <w:p w14:paraId="5FEF17C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nil"/>
              <w:bottom w:val="single" w:sz="8" w:space="0" w:color="auto"/>
              <w:right w:val="nil"/>
            </w:tcBorders>
            <w:shd w:val="clear" w:color="auto" w:fill="auto"/>
            <w:vAlign w:val="center"/>
            <w:hideMark/>
          </w:tcPr>
          <w:p w14:paraId="5FEF17C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17C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8" w:space="0" w:color="auto"/>
              <w:right w:val="nil"/>
            </w:tcBorders>
            <w:shd w:val="clear" w:color="auto" w:fill="auto"/>
            <w:vAlign w:val="center"/>
            <w:hideMark/>
          </w:tcPr>
          <w:p w14:paraId="5FEF17C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75" w:type="dxa"/>
            <w:tcBorders>
              <w:top w:val="nil"/>
              <w:left w:val="nil"/>
              <w:bottom w:val="single" w:sz="8" w:space="0" w:color="auto"/>
              <w:right w:val="nil"/>
            </w:tcBorders>
            <w:shd w:val="clear" w:color="auto" w:fill="auto"/>
            <w:vAlign w:val="center"/>
            <w:hideMark/>
          </w:tcPr>
          <w:p w14:paraId="5FEF17D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17D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8" w:space="0" w:color="auto"/>
              <w:right w:val="nil"/>
            </w:tcBorders>
            <w:shd w:val="clear" w:color="auto" w:fill="auto"/>
            <w:vAlign w:val="center"/>
            <w:hideMark/>
          </w:tcPr>
          <w:p w14:paraId="5FEF17D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nil"/>
              <w:bottom w:val="single" w:sz="8" w:space="0" w:color="auto"/>
              <w:right w:val="nil"/>
            </w:tcBorders>
            <w:shd w:val="clear" w:color="auto" w:fill="auto"/>
            <w:vAlign w:val="center"/>
            <w:hideMark/>
          </w:tcPr>
          <w:p w14:paraId="5FEF17D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17D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BSH</w:t>
            </w:r>
          </w:p>
        </w:tc>
        <w:tc>
          <w:tcPr>
            <w:tcW w:w="275" w:type="dxa"/>
            <w:tcBorders>
              <w:top w:val="nil"/>
              <w:left w:val="nil"/>
              <w:bottom w:val="single" w:sz="8" w:space="0" w:color="auto"/>
              <w:right w:val="nil"/>
            </w:tcBorders>
            <w:shd w:val="clear" w:color="auto" w:fill="auto"/>
            <w:vAlign w:val="center"/>
            <w:hideMark/>
          </w:tcPr>
          <w:p w14:paraId="5FEF17D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single" w:sz="8" w:space="0" w:color="auto"/>
              <w:bottom w:val="single" w:sz="8" w:space="0" w:color="auto"/>
              <w:right w:val="single" w:sz="8" w:space="0" w:color="auto"/>
            </w:tcBorders>
            <w:shd w:val="clear" w:color="auto" w:fill="auto"/>
            <w:vAlign w:val="center"/>
            <w:hideMark/>
          </w:tcPr>
          <w:p w14:paraId="5FEF17D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64" w:type="dxa"/>
            <w:tcBorders>
              <w:top w:val="nil"/>
              <w:left w:val="nil"/>
              <w:bottom w:val="single" w:sz="8" w:space="0" w:color="auto"/>
              <w:right w:val="single" w:sz="8" w:space="0" w:color="auto"/>
            </w:tcBorders>
            <w:shd w:val="clear" w:color="auto" w:fill="auto"/>
            <w:vAlign w:val="center"/>
            <w:hideMark/>
          </w:tcPr>
          <w:p w14:paraId="5FEF17D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75" w:type="dxa"/>
            <w:tcBorders>
              <w:top w:val="nil"/>
              <w:left w:val="nil"/>
              <w:bottom w:val="single" w:sz="8" w:space="0" w:color="auto"/>
              <w:right w:val="single" w:sz="8" w:space="0" w:color="auto"/>
            </w:tcBorders>
            <w:shd w:val="clear" w:color="auto" w:fill="auto"/>
            <w:vAlign w:val="center"/>
            <w:hideMark/>
          </w:tcPr>
          <w:p w14:paraId="5FEF17D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62" w:type="dxa"/>
            <w:vMerge/>
            <w:tcBorders>
              <w:top w:val="nil"/>
              <w:left w:val="single" w:sz="8" w:space="0" w:color="auto"/>
              <w:bottom w:val="single" w:sz="8" w:space="0" w:color="000000"/>
              <w:right w:val="single" w:sz="8" w:space="0" w:color="auto"/>
            </w:tcBorders>
            <w:vAlign w:val="center"/>
            <w:hideMark/>
          </w:tcPr>
          <w:p w14:paraId="5FEF17D9" w14:textId="77777777" w:rsidR="002117FE" w:rsidRPr="00795698" w:rsidRDefault="002117FE" w:rsidP="002117FE">
            <w:pPr>
              <w:rPr>
                <w:rFonts w:ascii="Arial" w:hAnsi="Arial" w:cs="Arial"/>
                <w:b/>
                <w:bCs/>
                <w:color w:val="000000"/>
                <w:sz w:val="6"/>
                <w:szCs w:val="6"/>
                <w:lang w:eastAsia="sq-AL"/>
              </w:rPr>
            </w:pPr>
          </w:p>
        </w:tc>
      </w:tr>
      <w:tr w:rsidR="002117FE" w:rsidRPr="00795698" w14:paraId="5FEF17F6" w14:textId="77777777" w:rsidTr="002117FE">
        <w:trPr>
          <w:trHeight w:val="180"/>
          <w:jc w:val="center"/>
        </w:trPr>
        <w:tc>
          <w:tcPr>
            <w:tcW w:w="18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FEF17D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14:paraId="5FEF17DC" w14:textId="24247CBF" w:rsidR="002117FE" w:rsidRPr="00795698" w:rsidRDefault="002117FE" w:rsidP="002117FE">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r w:rsidR="007C064A" w:rsidRPr="00795698">
              <w:rPr>
                <w:rFonts w:ascii="Arial" w:hAnsi="Arial" w:cs="Arial"/>
                <w:b/>
                <w:bCs/>
                <w:i/>
                <w:iCs/>
                <w:color w:val="0066CC"/>
                <w:sz w:val="6"/>
                <w:szCs w:val="6"/>
                <w:lang w:eastAsia="sq-AL"/>
              </w:rPr>
              <w:t xml:space="preserve">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17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17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single" w:sz="4" w:space="0" w:color="auto"/>
              <w:left w:val="nil"/>
              <w:bottom w:val="single" w:sz="4" w:space="0" w:color="auto"/>
              <w:right w:val="single" w:sz="4" w:space="0" w:color="auto"/>
            </w:tcBorders>
            <w:shd w:val="clear" w:color="auto" w:fill="auto"/>
            <w:vAlign w:val="center"/>
            <w:hideMark/>
          </w:tcPr>
          <w:p w14:paraId="5FEF17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single" w:sz="4" w:space="0" w:color="auto"/>
              <w:left w:val="nil"/>
              <w:bottom w:val="single" w:sz="4" w:space="0" w:color="auto"/>
              <w:right w:val="single" w:sz="4" w:space="0" w:color="auto"/>
            </w:tcBorders>
            <w:shd w:val="clear" w:color="auto" w:fill="auto"/>
            <w:vAlign w:val="center"/>
            <w:hideMark/>
          </w:tcPr>
          <w:p w14:paraId="5FEF17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single" w:sz="4" w:space="0" w:color="auto"/>
              <w:left w:val="nil"/>
              <w:bottom w:val="single" w:sz="4" w:space="0" w:color="auto"/>
              <w:right w:val="single" w:sz="4" w:space="0" w:color="auto"/>
            </w:tcBorders>
            <w:shd w:val="clear" w:color="auto" w:fill="auto"/>
            <w:vAlign w:val="center"/>
            <w:hideMark/>
          </w:tcPr>
          <w:p w14:paraId="5FEF17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7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7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7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7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7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7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7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7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single" w:sz="4" w:space="0" w:color="auto"/>
              <w:left w:val="nil"/>
              <w:bottom w:val="single" w:sz="4" w:space="0" w:color="auto"/>
              <w:right w:val="single" w:sz="4" w:space="0" w:color="auto"/>
            </w:tcBorders>
            <w:shd w:val="clear" w:color="auto" w:fill="auto"/>
            <w:vAlign w:val="center"/>
            <w:hideMark/>
          </w:tcPr>
          <w:p w14:paraId="5FEF17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7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single" w:sz="4" w:space="0" w:color="auto"/>
              <w:left w:val="nil"/>
              <w:bottom w:val="single" w:sz="4" w:space="0" w:color="auto"/>
              <w:right w:val="single" w:sz="8" w:space="0" w:color="auto"/>
            </w:tcBorders>
            <w:shd w:val="clear" w:color="auto" w:fill="auto"/>
            <w:vAlign w:val="center"/>
            <w:hideMark/>
          </w:tcPr>
          <w:p w14:paraId="5FEF17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181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7F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w:t>
            </w:r>
          </w:p>
        </w:tc>
        <w:tc>
          <w:tcPr>
            <w:tcW w:w="1301" w:type="dxa"/>
            <w:tcBorders>
              <w:top w:val="nil"/>
              <w:left w:val="nil"/>
              <w:bottom w:val="single" w:sz="4" w:space="0" w:color="auto"/>
              <w:right w:val="single" w:sz="4" w:space="0" w:color="auto"/>
            </w:tcBorders>
            <w:shd w:val="clear" w:color="auto" w:fill="auto"/>
            <w:vAlign w:val="center"/>
            <w:hideMark/>
          </w:tcPr>
          <w:p w14:paraId="5FEF17F8" w14:textId="77777777" w:rsidR="002117FE" w:rsidRPr="00795698" w:rsidRDefault="002117FE" w:rsidP="002117FE">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OBJEKTIVI SPECIFIK: Fuqizimi i komuniteteve dhe institucioneve publike për identifikimin dhe raportimin e rasteve të ekstremizmit të dhunshëm dhe radikalizmit </w:t>
            </w:r>
          </w:p>
        </w:tc>
        <w:tc>
          <w:tcPr>
            <w:tcW w:w="498" w:type="dxa"/>
            <w:tcBorders>
              <w:top w:val="nil"/>
              <w:left w:val="nil"/>
              <w:bottom w:val="single" w:sz="4" w:space="0" w:color="auto"/>
              <w:right w:val="single" w:sz="4" w:space="0" w:color="auto"/>
            </w:tcBorders>
            <w:shd w:val="clear" w:color="000000" w:fill="FFFFFF"/>
            <w:vAlign w:val="center"/>
            <w:hideMark/>
          </w:tcPr>
          <w:p w14:paraId="5FEF17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vAlign w:val="center"/>
            <w:hideMark/>
          </w:tcPr>
          <w:p w14:paraId="5FEF17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vAlign w:val="center"/>
            <w:hideMark/>
          </w:tcPr>
          <w:p w14:paraId="5FEF17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vAlign w:val="center"/>
            <w:hideMark/>
          </w:tcPr>
          <w:p w14:paraId="5FEF17F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vAlign w:val="center"/>
            <w:hideMark/>
          </w:tcPr>
          <w:p w14:paraId="5FEF17F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7FE" w14:textId="77777777" w:rsidR="002117FE" w:rsidRPr="00795698" w:rsidRDefault="002117FE" w:rsidP="002117FE">
            <w:pPr>
              <w:jc w:val="center"/>
              <w:rPr>
                <w:rFonts w:ascii="Arial" w:hAnsi="Arial" w:cs="Arial"/>
                <w:color w:val="FF0000"/>
                <w:sz w:val="6"/>
                <w:szCs w:val="6"/>
                <w:lang w:eastAsia="sq-AL"/>
              </w:rPr>
            </w:pPr>
            <w:r w:rsidRPr="00795698">
              <w:rPr>
                <w:rFonts w:ascii="Arial" w:hAnsi="Arial" w:cs="Arial"/>
                <w:color w:val="FF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7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1" w14:textId="77777777" w:rsidR="002117FE" w:rsidRPr="00795698" w:rsidRDefault="002117FE" w:rsidP="002117FE">
            <w:pPr>
              <w:jc w:val="center"/>
              <w:rPr>
                <w:rFonts w:ascii="Arial" w:hAnsi="Arial" w:cs="Arial"/>
                <w:color w:val="FF0000"/>
                <w:sz w:val="6"/>
                <w:szCs w:val="6"/>
                <w:lang w:eastAsia="sq-AL"/>
              </w:rPr>
            </w:pPr>
            <w:r w:rsidRPr="00795698">
              <w:rPr>
                <w:rFonts w:ascii="Arial" w:hAnsi="Arial" w:cs="Arial"/>
                <w:color w:val="FF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8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4" w14:textId="77777777" w:rsidR="002117FE" w:rsidRPr="00795698" w:rsidRDefault="002117FE" w:rsidP="002117FE">
            <w:pPr>
              <w:jc w:val="center"/>
              <w:rPr>
                <w:rFonts w:ascii="Arial" w:hAnsi="Arial" w:cs="Arial"/>
                <w:color w:val="FF0000"/>
                <w:sz w:val="6"/>
                <w:szCs w:val="6"/>
                <w:lang w:eastAsia="sq-AL"/>
              </w:rPr>
            </w:pPr>
            <w:r w:rsidRPr="00795698">
              <w:rPr>
                <w:rFonts w:ascii="Arial" w:hAnsi="Arial" w:cs="Arial"/>
                <w:color w:val="FF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8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8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8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000000" w:fill="FFFFFF"/>
            <w:vAlign w:val="center"/>
            <w:hideMark/>
          </w:tcPr>
          <w:p w14:paraId="5FEF18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000000" w:fill="FFFFFF"/>
            <w:vAlign w:val="center"/>
            <w:hideMark/>
          </w:tcPr>
          <w:p w14:paraId="5FEF18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182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1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w:t>
            </w:r>
          </w:p>
        </w:tc>
        <w:tc>
          <w:tcPr>
            <w:tcW w:w="1301" w:type="dxa"/>
            <w:tcBorders>
              <w:top w:val="nil"/>
              <w:left w:val="nil"/>
              <w:bottom w:val="single" w:sz="4" w:space="0" w:color="auto"/>
              <w:right w:val="single" w:sz="4" w:space="0" w:color="auto"/>
            </w:tcBorders>
            <w:shd w:val="clear" w:color="auto" w:fill="auto"/>
            <w:vAlign w:val="center"/>
            <w:hideMark/>
          </w:tcPr>
          <w:p w14:paraId="5FEF1814"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Analizë ligjore dhe funksionale në lidhje me kapacitetet dhe strukturat kombëtare në fushën e ekstremizmit duke identifikuar mangësitë dhe boshllëqet në kapacitetet parandaluese dhe ato të lajmërimit të hershëm, inteligjente dhe hetimore si dhe ato goditëse e reaguese, si dhe përgatitje të kuadrit ligjor dhe institucional për të plotësuar kapacitetet dhe nevojat kombëtare duke bërë ndryshimet e nevojshme ligjore, funksionale dhe strukturore të QKEDH.</w:t>
            </w:r>
          </w:p>
        </w:tc>
        <w:tc>
          <w:tcPr>
            <w:tcW w:w="498" w:type="dxa"/>
            <w:tcBorders>
              <w:top w:val="nil"/>
              <w:left w:val="nil"/>
              <w:bottom w:val="single" w:sz="4" w:space="0" w:color="auto"/>
              <w:right w:val="single" w:sz="4" w:space="0" w:color="auto"/>
            </w:tcBorders>
            <w:shd w:val="clear" w:color="000000" w:fill="FFFFFF"/>
            <w:vAlign w:val="center"/>
            <w:hideMark/>
          </w:tcPr>
          <w:p w14:paraId="5FEF1815" w14:textId="72F22EE6"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8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8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81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1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20,480</w:t>
            </w:r>
          </w:p>
        </w:tc>
        <w:tc>
          <w:tcPr>
            <w:tcW w:w="275" w:type="dxa"/>
            <w:tcBorders>
              <w:top w:val="nil"/>
              <w:left w:val="nil"/>
              <w:bottom w:val="single" w:sz="4" w:space="0" w:color="auto"/>
              <w:right w:val="single" w:sz="4" w:space="0" w:color="auto"/>
            </w:tcBorders>
            <w:shd w:val="clear" w:color="000000" w:fill="FFFFFF"/>
            <w:vAlign w:val="center"/>
            <w:hideMark/>
          </w:tcPr>
          <w:p w14:paraId="5FEF18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20,480</w:t>
            </w:r>
          </w:p>
        </w:tc>
        <w:tc>
          <w:tcPr>
            <w:tcW w:w="306" w:type="dxa"/>
            <w:tcBorders>
              <w:top w:val="nil"/>
              <w:left w:val="nil"/>
              <w:bottom w:val="single" w:sz="4" w:space="0" w:color="auto"/>
              <w:right w:val="single" w:sz="4" w:space="0" w:color="auto"/>
            </w:tcBorders>
            <w:shd w:val="clear" w:color="000000" w:fill="FFFFFF"/>
            <w:vAlign w:val="center"/>
            <w:hideMark/>
          </w:tcPr>
          <w:p w14:paraId="5FEF18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20,480</w:t>
            </w:r>
          </w:p>
        </w:tc>
        <w:tc>
          <w:tcPr>
            <w:tcW w:w="245" w:type="dxa"/>
            <w:tcBorders>
              <w:top w:val="nil"/>
              <w:left w:val="nil"/>
              <w:bottom w:val="single" w:sz="4" w:space="0" w:color="auto"/>
              <w:right w:val="single" w:sz="4" w:space="0" w:color="auto"/>
            </w:tcBorders>
            <w:shd w:val="clear" w:color="000000" w:fill="FFFFFF"/>
            <w:vAlign w:val="center"/>
            <w:hideMark/>
          </w:tcPr>
          <w:p w14:paraId="5FEF18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20,480</w:t>
            </w:r>
          </w:p>
        </w:tc>
        <w:tc>
          <w:tcPr>
            <w:tcW w:w="306" w:type="dxa"/>
            <w:tcBorders>
              <w:top w:val="nil"/>
              <w:left w:val="nil"/>
              <w:bottom w:val="single" w:sz="4" w:space="0" w:color="auto"/>
              <w:right w:val="single" w:sz="4" w:space="0" w:color="auto"/>
            </w:tcBorders>
            <w:shd w:val="clear" w:color="000000" w:fill="FFFFFF"/>
            <w:vAlign w:val="center"/>
            <w:hideMark/>
          </w:tcPr>
          <w:p w14:paraId="5FEF18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20,480</w:t>
            </w:r>
          </w:p>
        </w:tc>
        <w:tc>
          <w:tcPr>
            <w:tcW w:w="245" w:type="dxa"/>
            <w:tcBorders>
              <w:top w:val="nil"/>
              <w:left w:val="nil"/>
              <w:bottom w:val="single" w:sz="4" w:space="0" w:color="auto"/>
              <w:right w:val="single" w:sz="4" w:space="0" w:color="auto"/>
            </w:tcBorders>
            <w:shd w:val="clear" w:color="000000" w:fill="FFFFFF"/>
            <w:vAlign w:val="center"/>
            <w:hideMark/>
          </w:tcPr>
          <w:p w14:paraId="5FEF18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20,480</w:t>
            </w:r>
          </w:p>
        </w:tc>
        <w:tc>
          <w:tcPr>
            <w:tcW w:w="306" w:type="dxa"/>
            <w:tcBorders>
              <w:top w:val="nil"/>
              <w:left w:val="nil"/>
              <w:bottom w:val="single" w:sz="4" w:space="0" w:color="auto"/>
              <w:right w:val="single" w:sz="4" w:space="0" w:color="auto"/>
            </w:tcBorders>
            <w:shd w:val="clear" w:color="000000" w:fill="FFFFFF"/>
            <w:vAlign w:val="center"/>
            <w:hideMark/>
          </w:tcPr>
          <w:p w14:paraId="5FEF18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61,440</w:t>
            </w:r>
          </w:p>
        </w:tc>
        <w:tc>
          <w:tcPr>
            <w:tcW w:w="275" w:type="dxa"/>
            <w:tcBorders>
              <w:top w:val="nil"/>
              <w:left w:val="nil"/>
              <w:bottom w:val="single" w:sz="4" w:space="0" w:color="auto"/>
              <w:right w:val="single" w:sz="4" w:space="0" w:color="auto"/>
            </w:tcBorders>
            <w:shd w:val="clear" w:color="000000" w:fill="FFFFFF"/>
            <w:vAlign w:val="center"/>
            <w:hideMark/>
          </w:tcPr>
          <w:p w14:paraId="5FEF18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61,440</w:t>
            </w:r>
          </w:p>
        </w:tc>
        <w:tc>
          <w:tcPr>
            <w:tcW w:w="306" w:type="dxa"/>
            <w:tcBorders>
              <w:top w:val="nil"/>
              <w:left w:val="nil"/>
              <w:bottom w:val="single" w:sz="4" w:space="0" w:color="auto"/>
              <w:right w:val="single" w:sz="4" w:space="0" w:color="auto"/>
            </w:tcBorders>
            <w:shd w:val="clear" w:color="000000" w:fill="FFFFFF"/>
            <w:vAlign w:val="center"/>
            <w:hideMark/>
          </w:tcPr>
          <w:p w14:paraId="5FEF18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20,880</w:t>
            </w:r>
          </w:p>
        </w:tc>
        <w:tc>
          <w:tcPr>
            <w:tcW w:w="245" w:type="dxa"/>
            <w:tcBorders>
              <w:top w:val="nil"/>
              <w:left w:val="nil"/>
              <w:bottom w:val="single" w:sz="4" w:space="0" w:color="auto"/>
              <w:right w:val="single" w:sz="4" w:space="0" w:color="auto"/>
            </w:tcBorders>
            <w:shd w:val="clear" w:color="000000" w:fill="FFFFFF"/>
            <w:vAlign w:val="center"/>
            <w:hideMark/>
          </w:tcPr>
          <w:p w14:paraId="5FEF18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20,880</w:t>
            </w:r>
          </w:p>
        </w:tc>
        <w:tc>
          <w:tcPr>
            <w:tcW w:w="275" w:type="dxa"/>
            <w:tcBorders>
              <w:top w:val="nil"/>
              <w:left w:val="nil"/>
              <w:bottom w:val="single" w:sz="4" w:space="0" w:color="auto"/>
              <w:right w:val="single" w:sz="4" w:space="0" w:color="auto"/>
            </w:tcBorders>
            <w:shd w:val="clear" w:color="000000" w:fill="FFFFFF"/>
            <w:vAlign w:val="center"/>
            <w:hideMark/>
          </w:tcPr>
          <w:p w14:paraId="5FEF18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40,560</w:t>
            </w:r>
          </w:p>
        </w:tc>
        <w:tc>
          <w:tcPr>
            <w:tcW w:w="245" w:type="dxa"/>
            <w:tcBorders>
              <w:top w:val="nil"/>
              <w:left w:val="nil"/>
              <w:bottom w:val="single" w:sz="4" w:space="0" w:color="auto"/>
              <w:right w:val="single" w:sz="4" w:space="0" w:color="auto"/>
            </w:tcBorders>
            <w:shd w:val="clear" w:color="000000" w:fill="FFFFFF"/>
            <w:vAlign w:val="center"/>
            <w:hideMark/>
          </w:tcPr>
          <w:p w14:paraId="5FEF18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40,560</w:t>
            </w:r>
          </w:p>
        </w:tc>
        <w:tc>
          <w:tcPr>
            <w:tcW w:w="262" w:type="dxa"/>
            <w:tcBorders>
              <w:top w:val="nil"/>
              <w:left w:val="nil"/>
              <w:bottom w:val="single" w:sz="4" w:space="0" w:color="auto"/>
              <w:right w:val="single" w:sz="8" w:space="0" w:color="auto"/>
            </w:tcBorders>
            <w:shd w:val="clear" w:color="000000" w:fill="FFFFFF"/>
            <w:vAlign w:val="center"/>
            <w:hideMark/>
          </w:tcPr>
          <w:p w14:paraId="5FEF18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4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2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w:t>
            </w:r>
          </w:p>
        </w:tc>
        <w:tc>
          <w:tcPr>
            <w:tcW w:w="1301" w:type="dxa"/>
            <w:tcBorders>
              <w:top w:val="nil"/>
              <w:left w:val="nil"/>
              <w:bottom w:val="single" w:sz="4" w:space="0" w:color="auto"/>
              <w:right w:val="single" w:sz="4" w:space="0" w:color="auto"/>
            </w:tcBorders>
            <w:shd w:val="clear" w:color="auto" w:fill="auto"/>
            <w:vAlign w:val="center"/>
            <w:hideMark/>
          </w:tcPr>
          <w:p w14:paraId="5FEF1830" w14:textId="62935B3A"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Bashkëpunim dhe koordinim me strukturat e përkatëse në sistemin e burgjeve dhe Shërbimit të Provës në Ministrinë e Drejtësisë për sa i përket identifikimit, analizës,</w:t>
            </w:r>
            <w:r w:rsidR="007C064A" w:rsidRPr="00795698">
              <w:rPr>
                <w:rFonts w:ascii="Arial" w:hAnsi="Arial" w:cs="Arial"/>
                <w:sz w:val="6"/>
                <w:szCs w:val="6"/>
                <w:lang w:eastAsia="sq-AL"/>
              </w:rPr>
              <w:t xml:space="preserve"> </w:t>
            </w:r>
            <w:r w:rsidRPr="00795698">
              <w:rPr>
                <w:rFonts w:ascii="Arial" w:hAnsi="Arial" w:cs="Arial"/>
                <w:sz w:val="6"/>
                <w:szCs w:val="6"/>
                <w:lang w:eastAsia="sq-AL"/>
              </w:rPr>
              <w:t>dhe vlerësimit të shkaqeve që çojnë në radikalizëm si dhe të metodave të rekrutimit në Sistemin e Burgjeve dhe në Shërbimin e Provës.</w:t>
            </w:r>
          </w:p>
        </w:tc>
        <w:tc>
          <w:tcPr>
            <w:tcW w:w="498" w:type="dxa"/>
            <w:tcBorders>
              <w:top w:val="nil"/>
              <w:left w:val="nil"/>
              <w:bottom w:val="single" w:sz="4" w:space="0" w:color="auto"/>
              <w:right w:val="single" w:sz="4" w:space="0" w:color="auto"/>
            </w:tcBorders>
            <w:shd w:val="clear" w:color="auto" w:fill="auto"/>
            <w:vAlign w:val="center"/>
            <w:hideMark/>
          </w:tcPr>
          <w:p w14:paraId="5FEF1831" w14:textId="4373AB54"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"Shërbimi i Provës", Kodi i Programit Buxhetor 03490</w:t>
            </w:r>
            <w:r w:rsidRPr="00795698">
              <w:rPr>
                <w:rFonts w:ascii="Arial" w:hAnsi="Arial" w:cs="Arial"/>
                <w:color w:val="000000"/>
                <w:sz w:val="6"/>
                <w:szCs w:val="6"/>
                <w:lang w:eastAsia="sq-AL"/>
              </w:rPr>
              <w:br/>
              <w:t>91409AA</w:t>
            </w:r>
          </w:p>
        </w:tc>
        <w:tc>
          <w:tcPr>
            <w:tcW w:w="498" w:type="dxa"/>
            <w:tcBorders>
              <w:top w:val="nil"/>
              <w:left w:val="nil"/>
              <w:bottom w:val="single" w:sz="4" w:space="0" w:color="auto"/>
              <w:right w:val="single" w:sz="4" w:space="0" w:color="auto"/>
            </w:tcBorders>
            <w:shd w:val="clear" w:color="auto" w:fill="auto"/>
            <w:vAlign w:val="center"/>
            <w:hideMark/>
          </w:tcPr>
          <w:p w14:paraId="5FEF1832" w14:textId="77777777" w:rsidR="002117FE" w:rsidRPr="00795698" w:rsidRDefault="002117FE" w:rsidP="002117FE">
            <w:pPr>
              <w:spacing w:after="240"/>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 Drejtoria e Përgjithshme e Shërbimit të Provës/</w:t>
            </w:r>
            <w:r w:rsidRPr="00795698">
              <w:rPr>
                <w:rFonts w:ascii="Arial" w:hAnsi="Arial" w:cs="Arial"/>
                <w:color w:val="000000"/>
                <w:sz w:val="6"/>
                <w:szCs w:val="6"/>
                <w:lang w:eastAsia="sq-AL"/>
              </w:rPr>
              <w:br/>
              <w:t>Shërbimi i Kontrollit të Brendshëm të Burgjeve</w:t>
            </w:r>
            <w:r w:rsidRPr="00795698">
              <w:rPr>
                <w:rFonts w:ascii="Arial" w:hAnsi="Arial" w:cs="Arial"/>
                <w:color w:val="000000"/>
                <w:sz w:val="6"/>
                <w:szCs w:val="6"/>
                <w:lang w:eastAsia="sq-AL"/>
              </w:rPr>
              <w:br/>
              <w:t>/Drejtoria e Përgjithshme e Burgjeve</w:t>
            </w:r>
          </w:p>
        </w:tc>
        <w:tc>
          <w:tcPr>
            <w:tcW w:w="578" w:type="dxa"/>
            <w:tcBorders>
              <w:top w:val="nil"/>
              <w:left w:val="nil"/>
              <w:bottom w:val="single" w:sz="4" w:space="0" w:color="auto"/>
              <w:right w:val="single" w:sz="4" w:space="0" w:color="auto"/>
            </w:tcBorders>
            <w:shd w:val="clear" w:color="auto" w:fill="auto"/>
            <w:vAlign w:val="center"/>
            <w:hideMark/>
          </w:tcPr>
          <w:p w14:paraId="5FEF18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83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3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60,920</w:t>
            </w:r>
          </w:p>
        </w:tc>
        <w:tc>
          <w:tcPr>
            <w:tcW w:w="275" w:type="dxa"/>
            <w:tcBorders>
              <w:top w:val="nil"/>
              <w:left w:val="nil"/>
              <w:bottom w:val="single" w:sz="4" w:space="0" w:color="auto"/>
              <w:right w:val="single" w:sz="4" w:space="0" w:color="auto"/>
            </w:tcBorders>
            <w:shd w:val="clear" w:color="000000" w:fill="FFFFFF"/>
            <w:vAlign w:val="center"/>
            <w:hideMark/>
          </w:tcPr>
          <w:p w14:paraId="5FEF18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60,920</w:t>
            </w:r>
          </w:p>
        </w:tc>
        <w:tc>
          <w:tcPr>
            <w:tcW w:w="306" w:type="dxa"/>
            <w:tcBorders>
              <w:top w:val="nil"/>
              <w:left w:val="nil"/>
              <w:bottom w:val="single" w:sz="4" w:space="0" w:color="auto"/>
              <w:right w:val="single" w:sz="4" w:space="0" w:color="auto"/>
            </w:tcBorders>
            <w:shd w:val="clear" w:color="000000" w:fill="FFFFFF"/>
            <w:vAlign w:val="center"/>
            <w:hideMark/>
          </w:tcPr>
          <w:p w14:paraId="5FEF18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60,920</w:t>
            </w:r>
          </w:p>
        </w:tc>
        <w:tc>
          <w:tcPr>
            <w:tcW w:w="245" w:type="dxa"/>
            <w:tcBorders>
              <w:top w:val="nil"/>
              <w:left w:val="nil"/>
              <w:bottom w:val="single" w:sz="4" w:space="0" w:color="auto"/>
              <w:right w:val="single" w:sz="4" w:space="0" w:color="auto"/>
            </w:tcBorders>
            <w:shd w:val="clear" w:color="000000" w:fill="FFFFFF"/>
            <w:vAlign w:val="center"/>
            <w:hideMark/>
          </w:tcPr>
          <w:p w14:paraId="5FEF183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60,920</w:t>
            </w:r>
          </w:p>
        </w:tc>
        <w:tc>
          <w:tcPr>
            <w:tcW w:w="306" w:type="dxa"/>
            <w:tcBorders>
              <w:top w:val="nil"/>
              <w:left w:val="nil"/>
              <w:bottom w:val="single" w:sz="4" w:space="0" w:color="auto"/>
              <w:right w:val="single" w:sz="4" w:space="0" w:color="auto"/>
            </w:tcBorders>
            <w:shd w:val="clear" w:color="000000" w:fill="FFFFFF"/>
            <w:vAlign w:val="center"/>
            <w:hideMark/>
          </w:tcPr>
          <w:p w14:paraId="5FEF18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60,920</w:t>
            </w:r>
          </w:p>
        </w:tc>
        <w:tc>
          <w:tcPr>
            <w:tcW w:w="245" w:type="dxa"/>
            <w:tcBorders>
              <w:top w:val="nil"/>
              <w:left w:val="nil"/>
              <w:bottom w:val="single" w:sz="4" w:space="0" w:color="auto"/>
              <w:right w:val="single" w:sz="4" w:space="0" w:color="auto"/>
            </w:tcBorders>
            <w:shd w:val="clear" w:color="000000" w:fill="FFFFFF"/>
            <w:vAlign w:val="center"/>
            <w:hideMark/>
          </w:tcPr>
          <w:p w14:paraId="5FEF18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60,920</w:t>
            </w:r>
          </w:p>
        </w:tc>
        <w:tc>
          <w:tcPr>
            <w:tcW w:w="306" w:type="dxa"/>
            <w:tcBorders>
              <w:top w:val="nil"/>
              <w:left w:val="nil"/>
              <w:bottom w:val="single" w:sz="4" w:space="0" w:color="auto"/>
              <w:right w:val="single" w:sz="4" w:space="0" w:color="auto"/>
            </w:tcBorders>
            <w:shd w:val="clear" w:color="000000" w:fill="FFFFFF"/>
            <w:vAlign w:val="center"/>
            <w:hideMark/>
          </w:tcPr>
          <w:p w14:paraId="5FEF18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182,760</w:t>
            </w:r>
          </w:p>
        </w:tc>
        <w:tc>
          <w:tcPr>
            <w:tcW w:w="275" w:type="dxa"/>
            <w:tcBorders>
              <w:top w:val="nil"/>
              <w:left w:val="nil"/>
              <w:bottom w:val="single" w:sz="4" w:space="0" w:color="auto"/>
              <w:right w:val="single" w:sz="4" w:space="0" w:color="auto"/>
            </w:tcBorders>
            <w:shd w:val="clear" w:color="000000" w:fill="FFFFFF"/>
            <w:vAlign w:val="center"/>
            <w:hideMark/>
          </w:tcPr>
          <w:p w14:paraId="5FEF18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182,760</w:t>
            </w:r>
          </w:p>
        </w:tc>
        <w:tc>
          <w:tcPr>
            <w:tcW w:w="306" w:type="dxa"/>
            <w:tcBorders>
              <w:top w:val="nil"/>
              <w:left w:val="nil"/>
              <w:bottom w:val="single" w:sz="4" w:space="0" w:color="auto"/>
              <w:right w:val="single" w:sz="4" w:space="0" w:color="auto"/>
            </w:tcBorders>
            <w:shd w:val="clear" w:color="000000" w:fill="FFFFFF"/>
            <w:vAlign w:val="center"/>
            <w:hideMark/>
          </w:tcPr>
          <w:p w14:paraId="5FEF18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127,920</w:t>
            </w:r>
          </w:p>
        </w:tc>
        <w:tc>
          <w:tcPr>
            <w:tcW w:w="245" w:type="dxa"/>
            <w:tcBorders>
              <w:top w:val="nil"/>
              <w:left w:val="nil"/>
              <w:bottom w:val="single" w:sz="4" w:space="0" w:color="auto"/>
              <w:right w:val="single" w:sz="4" w:space="0" w:color="auto"/>
            </w:tcBorders>
            <w:shd w:val="clear" w:color="000000" w:fill="FFFFFF"/>
            <w:vAlign w:val="center"/>
            <w:hideMark/>
          </w:tcPr>
          <w:p w14:paraId="5FEF18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127,920</w:t>
            </w:r>
          </w:p>
        </w:tc>
        <w:tc>
          <w:tcPr>
            <w:tcW w:w="275" w:type="dxa"/>
            <w:tcBorders>
              <w:top w:val="nil"/>
              <w:left w:val="nil"/>
              <w:bottom w:val="single" w:sz="4" w:space="0" w:color="auto"/>
              <w:right w:val="single" w:sz="4" w:space="0" w:color="auto"/>
            </w:tcBorders>
            <w:shd w:val="clear" w:color="000000" w:fill="FFFFFF"/>
            <w:vAlign w:val="center"/>
            <w:hideMark/>
          </w:tcPr>
          <w:p w14:paraId="5FEF18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54,840</w:t>
            </w:r>
          </w:p>
        </w:tc>
        <w:tc>
          <w:tcPr>
            <w:tcW w:w="245" w:type="dxa"/>
            <w:tcBorders>
              <w:top w:val="nil"/>
              <w:left w:val="nil"/>
              <w:bottom w:val="single" w:sz="4" w:space="0" w:color="auto"/>
              <w:right w:val="single" w:sz="4" w:space="0" w:color="auto"/>
            </w:tcBorders>
            <w:shd w:val="clear" w:color="000000" w:fill="FFFFFF"/>
            <w:vAlign w:val="center"/>
            <w:hideMark/>
          </w:tcPr>
          <w:p w14:paraId="5FEF18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54,840</w:t>
            </w:r>
          </w:p>
        </w:tc>
        <w:tc>
          <w:tcPr>
            <w:tcW w:w="262" w:type="dxa"/>
            <w:tcBorders>
              <w:top w:val="nil"/>
              <w:left w:val="nil"/>
              <w:bottom w:val="single" w:sz="4" w:space="0" w:color="auto"/>
              <w:right w:val="single" w:sz="8" w:space="0" w:color="auto"/>
            </w:tcBorders>
            <w:shd w:val="clear" w:color="000000" w:fill="FFFFFF"/>
            <w:vAlign w:val="center"/>
            <w:hideMark/>
          </w:tcPr>
          <w:p w14:paraId="5FEF18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6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4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1.1.3</w:t>
            </w:r>
          </w:p>
        </w:tc>
        <w:tc>
          <w:tcPr>
            <w:tcW w:w="1301" w:type="dxa"/>
            <w:tcBorders>
              <w:top w:val="nil"/>
              <w:left w:val="nil"/>
              <w:bottom w:val="single" w:sz="4" w:space="0" w:color="auto"/>
              <w:right w:val="single" w:sz="4" w:space="0" w:color="auto"/>
            </w:tcBorders>
            <w:shd w:val="clear" w:color="auto" w:fill="auto"/>
            <w:vAlign w:val="center"/>
            <w:hideMark/>
          </w:tcPr>
          <w:p w14:paraId="5FEF184C" w14:textId="41CBB62F"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Trajnime për personelin e institucioneve të ekzekutimit të vendimeve penale (IEVP) dhe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shërbimit të provës,</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mbi</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shenjat e hershme të radikalizmit dhe ekstremizmit të dhunshëm.</w:t>
            </w:r>
          </w:p>
        </w:tc>
        <w:tc>
          <w:tcPr>
            <w:tcW w:w="498" w:type="dxa"/>
            <w:tcBorders>
              <w:top w:val="nil"/>
              <w:left w:val="nil"/>
              <w:bottom w:val="single" w:sz="4" w:space="0" w:color="auto"/>
              <w:right w:val="single" w:sz="4" w:space="0" w:color="auto"/>
            </w:tcBorders>
            <w:shd w:val="clear" w:color="auto" w:fill="auto"/>
            <w:vAlign w:val="center"/>
            <w:hideMark/>
          </w:tcPr>
          <w:p w14:paraId="5FEF184D" w14:textId="27CF415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"Shërbimi i Provës", Kodi i Programit Buxhetor 03490</w:t>
            </w:r>
            <w:r w:rsidRPr="00795698">
              <w:rPr>
                <w:rFonts w:ascii="Arial" w:hAnsi="Arial" w:cs="Arial"/>
                <w:color w:val="000000"/>
                <w:sz w:val="6"/>
                <w:szCs w:val="6"/>
                <w:lang w:eastAsia="sq-AL"/>
              </w:rPr>
              <w:br/>
              <w:t>91409AA</w:t>
            </w:r>
          </w:p>
        </w:tc>
        <w:tc>
          <w:tcPr>
            <w:tcW w:w="498" w:type="dxa"/>
            <w:tcBorders>
              <w:top w:val="nil"/>
              <w:left w:val="nil"/>
              <w:bottom w:val="single" w:sz="4" w:space="0" w:color="auto"/>
              <w:right w:val="single" w:sz="4" w:space="0" w:color="auto"/>
            </w:tcBorders>
            <w:shd w:val="clear" w:color="auto" w:fill="auto"/>
            <w:vAlign w:val="center"/>
            <w:hideMark/>
          </w:tcPr>
          <w:p w14:paraId="5FEF184E" w14:textId="3FB3C41C"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Drejtoria e Përgjithshme e Shërbimit të Provës/</w:t>
            </w:r>
            <w:r w:rsidRPr="00795698">
              <w:rPr>
                <w:rFonts w:ascii="Arial" w:hAnsi="Arial" w:cs="Arial"/>
                <w:color w:val="000000"/>
                <w:sz w:val="6"/>
                <w:szCs w:val="6"/>
                <w:lang w:eastAsia="sq-AL"/>
              </w:rPr>
              <w:br/>
              <w:t>Drejtoria e Përgjithshme e Burgjeve;</w:t>
            </w:r>
          </w:p>
        </w:tc>
        <w:tc>
          <w:tcPr>
            <w:tcW w:w="578" w:type="dxa"/>
            <w:tcBorders>
              <w:top w:val="nil"/>
              <w:left w:val="nil"/>
              <w:bottom w:val="single" w:sz="4" w:space="0" w:color="auto"/>
              <w:right w:val="single" w:sz="4" w:space="0" w:color="auto"/>
            </w:tcBorders>
            <w:shd w:val="clear" w:color="auto" w:fill="auto"/>
            <w:vAlign w:val="center"/>
            <w:hideMark/>
          </w:tcPr>
          <w:p w14:paraId="5FEF184F" w14:textId="77777777" w:rsidR="002117FE" w:rsidRPr="00795698" w:rsidRDefault="002117FE" w:rsidP="002117FE">
            <w:pPr>
              <w:jc w:val="center"/>
              <w:rPr>
                <w:rFonts w:ascii="Arial" w:hAnsi="Arial" w:cs="Arial"/>
                <w:sz w:val="6"/>
                <w:szCs w:val="6"/>
                <w:lang w:eastAsia="sq-AL"/>
              </w:rPr>
            </w:pPr>
            <w:r w:rsidRPr="00795698">
              <w:rPr>
                <w:rFonts w:ascii="Arial" w:hAnsi="Arial" w:cs="Arial"/>
                <w:sz w:val="6"/>
                <w:szCs w:val="6"/>
                <w:lang w:eastAsia="sq-AL"/>
              </w:rPr>
              <w:t>QKEDH; Donatorë; Drejtoria e Përgjithshme e Burgjeve/ Drejtoria e Përgjithshme e Shërbimit të Provës.</w:t>
            </w:r>
          </w:p>
        </w:tc>
        <w:tc>
          <w:tcPr>
            <w:tcW w:w="207" w:type="dxa"/>
            <w:tcBorders>
              <w:top w:val="nil"/>
              <w:left w:val="nil"/>
              <w:bottom w:val="single" w:sz="4" w:space="0" w:color="auto"/>
              <w:right w:val="single" w:sz="4" w:space="0" w:color="auto"/>
            </w:tcBorders>
            <w:shd w:val="clear" w:color="auto" w:fill="auto"/>
            <w:vAlign w:val="center"/>
            <w:hideMark/>
          </w:tcPr>
          <w:p w14:paraId="5FEF185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5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23,844</w:t>
            </w:r>
          </w:p>
        </w:tc>
        <w:tc>
          <w:tcPr>
            <w:tcW w:w="275" w:type="dxa"/>
            <w:tcBorders>
              <w:top w:val="nil"/>
              <w:left w:val="nil"/>
              <w:bottom w:val="single" w:sz="4" w:space="0" w:color="auto"/>
              <w:right w:val="single" w:sz="4" w:space="0" w:color="auto"/>
            </w:tcBorders>
            <w:shd w:val="clear" w:color="000000" w:fill="FFFFFF"/>
            <w:vAlign w:val="center"/>
            <w:hideMark/>
          </w:tcPr>
          <w:p w14:paraId="5FEF18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23,844</w:t>
            </w:r>
          </w:p>
        </w:tc>
        <w:tc>
          <w:tcPr>
            <w:tcW w:w="306" w:type="dxa"/>
            <w:tcBorders>
              <w:top w:val="nil"/>
              <w:left w:val="nil"/>
              <w:bottom w:val="single" w:sz="4" w:space="0" w:color="auto"/>
              <w:right w:val="single" w:sz="4" w:space="0" w:color="auto"/>
            </w:tcBorders>
            <w:shd w:val="clear" w:color="000000" w:fill="FFFFFF"/>
            <w:vAlign w:val="center"/>
            <w:hideMark/>
          </w:tcPr>
          <w:p w14:paraId="5FEF18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23,844</w:t>
            </w:r>
          </w:p>
        </w:tc>
        <w:tc>
          <w:tcPr>
            <w:tcW w:w="245" w:type="dxa"/>
            <w:tcBorders>
              <w:top w:val="nil"/>
              <w:left w:val="nil"/>
              <w:bottom w:val="single" w:sz="4" w:space="0" w:color="auto"/>
              <w:right w:val="single" w:sz="4" w:space="0" w:color="auto"/>
            </w:tcBorders>
            <w:shd w:val="clear" w:color="000000" w:fill="FFFFFF"/>
            <w:vAlign w:val="center"/>
            <w:hideMark/>
          </w:tcPr>
          <w:p w14:paraId="5FEF18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23,844</w:t>
            </w:r>
          </w:p>
        </w:tc>
        <w:tc>
          <w:tcPr>
            <w:tcW w:w="306" w:type="dxa"/>
            <w:tcBorders>
              <w:top w:val="nil"/>
              <w:left w:val="nil"/>
              <w:bottom w:val="single" w:sz="4" w:space="0" w:color="auto"/>
              <w:right w:val="single" w:sz="4" w:space="0" w:color="auto"/>
            </w:tcBorders>
            <w:shd w:val="clear" w:color="000000" w:fill="FFFFFF"/>
            <w:vAlign w:val="center"/>
            <w:hideMark/>
          </w:tcPr>
          <w:p w14:paraId="5FEF18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23,844</w:t>
            </w:r>
          </w:p>
        </w:tc>
        <w:tc>
          <w:tcPr>
            <w:tcW w:w="245" w:type="dxa"/>
            <w:tcBorders>
              <w:top w:val="nil"/>
              <w:left w:val="nil"/>
              <w:bottom w:val="single" w:sz="4" w:space="0" w:color="auto"/>
              <w:right w:val="single" w:sz="4" w:space="0" w:color="auto"/>
            </w:tcBorders>
            <w:shd w:val="clear" w:color="000000" w:fill="FFFFFF"/>
            <w:vAlign w:val="center"/>
            <w:hideMark/>
          </w:tcPr>
          <w:p w14:paraId="5FEF18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23,844</w:t>
            </w:r>
          </w:p>
        </w:tc>
        <w:tc>
          <w:tcPr>
            <w:tcW w:w="306" w:type="dxa"/>
            <w:tcBorders>
              <w:top w:val="nil"/>
              <w:left w:val="nil"/>
              <w:bottom w:val="single" w:sz="4" w:space="0" w:color="auto"/>
              <w:right w:val="single" w:sz="4" w:space="0" w:color="auto"/>
            </w:tcBorders>
            <w:shd w:val="clear" w:color="000000" w:fill="FFFFFF"/>
            <w:vAlign w:val="center"/>
            <w:hideMark/>
          </w:tcPr>
          <w:p w14:paraId="5FEF18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71,532</w:t>
            </w:r>
          </w:p>
        </w:tc>
        <w:tc>
          <w:tcPr>
            <w:tcW w:w="275" w:type="dxa"/>
            <w:tcBorders>
              <w:top w:val="nil"/>
              <w:left w:val="nil"/>
              <w:bottom w:val="single" w:sz="4" w:space="0" w:color="auto"/>
              <w:right w:val="single" w:sz="4" w:space="0" w:color="auto"/>
            </w:tcBorders>
            <w:shd w:val="clear" w:color="000000" w:fill="FFFFFF"/>
            <w:vAlign w:val="center"/>
            <w:hideMark/>
          </w:tcPr>
          <w:p w14:paraId="5FEF18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71,532</w:t>
            </w:r>
          </w:p>
        </w:tc>
        <w:tc>
          <w:tcPr>
            <w:tcW w:w="306" w:type="dxa"/>
            <w:tcBorders>
              <w:top w:val="nil"/>
              <w:left w:val="nil"/>
              <w:bottom w:val="single" w:sz="4" w:space="0" w:color="auto"/>
              <w:right w:val="single" w:sz="4" w:space="0" w:color="auto"/>
            </w:tcBorders>
            <w:shd w:val="clear" w:color="000000" w:fill="FFFFFF"/>
            <w:vAlign w:val="center"/>
            <w:hideMark/>
          </w:tcPr>
          <w:p w14:paraId="5FEF18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29,532</w:t>
            </w:r>
          </w:p>
        </w:tc>
        <w:tc>
          <w:tcPr>
            <w:tcW w:w="245" w:type="dxa"/>
            <w:tcBorders>
              <w:top w:val="nil"/>
              <w:left w:val="nil"/>
              <w:bottom w:val="single" w:sz="4" w:space="0" w:color="auto"/>
              <w:right w:val="single" w:sz="4" w:space="0" w:color="auto"/>
            </w:tcBorders>
            <w:shd w:val="clear" w:color="000000" w:fill="FFFFFF"/>
            <w:vAlign w:val="center"/>
            <w:hideMark/>
          </w:tcPr>
          <w:p w14:paraId="5FEF18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29,532</w:t>
            </w:r>
          </w:p>
        </w:tc>
        <w:tc>
          <w:tcPr>
            <w:tcW w:w="275" w:type="dxa"/>
            <w:tcBorders>
              <w:top w:val="nil"/>
              <w:left w:val="nil"/>
              <w:bottom w:val="single" w:sz="4" w:space="0" w:color="auto"/>
              <w:right w:val="single" w:sz="4" w:space="0" w:color="auto"/>
            </w:tcBorders>
            <w:shd w:val="clear" w:color="000000" w:fill="FFFFFF"/>
            <w:vAlign w:val="center"/>
            <w:hideMark/>
          </w:tcPr>
          <w:p w14:paraId="5FEF18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42,000</w:t>
            </w:r>
          </w:p>
        </w:tc>
        <w:tc>
          <w:tcPr>
            <w:tcW w:w="245" w:type="dxa"/>
            <w:tcBorders>
              <w:top w:val="nil"/>
              <w:left w:val="nil"/>
              <w:bottom w:val="single" w:sz="4" w:space="0" w:color="auto"/>
              <w:right w:val="single" w:sz="4" w:space="0" w:color="auto"/>
            </w:tcBorders>
            <w:shd w:val="clear" w:color="000000" w:fill="FFFFFF"/>
            <w:vAlign w:val="center"/>
            <w:hideMark/>
          </w:tcPr>
          <w:p w14:paraId="5FEF18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42,000</w:t>
            </w:r>
          </w:p>
        </w:tc>
        <w:tc>
          <w:tcPr>
            <w:tcW w:w="262" w:type="dxa"/>
            <w:tcBorders>
              <w:top w:val="nil"/>
              <w:left w:val="nil"/>
              <w:bottom w:val="single" w:sz="4" w:space="0" w:color="auto"/>
              <w:right w:val="single" w:sz="8" w:space="0" w:color="auto"/>
            </w:tcBorders>
            <w:shd w:val="clear" w:color="000000" w:fill="FFFFFF"/>
            <w:vAlign w:val="center"/>
            <w:hideMark/>
          </w:tcPr>
          <w:p w14:paraId="5FEF18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8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6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1.1.4</w:t>
            </w:r>
          </w:p>
        </w:tc>
        <w:tc>
          <w:tcPr>
            <w:tcW w:w="1301" w:type="dxa"/>
            <w:tcBorders>
              <w:top w:val="nil"/>
              <w:left w:val="nil"/>
              <w:bottom w:val="single" w:sz="4" w:space="0" w:color="auto"/>
              <w:right w:val="single" w:sz="4" w:space="0" w:color="auto"/>
            </w:tcBorders>
            <w:shd w:val="clear" w:color="auto" w:fill="auto"/>
            <w:vAlign w:val="center"/>
            <w:hideMark/>
          </w:tcPr>
          <w:p w14:paraId="5FEF1868" w14:textId="6D72A0B2"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Trajnime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fillestare dhe të vazhduara për forcimin e kapaciteteve të zyrtarëve të burgjeve dhe shërbimit të provës në lidhje me instrumentet e vlerësimit të shenjave për identifikimin e personave në rrezik, menaxhimin e rasteve dhe shkëmbimin e informacionit.</w:t>
            </w:r>
          </w:p>
        </w:tc>
        <w:tc>
          <w:tcPr>
            <w:tcW w:w="498" w:type="dxa"/>
            <w:tcBorders>
              <w:top w:val="nil"/>
              <w:left w:val="nil"/>
              <w:bottom w:val="single" w:sz="4" w:space="0" w:color="auto"/>
              <w:right w:val="single" w:sz="4" w:space="0" w:color="auto"/>
            </w:tcBorders>
            <w:shd w:val="clear" w:color="auto" w:fill="auto"/>
            <w:vAlign w:val="center"/>
            <w:hideMark/>
          </w:tcPr>
          <w:p w14:paraId="5FEF1869" w14:textId="0AAA183C"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"Shërbimi i Provës", Kodi i Programit Buxhetor 03490</w:t>
            </w:r>
            <w:r w:rsidRPr="00795698">
              <w:rPr>
                <w:rFonts w:ascii="Arial" w:hAnsi="Arial" w:cs="Arial"/>
                <w:color w:val="000000"/>
                <w:sz w:val="6"/>
                <w:szCs w:val="6"/>
                <w:lang w:eastAsia="sq-AL"/>
              </w:rPr>
              <w:br/>
              <w:t>91409AA</w:t>
            </w:r>
          </w:p>
        </w:tc>
        <w:tc>
          <w:tcPr>
            <w:tcW w:w="498" w:type="dxa"/>
            <w:tcBorders>
              <w:top w:val="nil"/>
              <w:left w:val="nil"/>
              <w:bottom w:val="single" w:sz="4" w:space="0" w:color="auto"/>
              <w:right w:val="single" w:sz="4" w:space="0" w:color="auto"/>
            </w:tcBorders>
            <w:shd w:val="clear" w:color="auto" w:fill="auto"/>
            <w:vAlign w:val="center"/>
            <w:hideMark/>
          </w:tcPr>
          <w:p w14:paraId="5FEF186A" w14:textId="77777777" w:rsidR="002117FE" w:rsidRPr="00795698" w:rsidRDefault="002117FE" w:rsidP="002117FE">
            <w:pPr>
              <w:spacing w:after="240"/>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 Drejtoria e Përgjithshme e Shërbimit të Provës/</w:t>
            </w:r>
            <w:r w:rsidRPr="00795698">
              <w:rPr>
                <w:rFonts w:ascii="Arial" w:hAnsi="Arial" w:cs="Arial"/>
                <w:color w:val="000000"/>
                <w:sz w:val="6"/>
                <w:szCs w:val="6"/>
                <w:lang w:eastAsia="sq-AL"/>
              </w:rPr>
              <w:br/>
              <w:t>Shërbimi i Kontrollit të Brendshëm të Burgjeve</w:t>
            </w:r>
            <w:r w:rsidRPr="00795698">
              <w:rPr>
                <w:rFonts w:ascii="Arial" w:hAnsi="Arial" w:cs="Arial"/>
                <w:color w:val="000000"/>
                <w:sz w:val="6"/>
                <w:szCs w:val="6"/>
                <w:lang w:eastAsia="sq-AL"/>
              </w:rPr>
              <w:br/>
              <w:t>/Drejtoria e Përgjithshme e Burgjeve</w:t>
            </w:r>
          </w:p>
        </w:tc>
        <w:tc>
          <w:tcPr>
            <w:tcW w:w="578" w:type="dxa"/>
            <w:tcBorders>
              <w:top w:val="nil"/>
              <w:left w:val="nil"/>
              <w:bottom w:val="single" w:sz="4" w:space="0" w:color="auto"/>
              <w:right w:val="single" w:sz="4" w:space="0" w:color="auto"/>
            </w:tcBorders>
            <w:shd w:val="clear" w:color="auto" w:fill="auto"/>
            <w:vAlign w:val="center"/>
            <w:hideMark/>
          </w:tcPr>
          <w:p w14:paraId="5FEF18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QKDHE; Donatorë</w:t>
            </w:r>
          </w:p>
        </w:tc>
        <w:tc>
          <w:tcPr>
            <w:tcW w:w="207" w:type="dxa"/>
            <w:tcBorders>
              <w:top w:val="nil"/>
              <w:left w:val="nil"/>
              <w:bottom w:val="single" w:sz="4" w:space="0" w:color="auto"/>
              <w:right w:val="single" w:sz="4" w:space="0" w:color="auto"/>
            </w:tcBorders>
            <w:shd w:val="clear" w:color="auto" w:fill="auto"/>
            <w:vAlign w:val="center"/>
            <w:hideMark/>
          </w:tcPr>
          <w:p w14:paraId="5FEF186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6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73,880</w:t>
            </w:r>
          </w:p>
        </w:tc>
        <w:tc>
          <w:tcPr>
            <w:tcW w:w="275" w:type="dxa"/>
            <w:tcBorders>
              <w:top w:val="nil"/>
              <w:left w:val="nil"/>
              <w:bottom w:val="single" w:sz="4" w:space="0" w:color="auto"/>
              <w:right w:val="single" w:sz="4" w:space="0" w:color="auto"/>
            </w:tcBorders>
            <w:shd w:val="clear" w:color="000000" w:fill="FFFFFF"/>
            <w:vAlign w:val="center"/>
            <w:hideMark/>
          </w:tcPr>
          <w:p w14:paraId="5FEF18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73,880</w:t>
            </w:r>
          </w:p>
        </w:tc>
        <w:tc>
          <w:tcPr>
            <w:tcW w:w="306" w:type="dxa"/>
            <w:tcBorders>
              <w:top w:val="nil"/>
              <w:left w:val="nil"/>
              <w:bottom w:val="single" w:sz="4" w:space="0" w:color="auto"/>
              <w:right w:val="single" w:sz="4" w:space="0" w:color="auto"/>
            </w:tcBorders>
            <w:shd w:val="clear" w:color="000000" w:fill="FFFFFF"/>
            <w:vAlign w:val="center"/>
            <w:hideMark/>
          </w:tcPr>
          <w:p w14:paraId="5FEF18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73,880</w:t>
            </w:r>
          </w:p>
        </w:tc>
        <w:tc>
          <w:tcPr>
            <w:tcW w:w="245" w:type="dxa"/>
            <w:tcBorders>
              <w:top w:val="nil"/>
              <w:left w:val="nil"/>
              <w:bottom w:val="single" w:sz="4" w:space="0" w:color="auto"/>
              <w:right w:val="single" w:sz="4" w:space="0" w:color="auto"/>
            </w:tcBorders>
            <w:shd w:val="clear" w:color="000000" w:fill="FFFFFF"/>
            <w:vAlign w:val="center"/>
            <w:hideMark/>
          </w:tcPr>
          <w:p w14:paraId="5FEF18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73,880</w:t>
            </w:r>
          </w:p>
        </w:tc>
        <w:tc>
          <w:tcPr>
            <w:tcW w:w="306" w:type="dxa"/>
            <w:tcBorders>
              <w:top w:val="nil"/>
              <w:left w:val="nil"/>
              <w:bottom w:val="single" w:sz="4" w:space="0" w:color="auto"/>
              <w:right w:val="single" w:sz="4" w:space="0" w:color="auto"/>
            </w:tcBorders>
            <w:shd w:val="clear" w:color="000000" w:fill="FFFFFF"/>
            <w:vAlign w:val="center"/>
            <w:hideMark/>
          </w:tcPr>
          <w:p w14:paraId="5FEF18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73,880</w:t>
            </w:r>
          </w:p>
        </w:tc>
        <w:tc>
          <w:tcPr>
            <w:tcW w:w="245" w:type="dxa"/>
            <w:tcBorders>
              <w:top w:val="nil"/>
              <w:left w:val="nil"/>
              <w:bottom w:val="single" w:sz="4" w:space="0" w:color="auto"/>
              <w:right w:val="single" w:sz="4" w:space="0" w:color="auto"/>
            </w:tcBorders>
            <w:shd w:val="clear" w:color="000000" w:fill="FFFFFF"/>
            <w:vAlign w:val="center"/>
            <w:hideMark/>
          </w:tcPr>
          <w:p w14:paraId="5FEF18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73,880</w:t>
            </w:r>
          </w:p>
        </w:tc>
        <w:tc>
          <w:tcPr>
            <w:tcW w:w="306" w:type="dxa"/>
            <w:tcBorders>
              <w:top w:val="nil"/>
              <w:left w:val="nil"/>
              <w:bottom w:val="single" w:sz="4" w:space="0" w:color="auto"/>
              <w:right w:val="single" w:sz="4" w:space="0" w:color="auto"/>
            </w:tcBorders>
            <w:shd w:val="clear" w:color="000000" w:fill="FFFFFF"/>
            <w:vAlign w:val="center"/>
            <w:hideMark/>
          </w:tcPr>
          <w:p w14:paraId="5FEF18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221,640</w:t>
            </w:r>
          </w:p>
        </w:tc>
        <w:tc>
          <w:tcPr>
            <w:tcW w:w="275" w:type="dxa"/>
            <w:tcBorders>
              <w:top w:val="nil"/>
              <w:left w:val="nil"/>
              <w:bottom w:val="single" w:sz="4" w:space="0" w:color="auto"/>
              <w:right w:val="single" w:sz="4" w:space="0" w:color="auto"/>
            </w:tcBorders>
            <w:shd w:val="clear" w:color="000000" w:fill="FFFFFF"/>
            <w:vAlign w:val="center"/>
            <w:hideMark/>
          </w:tcPr>
          <w:p w14:paraId="5FEF18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221,640</w:t>
            </w:r>
          </w:p>
        </w:tc>
        <w:tc>
          <w:tcPr>
            <w:tcW w:w="306" w:type="dxa"/>
            <w:tcBorders>
              <w:top w:val="nil"/>
              <w:left w:val="nil"/>
              <w:bottom w:val="single" w:sz="4" w:space="0" w:color="auto"/>
              <w:right w:val="single" w:sz="4" w:space="0" w:color="auto"/>
            </w:tcBorders>
            <w:shd w:val="clear" w:color="000000" w:fill="FFFFFF"/>
            <w:vAlign w:val="center"/>
            <w:hideMark/>
          </w:tcPr>
          <w:p w14:paraId="5FEF18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86,120</w:t>
            </w:r>
          </w:p>
        </w:tc>
        <w:tc>
          <w:tcPr>
            <w:tcW w:w="245" w:type="dxa"/>
            <w:tcBorders>
              <w:top w:val="nil"/>
              <w:left w:val="nil"/>
              <w:bottom w:val="single" w:sz="4" w:space="0" w:color="auto"/>
              <w:right w:val="single" w:sz="4" w:space="0" w:color="auto"/>
            </w:tcBorders>
            <w:shd w:val="clear" w:color="000000" w:fill="FFFFFF"/>
            <w:vAlign w:val="center"/>
            <w:hideMark/>
          </w:tcPr>
          <w:p w14:paraId="5FEF18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86,120</w:t>
            </w:r>
          </w:p>
        </w:tc>
        <w:tc>
          <w:tcPr>
            <w:tcW w:w="275" w:type="dxa"/>
            <w:tcBorders>
              <w:top w:val="nil"/>
              <w:left w:val="nil"/>
              <w:bottom w:val="single" w:sz="4" w:space="0" w:color="auto"/>
              <w:right w:val="single" w:sz="4" w:space="0" w:color="auto"/>
            </w:tcBorders>
            <w:shd w:val="clear" w:color="000000" w:fill="FFFFFF"/>
            <w:vAlign w:val="center"/>
            <w:hideMark/>
          </w:tcPr>
          <w:p w14:paraId="5FEF18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135,520</w:t>
            </w:r>
          </w:p>
        </w:tc>
        <w:tc>
          <w:tcPr>
            <w:tcW w:w="245" w:type="dxa"/>
            <w:tcBorders>
              <w:top w:val="nil"/>
              <w:left w:val="nil"/>
              <w:bottom w:val="single" w:sz="4" w:space="0" w:color="auto"/>
              <w:right w:val="single" w:sz="4" w:space="0" w:color="auto"/>
            </w:tcBorders>
            <w:shd w:val="clear" w:color="000000" w:fill="FFFFFF"/>
            <w:vAlign w:val="center"/>
            <w:hideMark/>
          </w:tcPr>
          <w:p w14:paraId="5FEF18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135,520</w:t>
            </w:r>
          </w:p>
        </w:tc>
        <w:tc>
          <w:tcPr>
            <w:tcW w:w="262" w:type="dxa"/>
            <w:tcBorders>
              <w:top w:val="nil"/>
              <w:left w:val="nil"/>
              <w:bottom w:val="single" w:sz="4" w:space="0" w:color="auto"/>
              <w:right w:val="single" w:sz="8" w:space="0" w:color="auto"/>
            </w:tcBorders>
            <w:shd w:val="clear" w:color="000000" w:fill="FFFFFF"/>
            <w:vAlign w:val="center"/>
            <w:hideMark/>
          </w:tcPr>
          <w:p w14:paraId="5FEF18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9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8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1.1.5 </w:t>
            </w:r>
          </w:p>
        </w:tc>
        <w:tc>
          <w:tcPr>
            <w:tcW w:w="1301" w:type="dxa"/>
            <w:tcBorders>
              <w:top w:val="nil"/>
              <w:left w:val="nil"/>
              <w:bottom w:val="single" w:sz="4" w:space="0" w:color="auto"/>
              <w:right w:val="single" w:sz="4" w:space="0" w:color="auto"/>
            </w:tcBorders>
            <w:shd w:val="clear" w:color="auto" w:fill="auto"/>
            <w:vAlign w:val="center"/>
            <w:hideMark/>
          </w:tcPr>
          <w:p w14:paraId="5FEF188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Zhvillimi i sesioneve të informimit dhe ndërgjegjësimit të personave që trajtohen në sistemin e burgjeve dhe shërbimin e provës, në lidhje me ekstremizmin e dhunshëm dhe radikalizmin që çon në terrorizëm.</w:t>
            </w:r>
          </w:p>
        </w:tc>
        <w:tc>
          <w:tcPr>
            <w:tcW w:w="498" w:type="dxa"/>
            <w:tcBorders>
              <w:top w:val="nil"/>
              <w:left w:val="nil"/>
              <w:bottom w:val="single" w:sz="4" w:space="0" w:color="auto"/>
              <w:right w:val="single" w:sz="4" w:space="0" w:color="auto"/>
            </w:tcBorders>
            <w:shd w:val="clear" w:color="auto" w:fill="auto"/>
            <w:vAlign w:val="center"/>
            <w:hideMark/>
          </w:tcPr>
          <w:p w14:paraId="5FEF1885" w14:textId="0469C0C8"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"Shërbimi i Provës", Kodi i Programit Buxhetor 03490</w:t>
            </w:r>
            <w:r w:rsidRPr="00795698">
              <w:rPr>
                <w:rFonts w:ascii="Arial" w:hAnsi="Arial" w:cs="Arial"/>
                <w:color w:val="000000"/>
                <w:sz w:val="6"/>
                <w:szCs w:val="6"/>
                <w:lang w:eastAsia="sq-AL"/>
              </w:rPr>
              <w:br/>
              <w:t>91409AA</w:t>
            </w:r>
          </w:p>
        </w:tc>
        <w:tc>
          <w:tcPr>
            <w:tcW w:w="498" w:type="dxa"/>
            <w:tcBorders>
              <w:top w:val="nil"/>
              <w:left w:val="nil"/>
              <w:bottom w:val="single" w:sz="4" w:space="0" w:color="auto"/>
              <w:right w:val="single" w:sz="4" w:space="0" w:color="auto"/>
            </w:tcBorders>
            <w:shd w:val="clear" w:color="000000" w:fill="FFFFFF"/>
            <w:vAlign w:val="center"/>
            <w:hideMark/>
          </w:tcPr>
          <w:p w14:paraId="5FEF1886" w14:textId="469EE7AD"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br/>
              <w:t xml:space="preserve">Drejtoria e Përgjithshme e Burgjeve </w:t>
            </w:r>
          </w:p>
        </w:tc>
        <w:tc>
          <w:tcPr>
            <w:tcW w:w="578" w:type="dxa"/>
            <w:tcBorders>
              <w:top w:val="nil"/>
              <w:left w:val="nil"/>
              <w:bottom w:val="single" w:sz="4" w:space="0" w:color="auto"/>
              <w:right w:val="single" w:sz="4" w:space="0" w:color="auto"/>
            </w:tcBorders>
            <w:shd w:val="clear" w:color="000000" w:fill="FFFFFF"/>
            <w:vAlign w:val="center"/>
            <w:hideMark/>
          </w:tcPr>
          <w:p w14:paraId="5FEF18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88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8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75" w:type="dxa"/>
            <w:tcBorders>
              <w:top w:val="nil"/>
              <w:left w:val="nil"/>
              <w:bottom w:val="single" w:sz="4" w:space="0" w:color="auto"/>
              <w:right w:val="single" w:sz="4" w:space="0" w:color="auto"/>
            </w:tcBorders>
            <w:shd w:val="clear" w:color="000000" w:fill="FFFFFF"/>
            <w:vAlign w:val="center"/>
            <w:hideMark/>
          </w:tcPr>
          <w:p w14:paraId="5FEF18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306" w:type="dxa"/>
            <w:tcBorders>
              <w:top w:val="nil"/>
              <w:left w:val="nil"/>
              <w:bottom w:val="single" w:sz="4" w:space="0" w:color="auto"/>
              <w:right w:val="single" w:sz="4" w:space="0" w:color="auto"/>
            </w:tcBorders>
            <w:shd w:val="clear" w:color="000000" w:fill="FFFFFF"/>
            <w:vAlign w:val="center"/>
            <w:hideMark/>
          </w:tcPr>
          <w:p w14:paraId="5FEF18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45" w:type="dxa"/>
            <w:tcBorders>
              <w:top w:val="nil"/>
              <w:left w:val="nil"/>
              <w:bottom w:val="single" w:sz="4" w:space="0" w:color="auto"/>
              <w:right w:val="single" w:sz="4" w:space="0" w:color="auto"/>
            </w:tcBorders>
            <w:shd w:val="clear" w:color="000000" w:fill="FFFFFF"/>
            <w:vAlign w:val="center"/>
            <w:hideMark/>
          </w:tcPr>
          <w:p w14:paraId="5FEF18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306" w:type="dxa"/>
            <w:tcBorders>
              <w:top w:val="nil"/>
              <w:left w:val="nil"/>
              <w:bottom w:val="single" w:sz="4" w:space="0" w:color="auto"/>
              <w:right w:val="single" w:sz="4" w:space="0" w:color="auto"/>
            </w:tcBorders>
            <w:shd w:val="clear" w:color="000000" w:fill="FFFFFF"/>
            <w:vAlign w:val="center"/>
            <w:hideMark/>
          </w:tcPr>
          <w:p w14:paraId="5FEF18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45" w:type="dxa"/>
            <w:tcBorders>
              <w:top w:val="nil"/>
              <w:left w:val="nil"/>
              <w:bottom w:val="single" w:sz="4" w:space="0" w:color="auto"/>
              <w:right w:val="single" w:sz="4" w:space="0" w:color="auto"/>
            </w:tcBorders>
            <w:shd w:val="clear" w:color="000000" w:fill="FFFFFF"/>
            <w:vAlign w:val="center"/>
            <w:hideMark/>
          </w:tcPr>
          <w:p w14:paraId="5FEF18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306" w:type="dxa"/>
            <w:tcBorders>
              <w:top w:val="nil"/>
              <w:left w:val="nil"/>
              <w:bottom w:val="single" w:sz="4" w:space="0" w:color="auto"/>
              <w:right w:val="single" w:sz="4" w:space="0" w:color="auto"/>
            </w:tcBorders>
            <w:shd w:val="clear" w:color="000000" w:fill="FFFFFF"/>
            <w:vAlign w:val="center"/>
            <w:hideMark/>
          </w:tcPr>
          <w:p w14:paraId="5FEF18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341,550</w:t>
            </w:r>
          </w:p>
        </w:tc>
        <w:tc>
          <w:tcPr>
            <w:tcW w:w="275" w:type="dxa"/>
            <w:tcBorders>
              <w:top w:val="nil"/>
              <w:left w:val="nil"/>
              <w:bottom w:val="single" w:sz="4" w:space="0" w:color="auto"/>
              <w:right w:val="single" w:sz="4" w:space="0" w:color="auto"/>
            </w:tcBorders>
            <w:shd w:val="clear" w:color="000000" w:fill="FFFFFF"/>
            <w:vAlign w:val="center"/>
            <w:hideMark/>
          </w:tcPr>
          <w:p w14:paraId="5FEF18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341,550</w:t>
            </w:r>
          </w:p>
        </w:tc>
        <w:tc>
          <w:tcPr>
            <w:tcW w:w="306" w:type="dxa"/>
            <w:tcBorders>
              <w:top w:val="nil"/>
              <w:left w:val="nil"/>
              <w:bottom w:val="single" w:sz="4" w:space="0" w:color="auto"/>
              <w:right w:val="single" w:sz="4" w:space="0" w:color="auto"/>
            </w:tcBorders>
            <w:shd w:val="clear" w:color="000000" w:fill="FFFFFF"/>
            <w:vAlign w:val="center"/>
            <w:hideMark/>
          </w:tcPr>
          <w:p w14:paraId="5FEF18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341,550</w:t>
            </w:r>
          </w:p>
        </w:tc>
        <w:tc>
          <w:tcPr>
            <w:tcW w:w="245" w:type="dxa"/>
            <w:tcBorders>
              <w:top w:val="nil"/>
              <w:left w:val="nil"/>
              <w:bottom w:val="single" w:sz="4" w:space="0" w:color="auto"/>
              <w:right w:val="single" w:sz="4" w:space="0" w:color="auto"/>
            </w:tcBorders>
            <w:shd w:val="clear" w:color="000000" w:fill="FFFFFF"/>
            <w:vAlign w:val="center"/>
            <w:hideMark/>
          </w:tcPr>
          <w:p w14:paraId="5FEF18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341,550</w:t>
            </w:r>
          </w:p>
        </w:tc>
        <w:tc>
          <w:tcPr>
            <w:tcW w:w="275" w:type="dxa"/>
            <w:tcBorders>
              <w:top w:val="nil"/>
              <w:left w:val="nil"/>
              <w:bottom w:val="single" w:sz="4" w:space="0" w:color="auto"/>
              <w:right w:val="single" w:sz="4" w:space="0" w:color="auto"/>
            </w:tcBorders>
            <w:shd w:val="clear" w:color="000000" w:fill="FFFFFF"/>
            <w:vAlign w:val="center"/>
            <w:hideMark/>
          </w:tcPr>
          <w:p w14:paraId="5FEF18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8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8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B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9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1.1.6</w:t>
            </w:r>
          </w:p>
        </w:tc>
        <w:tc>
          <w:tcPr>
            <w:tcW w:w="1301" w:type="dxa"/>
            <w:tcBorders>
              <w:top w:val="nil"/>
              <w:left w:val="nil"/>
              <w:bottom w:val="single" w:sz="4" w:space="0" w:color="auto"/>
              <w:right w:val="single" w:sz="4" w:space="0" w:color="auto"/>
            </w:tcBorders>
            <w:shd w:val="clear" w:color="auto" w:fill="auto"/>
            <w:vAlign w:val="center"/>
            <w:hideMark/>
          </w:tcPr>
          <w:p w14:paraId="5FEF18A0"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Këshillime në grup të kryera me individë të burgosur dhe individë të përfshirë në institucionet vendore të shërbimit të provës në lidhje me çështjet e ekstremizmit të dhunshëm.</w:t>
            </w:r>
          </w:p>
        </w:tc>
        <w:tc>
          <w:tcPr>
            <w:tcW w:w="498" w:type="dxa"/>
            <w:tcBorders>
              <w:top w:val="nil"/>
              <w:left w:val="nil"/>
              <w:bottom w:val="single" w:sz="4" w:space="0" w:color="auto"/>
              <w:right w:val="single" w:sz="4" w:space="0" w:color="auto"/>
            </w:tcBorders>
            <w:shd w:val="clear" w:color="auto" w:fill="auto"/>
            <w:vAlign w:val="center"/>
            <w:hideMark/>
          </w:tcPr>
          <w:p w14:paraId="5FEF18A1" w14:textId="16194619"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r>
            <w:r w:rsidRPr="00795698">
              <w:rPr>
                <w:rFonts w:ascii="Arial" w:hAnsi="Arial" w:cs="Arial"/>
                <w:color w:val="000000"/>
                <w:sz w:val="6"/>
                <w:szCs w:val="6"/>
                <w:lang w:eastAsia="sq-AL"/>
              </w:rPr>
              <w:lastRenderedPageBreak/>
              <w:t xml:space="preserve">Programi Buxhetor </w:t>
            </w:r>
            <w:r w:rsidRPr="00795698">
              <w:rPr>
                <w:rFonts w:ascii="Arial" w:hAnsi="Arial" w:cs="Arial"/>
                <w:color w:val="000000"/>
                <w:sz w:val="6"/>
                <w:szCs w:val="6"/>
                <w:lang w:eastAsia="sq-AL"/>
              </w:rPr>
              <w:br/>
              <w:t>"Shërbimi i Provës", Kodi i Programit Buxhetor 03490</w:t>
            </w:r>
            <w:r w:rsidRPr="00795698">
              <w:rPr>
                <w:rFonts w:ascii="Arial" w:hAnsi="Arial" w:cs="Arial"/>
                <w:color w:val="000000"/>
                <w:sz w:val="6"/>
                <w:szCs w:val="6"/>
                <w:lang w:eastAsia="sq-AL"/>
              </w:rPr>
              <w:br/>
              <w:t>91409AA</w:t>
            </w:r>
          </w:p>
        </w:tc>
        <w:tc>
          <w:tcPr>
            <w:tcW w:w="498" w:type="dxa"/>
            <w:tcBorders>
              <w:top w:val="nil"/>
              <w:left w:val="nil"/>
              <w:bottom w:val="single" w:sz="4" w:space="0" w:color="auto"/>
              <w:right w:val="single" w:sz="4" w:space="0" w:color="auto"/>
            </w:tcBorders>
            <w:shd w:val="clear" w:color="000000" w:fill="FFFFFF"/>
            <w:vAlign w:val="center"/>
            <w:hideMark/>
          </w:tcPr>
          <w:p w14:paraId="5FEF18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 xml:space="preserve">Ministria e Drejtësisë/ Drejtoria e Përgjithshme e Shërbimit të Provës, </w:t>
            </w:r>
            <w:r w:rsidRPr="00795698">
              <w:rPr>
                <w:rFonts w:ascii="Arial" w:hAnsi="Arial" w:cs="Arial"/>
                <w:color w:val="000000"/>
                <w:sz w:val="6"/>
                <w:szCs w:val="6"/>
                <w:lang w:eastAsia="sq-AL"/>
              </w:rPr>
              <w:br/>
              <w:t>Shërbimi i Kontrollit të Brendshëm të Burgjeve</w:t>
            </w:r>
            <w:r w:rsidRPr="00795698">
              <w:rPr>
                <w:rFonts w:ascii="Arial" w:hAnsi="Arial" w:cs="Arial"/>
                <w:color w:val="000000"/>
                <w:sz w:val="6"/>
                <w:szCs w:val="6"/>
                <w:lang w:eastAsia="sq-AL"/>
              </w:rPr>
              <w:br/>
              <w:t xml:space="preserve">Drejtoria e Përgjithshme e </w:t>
            </w:r>
            <w:r w:rsidRPr="00795698">
              <w:rPr>
                <w:rFonts w:ascii="Arial" w:hAnsi="Arial" w:cs="Arial"/>
                <w:color w:val="000000"/>
                <w:sz w:val="6"/>
                <w:szCs w:val="6"/>
                <w:lang w:eastAsia="sq-AL"/>
              </w:rPr>
              <w:lastRenderedPageBreak/>
              <w:t>Burgjeve</w:t>
            </w:r>
          </w:p>
        </w:tc>
        <w:tc>
          <w:tcPr>
            <w:tcW w:w="578" w:type="dxa"/>
            <w:tcBorders>
              <w:top w:val="nil"/>
              <w:left w:val="nil"/>
              <w:bottom w:val="single" w:sz="4" w:space="0" w:color="auto"/>
              <w:right w:val="single" w:sz="4" w:space="0" w:color="auto"/>
            </w:tcBorders>
            <w:shd w:val="clear" w:color="000000" w:fill="FFFFFF"/>
            <w:vAlign w:val="center"/>
            <w:hideMark/>
          </w:tcPr>
          <w:p w14:paraId="5FEF18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8A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A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75" w:type="dxa"/>
            <w:tcBorders>
              <w:top w:val="nil"/>
              <w:left w:val="nil"/>
              <w:bottom w:val="single" w:sz="4" w:space="0" w:color="auto"/>
              <w:right w:val="single" w:sz="4" w:space="0" w:color="auto"/>
            </w:tcBorders>
            <w:shd w:val="clear" w:color="000000" w:fill="FFFFFF"/>
            <w:vAlign w:val="center"/>
            <w:hideMark/>
          </w:tcPr>
          <w:p w14:paraId="5FEF18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8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45" w:type="dxa"/>
            <w:tcBorders>
              <w:top w:val="nil"/>
              <w:left w:val="nil"/>
              <w:bottom w:val="single" w:sz="4" w:space="0" w:color="auto"/>
              <w:right w:val="single" w:sz="4" w:space="0" w:color="auto"/>
            </w:tcBorders>
            <w:shd w:val="clear" w:color="000000" w:fill="FFFFFF"/>
            <w:vAlign w:val="center"/>
            <w:hideMark/>
          </w:tcPr>
          <w:p w14:paraId="5FEF18A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8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45" w:type="dxa"/>
            <w:tcBorders>
              <w:top w:val="nil"/>
              <w:left w:val="nil"/>
              <w:bottom w:val="single" w:sz="4" w:space="0" w:color="auto"/>
              <w:right w:val="single" w:sz="4" w:space="0" w:color="auto"/>
            </w:tcBorders>
            <w:shd w:val="clear" w:color="000000" w:fill="FFFFFF"/>
            <w:vAlign w:val="center"/>
            <w:hideMark/>
          </w:tcPr>
          <w:p w14:paraId="5FEF18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8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75" w:type="dxa"/>
            <w:tcBorders>
              <w:top w:val="nil"/>
              <w:left w:val="nil"/>
              <w:bottom w:val="single" w:sz="4" w:space="0" w:color="auto"/>
              <w:right w:val="single" w:sz="4" w:space="0" w:color="auto"/>
            </w:tcBorders>
            <w:shd w:val="clear" w:color="000000" w:fill="FFFFFF"/>
            <w:vAlign w:val="center"/>
            <w:hideMark/>
          </w:tcPr>
          <w:p w14:paraId="5FEF18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306" w:type="dxa"/>
            <w:tcBorders>
              <w:top w:val="nil"/>
              <w:left w:val="nil"/>
              <w:bottom w:val="single" w:sz="4" w:space="0" w:color="auto"/>
              <w:right w:val="single" w:sz="4" w:space="0" w:color="auto"/>
            </w:tcBorders>
            <w:shd w:val="clear" w:color="000000" w:fill="FFFFFF"/>
            <w:vAlign w:val="center"/>
            <w:hideMark/>
          </w:tcPr>
          <w:p w14:paraId="5FEF18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45" w:type="dxa"/>
            <w:tcBorders>
              <w:top w:val="nil"/>
              <w:left w:val="nil"/>
              <w:bottom w:val="single" w:sz="4" w:space="0" w:color="auto"/>
              <w:right w:val="single" w:sz="4" w:space="0" w:color="auto"/>
            </w:tcBorders>
            <w:shd w:val="clear" w:color="000000" w:fill="FFFFFF"/>
            <w:vAlign w:val="center"/>
            <w:hideMark/>
          </w:tcPr>
          <w:p w14:paraId="5FEF18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75" w:type="dxa"/>
            <w:tcBorders>
              <w:top w:val="nil"/>
              <w:left w:val="nil"/>
              <w:bottom w:val="single" w:sz="4" w:space="0" w:color="auto"/>
              <w:right w:val="single" w:sz="4" w:space="0" w:color="auto"/>
            </w:tcBorders>
            <w:shd w:val="clear" w:color="000000" w:fill="FFFFFF"/>
            <w:vAlign w:val="center"/>
            <w:hideMark/>
          </w:tcPr>
          <w:p w14:paraId="5FEF18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8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8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D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B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1.1.7</w:t>
            </w:r>
          </w:p>
        </w:tc>
        <w:tc>
          <w:tcPr>
            <w:tcW w:w="1301" w:type="dxa"/>
            <w:tcBorders>
              <w:top w:val="nil"/>
              <w:left w:val="nil"/>
              <w:bottom w:val="single" w:sz="4" w:space="0" w:color="auto"/>
              <w:right w:val="single" w:sz="4" w:space="0" w:color="auto"/>
            </w:tcBorders>
            <w:shd w:val="clear" w:color="auto" w:fill="auto"/>
            <w:vAlign w:val="center"/>
            <w:hideMark/>
          </w:tcPr>
          <w:p w14:paraId="5FEF18BC"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Hartimi i programeve profesionale për individë vulnerabël ndaj radikalizmit në sistemin e burgjeve dhe shërbimit të provës.</w:t>
            </w:r>
          </w:p>
        </w:tc>
        <w:tc>
          <w:tcPr>
            <w:tcW w:w="498" w:type="dxa"/>
            <w:tcBorders>
              <w:top w:val="nil"/>
              <w:left w:val="nil"/>
              <w:bottom w:val="single" w:sz="4" w:space="0" w:color="auto"/>
              <w:right w:val="single" w:sz="4" w:space="0" w:color="auto"/>
            </w:tcBorders>
            <w:shd w:val="clear" w:color="auto" w:fill="auto"/>
            <w:vAlign w:val="center"/>
            <w:hideMark/>
          </w:tcPr>
          <w:p w14:paraId="5FEF18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Kodi i Produktit Buxhetor</w:t>
            </w:r>
            <w:r w:rsidRPr="00795698">
              <w:rPr>
                <w:rFonts w:ascii="Arial" w:hAnsi="Arial" w:cs="Arial"/>
                <w:color w:val="000000"/>
                <w:sz w:val="6"/>
                <w:szCs w:val="6"/>
                <w:lang w:eastAsia="sq-AL"/>
              </w:rPr>
              <w:br/>
              <w:t>91408AA/91409AA</w:t>
            </w:r>
          </w:p>
        </w:tc>
        <w:tc>
          <w:tcPr>
            <w:tcW w:w="498" w:type="dxa"/>
            <w:tcBorders>
              <w:top w:val="nil"/>
              <w:left w:val="nil"/>
              <w:bottom w:val="single" w:sz="4" w:space="0" w:color="auto"/>
              <w:right w:val="single" w:sz="4" w:space="0" w:color="auto"/>
            </w:tcBorders>
            <w:shd w:val="clear" w:color="000000" w:fill="FFFFFF"/>
            <w:vAlign w:val="center"/>
            <w:hideMark/>
          </w:tcPr>
          <w:p w14:paraId="5FEF18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w:t>
            </w:r>
          </w:p>
        </w:tc>
        <w:tc>
          <w:tcPr>
            <w:tcW w:w="578" w:type="dxa"/>
            <w:tcBorders>
              <w:top w:val="nil"/>
              <w:left w:val="nil"/>
              <w:bottom w:val="single" w:sz="4" w:space="0" w:color="auto"/>
              <w:right w:val="single" w:sz="4" w:space="0" w:color="auto"/>
            </w:tcBorders>
            <w:shd w:val="clear" w:color="000000" w:fill="FFFFFF"/>
            <w:vAlign w:val="center"/>
            <w:hideMark/>
          </w:tcPr>
          <w:p w14:paraId="5FEF18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Institucionet Vendore të Shërbimit të Provës dhe Burgjet; QKEDH</w:t>
            </w:r>
          </w:p>
        </w:tc>
        <w:tc>
          <w:tcPr>
            <w:tcW w:w="207" w:type="dxa"/>
            <w:tcBorders>
              <w:top w:val="nil"/>
              <w:left w:val="nil"/>
              <w:bottom w:val="single" w:sz="4" w:space="0" w:color="auto"/>
              <w:right w:val="single" w:sz="4" w:space="0" w:color="auto"/>
            </w:tcBorders>
            <w:shd w:val="clear" w:color="auto" w:fill="auto"/>
            <w:vAlign w:val="center"/>
            <w:hideMark/>
          </w:tcPr>
          <w:p w14:paraId="5FEF18C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C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45,920</w:t>
            </w:r>
          </w:p>
        </w:tc>
        <w:tc>
          <w:tcPr>
            <w:tcW w:w="275" w:type="dxa"/>
            <w:tcBorders>
              <w:top w:val="nil"/>
              <w:left w:val="nil"/>
              <w:bottom w:val="single" w:sz="4" w:space="0" w:color="auto"/>
              <w:right w:val="single" w:sz="4" w:space="0" w:color="auto"/>
            </w:tcBorders>
            <w:shd w:val="clear" w:color="000000" w:fill="FFFFFF"/>
            <w:vAlign w:val="center"/>
            <w:hideMark/>
          </w:tcPr>
          <w:p w14:paraId="5FEF18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45,920</w:t>
            </w:r>
          </w:p>
        </w:tc>
        <w:tc>
          <w:tcPr>
            <w:tcW w:w="306" w:type="dxa"/>
            <w:tcBorders>
              <w:top w:val="nil"/>
              <w:left w:val="nil"/>
              <w:bottom w:val="single" w:sz="4" w:space="0" w:color="auto"/>
              <w:right w:val="single" w:sz="4" w:space="0" w:color="auto"/>
            </w:tcBorders>
            <w:shd w:val="clear" w:color="000000" w:fill="FFFFFF"/>
            <w:vAlign w:val="center"/>
            <w:hideMark/>
          </w:tcPr>
          <w:p w14:paraId="5FEF18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45,920</w:t>
            </w:r>
          </w:p>
        </w:tc>
        <w:tc>
          <w:tcPr>
            <w:tcW w:w="245" w:type="dxa"/>
            <w:tcBorders>
              <w:top w:val="nil"/>
              <w:left w:val="nil"/>
              <w:bottom w:val="single" w:sz="4" w:space="0" w:color="auto"/>
              <w:right w:val="single" w:sz="4" w:space="0" w:color="auto"/>
            </w:tcBorders>
            <w:shd w:val="clear" w:color="000000" w:fill="FFFFFF"/>
            <w:vAlign w:val="center"/>
            <w:hideMark/>
          </w:tcPr>
          <w:p w14:paraId="5FEF18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45,920</w:t>
            </w:r>
          </w:p>
        </w:tc>
        <w:tc>
          <w:tcPr>
            <w:tcW w:w="306" w:type="dxa"/>
            <w:tcBorders>
              <w:top w:val="nil"/>
              <w:left w:val="nil"/>
              <w:bottom w:val="single" w:sz="4" w:space="0" w:color="auto"/>
              <w:right w:val="single" w:sz="4" w:space="0" w:color="auto"/>
            </w:tcBorders>
            <w:shd w:val="clear" w:color="000000" w:fill="FFFFFF"/>
            <w:vAlign w:val="center"/>
            <w:hideMark/>
          </w:tcPr>
          <w:p w14:paraId="5FEF18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45,920</w:t>
            </w:r>
          </w:p>
        </w:tc>
        <w:tc>
          <w:tcPr>
            <w:tcW w:w="245" w:type="dxa"/>
            <w:tcBorders>
              <w:top w:val="nil"/>
              <w:left w:val="nil"/>
              <w:bottom w:val="single" w:sz="4" w:space="0" w:color="auto"/>
              <w:right w:val="single" w:sz="4" w:space="0" w:color="auto"/>
            </w:tcBorders>
            <w:shd w:val="clear" w:color="000000" w:fill="FFFFFF"/>
            <w:vAlign w:val="center"/>
            <w:hideMark/>
          </w:tcPr>
          <w:p w14:paraId="5FEF18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45,920</w:t>
            </w:r>
          </w:p>
        </w:tc>
        <w:tc>
          <w:tcPr>
            <w:tcW w:w="306" w:type="dxa"/>
            <w:tcBorders>
              <w:top w:val="nil"/>
              <w:left w:val="nil"/>
              <w:bottom w:val="single" w:sz="4" w:space="0" w:color="auto"/>
              <w:right w:val="single" w:sz="4" w:space="0" w:color="auto"/>
            </w:tcBorders>
            <w:shd w:val="clear" w:color="000000" w:fill="FFFFFF"/>
            <w:vAlign w:val="center"/>
            <w:hideMark/>
          </w:tcPr>
          <w:p w14:paraId="5FEF18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137,760</w:t>
            </w:r>
          </w:p>
        </w:tc>
        <w:tc>
          <w:tcPr>
            <w:tcW w:w="275" w:type="dxa"/>
            <w:tcBorders>
              <w:top w:val="nil"/>
              <w:left w:val="nil"/>
              <w:bottom w:val="single" w:sz="4" w:space="0" w:color="auto"/>
              <w:right w:val="single" w:sz="4" w:space="0" w:color="auto"/>
            </w:tcBorders>
            <w:shd w:val="clear" w:color="000000" w:fill="FFFFFF"/>
            <w:vAlign w:val="center"/>
            <w:hideMark/>
          </w:tcPr>
          <w:p w14:paraId="5FEF18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137,760</w:t>
            </w:r>
          </w:p>
        </w:tc>
        <w:tc>
          <w:tcPr>
            <w:tcW w:w="306" w:type="dxa"/>
            <w:tcBorders>
              <w:top w:val="nil"/>
              <w:left w:val="nil"/>
              <w:bottom w:val="single" w:sz="4" w:space="0" w:color="auto"/>
              <w:right w:val="single" w:sz="4" w:space="0" w:color="auto"/>
            </w:tcBorders>
            <w:shd w:val="clear" w:color="000000" w:fill="FFFFFF"/>
            <w:vAlign w:val="center"/>
            <w:hideMark/>
          </w:tcPr>
          <w:p w14:paraId="5FEF18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137,760</w:t>
            </w:r>
          </w:p>
        </w:tc>
        <w:tc>
          <w:tcPr>
            <w:tcW w:w="245" w:type="dxa"/>
            <w:tcBorders>
              <w:top w:val="nil"/>
              <w:left w:val="nil"/>
              <w:bottom w:val="single" w:sz="4" w:space="0" w:color="auto"/>
              <w:right w:val="single" w:sz="4" w:space="0" w:color="auto"/>
            </w:tcBorders>
            <w:shd w:val="clear" w:color="000000" w:fill="FFFFFF"/>
            <w:vAlign w:val="center"/>
            <w:hideMark/>
          </w:tcPr>
          <w:p w14:paraId="5FEF18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137,760</w:t>
            </w:r>
          </w:p>
        </w:tc>
        <w:tc>
          <w:tcPr>
            <w:tcW w:w="275" w:type="dxa"/>
            <w:tcBorders>
              <w:top w:val="nil"/>
              <w:left w:val="nil"/>
              <w:bottom w:val="single" w:sz="4" w:space="0" w:color="auto"/>
              <w:right w:val="single" w:sz="4" w:space="0" w:color="auto"/>
            </w:tcBorders>
            <w:shd w:val="clear" w:color="000000" w:fill="FFFFFF"/>
            <w:vAlign w:val="center"/>
            <w:hideMark/>
          </w:tcPr>
          <w:p w14:paraId="5FEF18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8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8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8F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D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1.1.8</w:t>
            </w:r>
          </w:p>
        </w:tc>
        <w:tc>
          <w:tcPr>
            <w:tcW w:w="1301" w:type="dxa"/>
            <w:tcBorders>
              <w:top w:val="nil"/>
              <w:left w:val="nil"/>
              <w:bottom w:val="single" w:sz="4" w:space="0" w:color="auto"/>
              <w:right w:val="single" w:sz="4" w:space="0" w:color="auto"/>
            </w:tcBorders>
            <w:shd w:val="clear" w:color="auto" w:fill="auto"/>
            <w:vAlign w:val="center"/>
            <w:hideMark/>
          </w:tcPr>
          <w:p w14:paraId="5FEF18D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Mbështetja me programe trajnimi për punësim për të rinjtë në rrezik radikalizmi dhe që ndodhen në institucionet penitenciare</w:t>
            </w:r>
          </w:p>
        </w:tc>
        <w:tc>
          <w:tcPr>
            <w:tcW w:w="498" w:type="dxa"/>
            <w:tcBorders>
              <w:top w:val="nil"/>
              <w:left w:val="nil"/>
              <w:bottom w:val="single" w:sz="4" w:space="0" w:color="auto"/>
              <w:right w:val="single" w:sz="4" w:space="0" w:color="auto"/>
            </w:tcBorders>
            <w:shd w:val="clear" w:color="auto" w:fill="auto"/>
            <w:vAlign w:val="center"/>
            <w:hideMark/>
          </w:tcPr>
          <w:p w14:paraId="5FEF18D9" w14:textId="212B35FB"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"Planifikimi, Menaxhimi dhe Administrimi", Kodi i Programit Buxhetor 01110</w:t>
            </w:r>
            <w:r w:rsidRPr="00795698">
              <w:rPr>
                <w:rFonts w:ascii="Arial" w:hAnsi="Arial" w:cs="Arial"/>
                <w:color w:val="000000"/>
                <w:sz w:val="6"/>
                <w:szCs w:val="6"/>
                <w:lang w:eastAsia="sq-AL"/>
              </w:rPr>
              <w:br/>
              <w:t>91401AD</w:t>
            </w:r>
          </w:p>
        </w:tc>
        <w:tc>
          <w:tcPr>
            <w:tcW w:w="498" w:type="dxa"/>
            <w:tcBorders>
              <w:top w:val="nil"/>
              <w:left w:val="nil"/>
              <w:bottom w:val="single" w:sz="4" w:space="0" w:color="auto"/>
              <w:right w:val="single" w:sz="4" w:space="0" w:color="auto"/>
            </w:tcBorders>
            <w:shd w:val="clear" w:color="000000" w:fill="FFFFFF"/>
            <w:vAlign w:val="center"/>
            <w:hideMark/>
          </w:tcPr>
          <w:p w14:paraId="5FEF18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Drejtësisë/Drejtoria e Përgjithshme e Burgjeve/Qendra e Parandalimit të Krimeve të të Rinjve dhe të Miturve</w:t>
            </w:r>
          </w:p>
        </w:tc>
        <w:tc>
          <w:tcPr>
            <w:tcW w:w="578" w:type="dxa"/>
            <w:tcBorders>
              <w:top w:val="nil"/>
              <w:left w:val="nil"/>
              <w:bottom w:val="single" w:sz="4" w:space="0" w:color="auto"/>
              <w:right w:val="single" w:sz="4" w:space="0" w:color="auto"/>
            </w:tcBorders>
            <w:shd w:val="clear" w:color="000000" w:fill="FFFFFF"/>
            <w:vAlign w:val="center"/>
            <w:hideMark/>
          </w:tcPr>
          <w:p w14:paraId="5FEF18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Financave dhe Ekonomisë/AKPA; QKEDH</w:t>
            </w:r>
          </w:p>
        </w:tc>
        <w:tc>
          <w:tcPr>
            <w:tcW w:w="207" w:type="dxa"/>
            <w:tcBorders>
              <w:top w:val="nil"/>
              <w:left w:val="nil"/>
              <w:bottom w:val="single" w:sz="4" w:space="0" w:color="auto"/>
              <w:right w:val="single" w:sz="4" w:space="0" w:color="auto"/>
            </w:tcBorders>
            <w:shd w:val="clear" w:color="auto" w:fill="auto"/>
            <w:vAlign w:val="center"/>
            <w:hideMark/>
          </w:tcPr>
          <w:p w14:paraId="5FEF18D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D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8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57,950</w:t>
            </w:r>
          </w:p>
        </w:tc>
        <w:tc>
          <w:tcPr>
            <w:tcW w:w="275" w:type="dxa"/>
            <w:tcBorders>
              <w:top w:val="nil"/>
              <w:left w:val="nil"/>
              <w:bottom w:val="single" w:sz="4" w:space="0" w:color="auto"/>
              <w:right w:val="single" w:sz="4" w:space="0" w:color="auto"/>
            </w:tcBorders>
            <w:shd w:val="clear" w:color="000000" w:fill="FFFFFF"/>
            <w:vAlign w:val="center"/>
            <w:hideMark/>
          </w:tcPr>
          <w:p w14:paraId="5FEF18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57,950</w:t>
            </w:r>
          </w:p>
        </w:tc>
        <w:tc>
          <w:tcPr>
            <w:tcW w:w="306" w:type="dxa"/>
            <w:tcBorders>
              <w:top w:val="nil"/>
              <w:left w:val="nil"/>
              <w:bottom w:val="single" w:sz="4" w:space="0" w:color="auto"/>
              <w:right w:val="single" w:sz="4" w:space="0" w:color="auto"/>
            </w:tcBorders>
            <w:shd w:val="clear" w:color="000000" w:fill="FFFFFF"/>
            <w:vAlign w:val="center"/>
            <w:hideMark/>
          </w:tcPr>
          <w:p w14:paraId="5FEF18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57,950</w:t>
            </w:r>
          </w:p>
        </w:tc>
        <w:tc>
          <w:tcPr>
            <w:tcW w:w="245" w:type="dxa"/>
            <w:tcBorders>
              <w:top w:val="nil"/>
              <w:left w:val="nil"/>
              <w:bottom w:val="single" w:sz="4" w:space="0" w:color="auto"/>
              <w:right w:val="single" w:sz="4" w:space="0" w:color="auto"/>
            </w:tcBorders>
            <w:shd w:val="clear" w:color="000000" w:fill="FFFFFF"/>
            <w:vAlign w:val="center"/>
            <w:hideMark/>
          </w:tcPr>
          <w:p w14:paraId="5FEF18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57,950</w:t>
            </w:r>
          </w:p>
        </w:tc>
        <w:tc>
          <w:tcPr>
            <w:tcW w:w="306" w:type="dxa"/>
            <w:tcBorders>
              <w:top w:val="nil"/>
              <w:left w:val="nil"/>
              <w:bottom w:val="single" w:sz="4" w:space="0" w:color="auto"/>
              <w:right w:val="single" w:sz="4" w:space="0" w:color="auto"/>
            </w:tcBorders>
            <w:shd w:val="clear" w:color="000000" w:fill="FFFFFF"/>
            <w:vAlign w:val="center"/>
            <w:hideMark/>
          </w:tcPr>
          <w:p w14:paraId="5FEF18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57,950</w:t>
            </w:r>
          </w:p>
        </w:tc>
        <w:tc>
          <w:tcPr>
            <w:tcW w:w="245" w:type="dxa"/>
            <w:tcBorders>
              <w:top w:val="nil"/>
              <w:left w:val="nil"/>
              <w:bottom w:val="single" w:sz="4" w:space="0" w:color="auto"/>
              <w:right w:val="single" w:sz="4" w:space="0" w:color="auto"/>
            </w:tcBorders>
            <w:shd w:val="clear" w:color="000000" w:fill="FFFFFF"/>
            <w:vAlign w:val="center"/>
            <w:hideMark/>
          </w:tcPr>
          <w:p w14:paraId="5FEF18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8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57,950</w:t>
            </w:r>
          </w:p>
        </w:tc>
        <w:tc>
          <w:tcPr>
            <w:tcW w:w="306" w:type="dxa"/>
            <w:tcBorders>
              <w:top w:val="nil"/>
              <w:left w:val="nil"/>
              <w:bottom w:val="single" w:sz="4" w:space="0" w:color="auto"/>
              <w:right w:val="single" w:sz="4" w:space="0" w:color="auto"/>
            </w:tcBorders>
            <w:shd w:val="clear" w:color="000000" w:fill="FFFFFF"/>
            <w:vAlign w:val="center"/>
            <w:hideMark/>
          </w:tcPr>
          <w:p w14:paraId="5FEF18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173,850</w:t>
            </w:r>
          </w:p>
        </w:tc>
        <w:tc>
          <w:tcPr>
            <w:tcW w:w="275" w:type="dxa"/>
            <w:tcBorders>
              <w:top w:val="nil"/>
              <w:left w:val="nil"/>
              <w:bottom w:val="single" w:sz="4" w:space="0" w:color="auto"/>
              <w:right w:val="single" w:sz="4" w:space="0" w:color="auto"/>
            </w:tcBorders>
            <w:shd w:val="clear" w:color="000000" w:fill="FFFFFF"/>
            <w:vAlign w:val="center"/>
            <w:hideMark/>
          </w:tcPr>
          <w:p w14:paraId="5FEF18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173,850</w:t>
            </w:r>
          </w:p>
        </w:tc>
        <w:tc>
          <w:tcPr>
            <w:tcW w:w="306" w:type="dxa"/>
            <w:tcBorders>
              <w:top w:val="nil"/>
              <w:left w:val="nil"/>
              <w:bottom w:val="single" w:sz="4" w:space="0" w:color="auto"/>
              <w:right w:val="single" w:sz="4" w:space="0" w:color="auto"/>
            </w:tcBorders>
            <w:shd w:val="clear" w:color="000000" w:fill="FFFFFF"/>
            <w:vAlign w:val="center"/>
            <w:hideMark/>
          </w:tcPr>
          <w:p w14:paraId="5FEF18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173,850</w:t>
            </w:r>
          </w:p>
        </w:tc>
        <w:tc>
          <w:tcPr>
            <w:tcW w:w="245" w:type="dxa"/>
            <w:tcBorders>
              <w:top w:val="nil"/>
              <w:left w:val="nil"/>
              <w:bottom w:val="single" w:sz="4" w:space="0" w:color="auto"/>
              <w:right w:val="single" w:sz="4" w:space="0" w:color="auto"/>
            </w:tcBorders>
            <w:shd w:val="clear" w:color="000000" w:fill="FFFFFF"/>
            <w:vAlign w:val="center"/>
            <w:hideMark/>
          </w:tcPr>
          <w:p w14:paraId="5FEF18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173,850</w:t>
            </w:r>
          </w:p>
        </w:tc>
        <w:tc>
          <w:tcPr>
            <w:tcW w:w="275" w:type="dxa"/>
            <w:tcBorders>
              <w:top w:val="nil"/>
              <w:left w:val="nil"/>
              <w:bottom w:val="single" w:sz="4" w:space="0" w:color="auto"/>
              <w:right w:val="single" w:sz="4" w:space="0" w:color="auto"/>
            </w:tcBorders>
            <w:shd w:val="clear" w:color="000000" w:fill="FFFFFF"/>
            <w:vAlign w:val="center"/>
            <w:hideMark/>
          </w:tcPr>
          <w:p w14:paraId="5FEF18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8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8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8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8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0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8F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1.1.9</w:t>
            </w:r>
          </w:p>
        </w:tc>
        <w:tc>
          <w:tcPr>
            <w:tcW w:w="1301" w:type="dxa"/>
            <w:tcBorders>
              <w:top w:val="nil"/>
              <w:left w:val="nil"/>
              <w:bottom w:val="single" w:sz="4" w:space="0" w:color="auto"/>
              <w:right w:val="single" w:sz="4" w:space="0" w:color="auto"/>
            </w:tcBorders>
            <w:shd w:val="clear" w:color="auto" w:fill="auto"/>
            <w:vAlign w:val="center"/>
            <w:hideMark/>
          </w:tcPr>
          <w:p w14:paraId="5FEF18F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Hartimi i protokolleve dhe manualeve për përgatitjen e daljes nga burgu apo shërbimi i provës i fëmijëve, të rinjve, grave (grupet vulnerabël) dhe referimi i rasteve me potencial problematik). </w:t>
            </w:r>
          </w:p>
        </w:tc>
        <w:tc>
          <w:tcPr>
            <w:tcW w:w="498" w:type="dxa"/>
            <w:tcBorders>
              <w:top w:val="nil"/>
              <w:left w:val="nil"/>
              <w:bottom w:val="single" w:sz="4" w:space="0" w:color="auto"/>
              <w:right w:val="single" w:sz="4" w:space="0" w:color="auto"/>
            </w:tcBorders>
            <w:shd w:val="clear" w:color="auto" w:fill="auto"/>
            <w:vAlign w:val="center"/>
            <w:hideMark/>
          </w:tcPr>
          <w:p w14:paraId="5FEF18F5" w14:textId="72A537AE"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"Planifikimi, Menaxhimi dhe Administrimi", Kodi i Programit Buxhetor 01110</w:t>
            </w:r>
            <w:r w:rsidRPr="00795698">
              <w:rPr>
                <w:rFonts w:ascii="Arial" w:hAnsi="Arial" w:cs="Arial"/>
                <w:color w:val="000000"/>
                <w:sz w:val="6"/>
                <w:szCs w:val="6"/>
                <w:lang w:eastAsia="sq-AL"/>
              </w:rPr>
              <w:br/>
              <w:t>Kodi i produktit buxhetor</w:t>
            </w:r>
            <w:r w:rsidRPr="00795698">
              <w:rPr>
                <w:rFonts w:ascii="Arial" w:hAnsi="Arial" w:cs="Arial"/>
                <w:color w:val="000000"/>
                <w:sz w:val="6"/>
                <w:szCs w:val="6"/>
                <w:lang w:eastAsia="sq-AL"/>
              </w:rPr>
              <w:br/>
              <w:t>91401AD</w:t>
            </w:r>
          </w:p>
        </w:tc>
        <w:tc>
          <w:tcPr>
            <w:tcW w:w="498" w:type="dxa"/>
            <w:tcBorders>
              <w:top w:val="nil"/>
              <w:left w:val="nil"/>
              <w:bottom w:val="single" w:sz="4" w:space="0" w:color="auto"/>
              <w:right w:val="single" w:sz="4" w:space="0" w:color="auto"/>
            </w:tcBorders>
            <w:shd w:val="clear" w:color="000000" w:fill="FFFFFF"/>
            <w:vAlign w:val="center"/>
            <w:hideMark/>
          </w:tcPr>
          <w:p w14:paraId="5FEF18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Drejtësisë/Drejtoria e Përgjithshme e Burgjeve/Qendra e Parandalimit të Krimeve të të Rinjve dhe të Miturve;</w:t>
            </w:r>
          </w:p>
        </w:tc>
        <w:tc>
          <w:tcPr>
            <w:tcW w:w="578" w:type="dxa"/>
            <w:tcBorders>
              <w:top w:val="nil"/>
              <w:left w:val="nil"/>
              <w:bottom w:val="single" w:sz="4" w:space="0" w:color="auto"/>
              <w:right w:val="single" w:sz="4" w:space="0" w:color="auto"/>
            </w:tcBorders>
            <w:shd w:val="clear" w:color="000000" w:fill="FFFFFF"/>
            <w:vAlign w:val="center"/>
            <w:hideMark/>
          </w:tcPr>
          <w:p w14:paraId="5FEF18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Shëndetësisë dhe Mbrojtjes Sociale; Ministria e Financave dhe Ekonomisë; Ministria e Arsimit dhe Sportit; 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8F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8F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8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26,210</w:t>
            </w:r>
          </w:p>
        </w:tc>
        <w:tc>
          <w:tcPr>
            <w:tcW w:w="275" w:type="dxa"/>
            <w:tcBorders>
              <w:top w:val="nil"/>
              <w:left w:val="nil"/>
              <w:bottom w:val="single" w:sz="4" w:space="0" w:color="auto"/>
              <w:right w:val="single" w:sz="4" w:space="0" w:color="auto"/>
            </w:tcBorders>
            <w:shd w:val="clear" w:color="000000" w:fill="FFFFFF"/>
            <w:vAlign w:val="center"/>
            <w:hideMark/>
          </w:tcPr>
          <w:p w14:paraId="5FEF18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26,210</w:t>
            </w:r>
          </w:p>
        </w:tc>
        <w:tc>
          <w:tcPr>
            <w:tcW w:w="306" w:type="dxa"/>
            <w:tcBorders>
              <w:top w:val="nil"/>
              <w:left w:val="nil"/>
              <w:bottom w:val="single" w:sz="4" w:space="0" w:color="auto"/>
              <w:right w:val="single" w:sz="4" w:space="0" w:color="auto"/>
            </w:tcBorders>
            <w:shd w:val="clear" w:color="000000" w:fill="FFFFFF"/>
            <w:vAlign w:val="center"/>
            <w:hideMark/>
          </w:tcPr>
          <w:p w14:paraId="5FEF18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26,210</w:t>
            </w:r>
          </w:p>
        </w:tc>
        <w:tc>
          <w:tcPr>
            <w:tcW w:w="245" w:type="dxa"/>
            <w:tcBorders>
              <w:top w:val="nil"/>
              <w:left w:val="nil"/>
              <w:bottom w:val="single" w:sz="4" w:space="0" w:color="auto"/>
              <w:right w:val="single" w:sz="4" w:space="0" w:color="auto"/>
            </w:tcBorders>
            <w:shd w:val="clear" w:color="000000" w:fill="FFFFFF"/>
            <w:vAlign w:val="center"/>
            <w:hideMark/>
          </w:tcPr>
          <w:p w14:paraId="5FEF18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8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26,210</w:t>
            </w:r>
          </w:p>
        </w:tc>
        <w:tc>
          <w:tcPr>
            <w:tcW w:w="306" w:type="dxa"/>
            <w:tcBorders>
              <w:top w:val="nil"/>
              <w:left w:val="nil"/>
              <w:bottom w:val="single" w:sz="4" w:space="0" w:color="auto"/>
              <w:right w:val="single" w:sz="4" w:space="0" w:color="auto"/>
            </w:tcBorders>
            <w:shd w:val="clear" w:color="000000" w:fill="FFFFFF"/>
            <w:vAlign w:val="center"/>
            <w:hideMark/>
          </w:tcPr>
          <w:p w14:paraId="5FEF19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26,210</w:t>
            </w:r>
          </w:p>
        </w:tc>
        <w:tc>
          <w:tcPr>
            <w:tcW w:w="245" w:type="dxa"/>
            <w:tcBorders>
              <w:top w:val="nil"/>
              <w:left w:val="nil"/>
              <w:bottom w:val="single" w:sz="4" w:space="0" w:color="auto"/>
              <w:right w:val="single" w:sz="4" w:space="0" w:color="auto"/>
            </w:tcBorders>
            <w:shd w:val="clear" w:color="000000" w:fill="FFFFFF"/>
            <w:vAlign w:val="center"/>
            <w:hideMark/>
          </w:tcPr>
          <w:p w14:paraId="5FEF19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26,210</w:t>
            </w:r>
          </w:p>
        </w:tc>
        <w:tc>
          <w:tcPr>
            <w:tcW w:w="306" w:type="dxa"/>
            <w:tcBorders>
              <w:top w:val="nil"/>
              <w:left w:val="nil"/>
              <w:bottom w:val="single" w:sz="4" w:space="0" w:color="auto"/>
              <w:right w:val="single" w:sz="4" w:space="0" w:color="auto"/>
            </w:tcBorders>
            <w:shd w:val="clear" w:color="000000" w:fill="FFFFFF"/>
            <w:vAlign w:val="center"/>
            <w:hideMark/>
          </w:tcPr>
          <w:p w14:paraId="5FEF19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78,630</w:t>
            </w:r>
          </w:p>
        </w:tc>
        <w:tc>
          <w:tcPr>
            <w:tcW w:w="275" w:type="dxa"/>
            <w:tcBorders>
              <w:top w:val="nil"/>
              <w:left w:val="nil"/>
              <w:bottom w:val="single" w:sz="4" w:space="0" w:color="auto"/>
              <w:right w:val="single" w:sz="4" w:space="0" w:color="auto"/>
            </w:tcBorders>
            <w:shd w:val="clear" w:color="000000" w:fill="FFFFFF"/>
            <w:vAlign w:val="center"/>
            <w:hideMark/>
          </w:tcPr>
          <w:p w14:paraId="5FEF19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78,630</w:t>
            </w:r>
          </w:p>
        </w:tc>
        <w:tc>
          <w:tcPr>
            <w:tcW w:w="306" w:type="dxa"/>
            <w:tcBorders>
              <w:top w:val="nil"/>
              <w:left w:val="nil"/>
              <w:bottom w:val="single" w:sz="4" w:space="0" w:color="auto"/>
              <w:right w:val="single" w:sz="4" w:space="0" w:color="auto"/>
            </w:tcBorders>
            <w:shd w:val="clear" w:color="000000" w:fill="FFFFFF"/>
            <w:vAlign w:val="center"/>
            <w:hideMark/>
          </w:tcPr>
          <w:p w14:paraId="5FEF19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48,210</w:t>
            </w:r>
          </w:p>
        </w:tc>
        <w:tc>
          <w:tcPr>
            <w:tcW w:w="245" w:type="dxa"/>
            <w:tcBorders>
              <w:top w:val="nil"/>
              <w:left w:val="nil"/>
              <w:bottom w:val="single" w:sz="4" w:space="0" w:color="auto"/>
              <w:right w:val="single" w:sz="4" w:space="0" w:color="auto"/>
            </w:tcBorders>
            <w:shd w:val="clear" w:color="000000" w:fill="FFFFFF"/>
            <w:vAlign w:val="center"/>
            <w:hideMark/>
          </w:tcPr>
          <w:p w14:paraId="5FEF19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48,210</w:t>
            </w:r>
          </w:p>
        </w:tc>
        <w:tc>
          <w:tcPr>
            <w:tcW w:w="275" w:type="dxa"/>
            <w:tcBorders>
              <w:top w:val="nil"/>
              <w:left w:val="nil"/>
              <w:bottom w:val="single" w:sz="4" w:space="0" w:color="auto"/>
              <w:right w:val="single" w:sz="4" w:space="0" w:color="auto"/>
            </w:tcBorders>
            <w:shd w:val="clear" w:color="000000" w:fill="FFFFFF"/>
            <w:vAlign w:val="center"/>
            <w:hideMark/>
          </w:tcPr>
          <w:p w14:paraId="5FEF19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30,420</w:t>
            </w:r>
          </w:p>
        </w:tc>
        <w:tc>
          <w:tcPr>
            <w:tcW w:w="245" w:type="dxa"/>
            <w:tcBorders>
              <w:top w:val="nil"/>
              <w:left w:val="nil"/>
              <w:bottom w:val="single" w:sz="4" w:space="0" w:color="auto"/>
              <w:right w:val="single" w:sz="4" w:space="0" w:color="auto"/>
            </w:tcBorders>
            <w:shd w:val="clear" w:color="000000" w:fill="FFFFFF"/>
            <w:vAlign w:val="center"/>
            <w:hideMark/>
          </w:tcPr>
          <w:p w14:paraId="5FEF19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30,420</w:t>
            </w:r>
          </w:p>
        </w:tc>
        <w:tc>
          <w:tcPr>
            <w:tcW w:w="262" w:type="dxa"/>
            <w:tcBorders>
              <w:top w:val="nil"/>
              <w:left w:val="nil"/>
              <w:bottom w:val="single" w:sz="4" w:space="0" w:color="auto"/>
              <w:right w:val="single" w:sz="8" w:space="0" w:color="auto"/>
            </w:tcBorders>
            <w:shd w:val="clear" w:color="000000" w:fill="FFFFFF"/>
            <w:vAlign w:val="center"/>
            <w:hideMark/>
          </w:tcPr>
          <w:p w14:paraId="5FEF19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2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0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1.1.10</w:t>
            </w:r>
          </w:p>
        </w:tc>
        <w:tc>
          <w:tcPr>
            <w:tcW w:w="1301" w:type="dxa"/>
            <w:tcBorders>
              <w:top w:val="nil"/>
              <w:left w:val="nil"/>
              <w:bottom w:val="nil"/>
              <w:right w:val="nil"/>
            </w:tcBorders>
            <w:shd w:val="clear" w:color="auto" w:fill="auto"/>
            <w:vAlign w:val="center"/>
            <w:hideMark/>
          </w:tcPr>
          <w:p w14:paraId="5FEF1910" w14:textId="24377583" w:rsidR="002117FE" w:rsidRPr="00795698" w:rsidRDefault="002117FE" w:rsidP="002117FE">
            <w:pPr>
              <w:spacing w:after="240"/>
              <w:rPr>
                <w:rFonts w:ascii="Arial" w:hAnsi="Arial" w:cs="Arial"/>
                <w:b/>
                <w:bCs/>
                <w:color w:val="000000"/>
                <w:sz w:val="6"/>
                <w:szCs w:val="6"/>
                <w:lang w:eastAsia="sq-AL"/>
              </w:rPr>
            </w:pPr>
            <w:r w:rsidRPr="00795698">
              <w:rPr>
                <w:rFonts w:ascii="Arial" w:hAnsi="Arial" w:cs="Arial"/>
                <w:color w:val="000000"/>
                <w:sz w:val="6"/>
                <w:szCs w:val="6"/>
                <w:lang w:eastAsia="sq-AL"/>
              </w:rPr>
              <w:t xml:space="preserve">Hartimi i programeve pilot të deradikalizimit dhe </w:t>
            </w:r>
            <w:r w:rsidR="00F53E58" w:rsidRPr="00795698">
              <w:rPr>
                <w:rFonts w:ascii="Arial" w:hAnsi="Arial" w:cs="Arial"/>
                <w:color w:val="000000"/>
                <w:sz w:val="6"/>
                <w:szCs w:val="6"/>
                <w:lang w:eastAsia="sq-AL"/>
              </w:rPr>
              <w:t>ri</w:t>
            </w:r>
            <w:r w:rsidRPr="00795698">
              <w:rPr>
                <w:rFonts w:ascii="Arial" w:hAnsi="Arial" w:cs="Arial"/>
                <w:color w:val="000000"/>
                <w:sz w:val="6"/>
                <w:szCs w:val="6"/>
                <w:lang w:eastAsia="sq-AL"/>
              </w:rPr>
              <w:t>integrimit në shoqëri</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të të miturve të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radikalizuar pas largimit të tyre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nga institucionet penitenciare dhe shërbimit të provës. </w:t>
            </w:r>
          </w:p>
        </w:tc>
        <w:tc>
          <w:tcPr>
            <w:tcW w:w="498" w:type="dxa"/>
            <w:tcBorders>
              <w:top w:val="nil"/>
              <w:left w:val="single" w:sz="4" w:space="0" w:color="auto"/>
              <w:bottom w:val="single" w:sz="4" w:space="0" w:color="auto"/>
              <w:right w:val="single" w:sz="4" w:space="0" w:color="auto"/>
            </w:tcBorders>
            <w:shd w:val="clear" w:color="auto" w:fill="auto"/>
            <w:vAlign w:val="center"/>
            <w:hideMark/>
          </w:tcPr>
          <w:p w14:paraId="5FEF1911" w14:textId="4BE1055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"Planifikimi, Menaxhimi dhe Administrimi", Kodi i Programit Buxhetor 01110</w:t>
            </w:r>
            <w:r w:rsidRPr="00795698">
              <w:rPr>
                <w:rFonts w:ascii="Arial" w:hAnsi="Arial" w:cs="Arial"/>
                <w:color w:val="000000"/>
                <w:sz w:val="6"/>
                <w:szCs w:val="6"/>
                <w:lang w:eastAsia="sq-AL"/>
              </w:rPr>
              <w:br/>
              <w:t>Kodi i produktit buxhetor</w:t>
            </w:r>
            <w:r w:rsidRPr="00795698">
              <w:rPr>
                <w:rFonts w:ascii="Arial" w:hAnsi="Arial" w:cs="Arial"/>
                <w:color w:val="000000"/>
                <w:sz w:val="6"/>
                <w:szCs w:val="6"/>
                <w:lang w:eastAsia="sq-AL"/>
              </w:rPr>
              <w:br/>
              <w:t>91401AD</w:t>
            </w:r>
          </w:p>
        </w:tc>
        <w:tc>
          <w:tcPr>
            <w:tcW w:w="498" w:type="dxa"/>
            <w:tcBorders>
              <w:top w:val="nil"/>
              <w:left w:val="nil"/>
              <w:bottom w:val="single" w:sz="4" w:space="0" w:color="auto"/>
              <w:right w:val="single" w:sz="4" w:space="0" w:color="auto"/>
            </w:tcBorders>
            <w:shd w:val="clear" w:color="000000" w:fill="FFFFFF"/>
            <w:vAlign w:val="center"/>
            <w:hideMark/>
          </w:tcPr>
          <w:p w14:paraId="5FEF19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Drejtësisë/Drejtoria e Përgjithshme e Burgjeve/Qendra e Parandalimit të Krimeve të të Rinjve dhe të Miturve;</w:t>
            </w:r>
          </w:p>
        </w:tc>
        <w:tc>
          <w:tcPr>
            <w:tcW w:w="578" w:type="dxa"/>
            <w:tcBorders>
              <w:top w:val="nil"/>
              <w:left w:val="nil"/>
              <w:bottom w:val="single" w:sz="4" w:space="0" w:color="auto"/>
              <w:right w:val="single" w:sz="4" w:space="0" w:color="auto"/>
            </w:tcBorders>
            <w:shd w:val="clear" w:color="000000" w:fill="FFFFFF"/>
            <w:vAlign w:val="center"/>
            <w:hideMark/>
          </w:tcPr>
          <w:p w14:paraId="5FEF19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AMVV/NJVV;</w:t>
            </w:r>
          </w:p>
        </w:tc>
        <w:tc>
          <w:tcPr>
            <w:tcW w:w="207" w:type="dxa"/>
            <w:tcBorders>
              <w:top w:val="nil"/>
              <w:left w:val="nil"/>
              <w:bottom w:val="single" w:sz="4" w:space="0" w:color="auto"/>
              <w:right w:val="single" w:sz="4" w:space="0" w:color="auto"/>
            </w:tcBorders>
            <w:shd w:val="clear" w:color="auto" w:fill="auto"/>
            <w:vAlign w:val="center"/>
            <w:hideMark/>
          </w:tcPr>
          <w:p w14:paraId="5FEF191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1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758,980</w:t>
            </w:r>
          </w:p>
        </w:tc>
        <w:tc>
          <w:tcPr>
            <w:tcW w:w="275" w:type="dxa"/>
            <w:tcBorders>
              <w:top w:val="nil"/>
              <w:left w:val="nil"/>
              <w:bottom w:val="single" w:sz="4" w:space="0" w:color="auto"/>
              <w:right w:val="single" w:sz="4" w:space="0" w:color="auto"/>
            </w:tcBorders>
            <w:shd w:val="clear" w:color="000000" w:fill="FFFFFF"/>
            <w:vAlign w:val="center"/>
            <w:hideMark/>
          </w:tcPr>
          <w:p w14:paraId="5FEF19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758,980</w:t>
            </w:r>
          </w:p>
        </w:tc>
        <w:tc>
          <w:tcPr>
            <w:tcW w:w="306" w:type="dxa"/>
            <w:tcBorders>
              <w:top w:val="nil"/>
              <w:left w:val="nil"/>
              <w:bottom w:val="single" w:sz="4" w:space="0" w:color="auto"/>
              <w:right w:val="single" w:sz="4" w:space="0" w:color="auto"/>
            </w:tcBorders>
            <w:shd w:val="clear" w:color="000000" w:fill="FFFFFF"/>
            <w:vAlign w:val="center"/>
            <w:hideMark/>
          </w:tcPr>
          <w:p w14:paraId="5FEF19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758,980</w:t>
            </w:r>
          </w:p>
        </w:tc>
        <w:tc>
          <w:tcPr>
            <w:tcW w:w="245" w:type="dxa"/>
            <w:tcBorders>
              <w:top w:val="nil"/>
              <w:left w:val="nil"/>
              <w:bottom w:val="single" w:sz="4" w:space="0" w:color="auto"/>
              <w:right w:val="single" w:sz="4" w:space="0" w:color="auto"/>
            </w:tcBorders>
            <w:shd w:val="clear" w:color="000000" w:fill="FFFFFF"/>
            <w:vAlign w:val="center"/>
            <w:hideMark/>
          </w:tcPr>
          <w:p w14:paraId="5FEF19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758,980</w:t>
            </w:r>
          </w:p>
        </w:tc>
        <w:tc>
          <w:tcPr>
            <w:tcW w:w="306" w:type="dxa"/>
            <w:tcBorders>
              <w:top w:val="nil"/>
              <w:left w:val="nil"/>
              <w:bottom w:val="single" w:sz="4" w:space="0" w:color="auto"/>
              <w:right w:val="single" w:sz="4" w:space="0" w:color="auto"/>
            </w:tcBorders>
            <w:shd w:val="clear" w:color="000000" w:fill="FFFFFF"/>
            <w:vAlign w:val="center"/>
            <w:hideMark/>
          </w:tcPr>
          <w:p w14:paraId="5FEF19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758,980</w:t>
            </w:r>
          </w:p>
        </w:tc>
        <w:tc>
          <w:tcPr>
            <w:tcW w:w="245" w:type="dxa"/>
            <w:tcBorders>
              <w:top w:val="nil"/>
              <w:left w:val="nil"/>
              <w:bottom w:val="single" w:sz="4" w:space="0" w:color="auto"/>
              <w:right w:val="single" w:sz="4" w:space="0" w:color="auto"/>
            </w:tcBorders>
            <w:shd w:val="clear" w:color="000000" w:fill="FFFFFF"/>
            <w:vAlign w:val="center"/>
            <w:hideMark/>
          </w:tcPr>
          <w:p w14:paraId="5FEF19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758,980</w:t>
            </w:r>
          </w:p>
        </w:tc>
        <w:tc>
          <w:tcPr>
            <w:tcW w:w="306" w:type="dxa"/>
            <w:tcBorders>
              <w:top w:val="nil"/>
              <w:left w:val="nil"/>
              <w:bottom w:val="single" w:sz="4" w:space="0" w:color="auto"/>
              <w:right w:val="single" w:sz="4" w:space="0" w:color="auto"/>
            </w:tcBorders>
            <w:shd w:val="clear" w:color="000000" w:fill="FFFFFF"/>
            <w:vAlign w:val="center"/>
            <w:hideMark/>
          </w:tcPr>
          <w:p w14:paraId="5FEF19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2,276,940</w:t>
            </w:r>
          </w:p>
        </w:tc>
        <w:tc>
          <w:tcPr>
            <w:tcW w:w="275" w:type="dxa"/>
            <w:tcBorders>
              <w:top w:val="nil"/>
              <w:left w:val="nil"/>
              <w:bottom w:val="single" w:sz="4" w:space="0" w:color="auto"/>
              <w:right w:val="single" w:sz="4" w:space="0" w:color="auto"/>
            </w:tcBorders>
            <w:shd w:val="clear" w:color="000000" w:fill="FFFFFF"/>
            <w:vAlign w:val="center"/>
            <w:hideMark/>
          </w:tcPr>
          <w:p w14:paraId="5FEF19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2,276,940</w:t>
            </w:r>
          </w:p>
        </w:tc>
        <w:tc>
          <w:tcPr>
            <w:tcW w:w="306" w:type="dxa"/>
            <w:tcBorders>
              <w:top w:val="nil"/>
              <w:left w:val="nil"/>
              <w:bottom w:val="single" w:sz="4" w:space="0" w:color="auto"/>
              <w:right w:val="single" w:sz="4" w:space="0" w:color="auto"/>
            </w:tcBorders>
            <w:shd w:val="clear" w:color="000000" w:fill="FFFFFF"/>
            <w:vAlign w:val="center"/>
            <w:hideMark/>
          </w:tcPr>
          <w:p w14:paraId="5FEF19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2,276,940</w:t>
            </w:r>
          </w:p>
        </w:tc>
        <w:tc>
          <w:tcPr>
            <w:tcW w:w="245" w:type="dxa"/>
            <w:tcBorders>
              <w:top w:val="nil"/>
              <w:left w:val="nil"/>
              <w:bottom w:val="single" w:sz="4" w:space="0" w:color="auto"/>
              <w:right w:val="single" w:sz="4" w:space="0" w:color="auto"/>
            </w:tcBorders>
            <w:shd w:val="clear" w:color="000000" w:fill="FFFFFF"/>
            <w:vAlign w:val="center"/>
            <w:hideMark/>
          </w:tcPr>
          <w:p w14:paraId="5FEF19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2,276,940</w:t>
            </w:r>
          </w:p>
        </w:tc>
        <w:tc>
          <w:tcPr>
            <w:tcW w:w="275" w:type="dxa"/>
            <w:tcBorders>
              <w:top w:val="nil"/>
              <w:left w:val="nil"/>
              <w:bottom w:val="single" w:sz="4" w:space="0" w:color="auto"/>
              <w:right w:val="single" w:sz="4" w:space="0" w:color="auto"/>
            </w:tcBorders>
            <w:shd w:val="clear" w:color="000000" w:fill="FFFFFF"/>
            <w:vAlign w:val="center"/>
            <w:hideMark/>
          </w:tcPr>
          <w:p w14:paraId="5FEF19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4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2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1.1.11</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14:paraId="5FEF192C" w14:textId="62541269"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Përfshirja e skuadrave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(për ndihmë ligjore falas) pro-bono të studentëve të Fakultetit të Drejtësisë në aktivitete parandaluese dhe informuese për rreziqet e radikalizmit dhe ekstremizmit të dhunshëm për individë në institucionet peritenciare dhe Shërbimin 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Provës. </w:t>
            </w:r>
          </w:p>
        </w:tc>
        <w:tc>
          <w:tcPr>
            <w:tcW w:w="498" w:type="dxa"/>
            <w:tcBorders>
              <w:top w:val="nil"/>
              <w:left w:val="nil"/>
              <w:bottom w:val="single" w:sz="4" w:space="0" w:color="auto"/>
              <w:right w:val="single" w:sz="4" w:space="0" w:color="auto"/>
            </w:tcBorders>
            <w:shd w:val="clear" w:color="auto" w:fill="auto"/>
            <w:vAlign w:val="center"/>
            <w:hideMark/>
          </w:tcPr>
          <w:p w14:paraId="5FEF192D" w14:textId="3B16A544"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r w:rsidRPr="00795698">
              <w:rPr>
                <w:rFonts w:ascii="Arial" w:hAnsi="Arial" w:cs="Arial"/>
                <w:color w:val="000000"/>
                <w:sz w:val="6"/>
                <w:szCs w:val="6"/>
                <w:lang w:eastAsia="sq-AL"/>
              </w:rPr>
              <w:br/>
              <w:t>"Sistemi i Burgjeve"</w:t>
            </w:r>
            <w:r w:rsidR="00D10A07" w:rsidRPr="00795698">
              <w:rPr>
                <w:rFonts w:ascii="Arial" w:hAnsi="Arial" w:cs="Arial"/>
                <w:color w:val="000000"/>
                <w:sz w:val="6"/>
                <w:szCs w:val="6"/>
                <w:lang w:eastAsia="sq-AL"/>
              </w:rPr>
              <w:t>,</w:t>
            </w:r>
            <w:r w:rsidRPr="00795698">
              <w:rPr>
                <w:rFonts w:ascii="Arial" w:hAnsi="Arial" w:cs="Arial"/>
                <w:color w:val="000000"/>
                <w:sz w:val="6"/>
                <w:szCs w:val="6"/>
                <w:lang w:eastAsia="sq-AL"/>
              </w:rPr>
              <w:t xml:space="preserve"> Kodi i Programit Buxhetor 03440</w:t>
            </w:r>
            <w:r w:rsidRPr="00795698">
              <w:rPr>
                <w:rFonts w:ascii="Arial" w:hAnsi="Arial" w:cs="Arial"/>
                <w:color w:val="000000"/>
                <w:sz w:val="6"/>
                <w:szCs w:val="6"/>
                <w:lang w:eastAsia="sq-AL"/>
              </w:rPr>
              <w:br/>
              <w:t xml:space="preserve"> Kodi i Produktit Buxhetor 91408AA</w:t>
            </w:r>
            <w:r w:rsidRPr="00795698">
              <w:rPr>
                <w:rFonts w:ascii="Arial" w:hAnsi="Arial" w:cs="Arial"/>
                <w:color w:val="000000"/>
                <w:sz w:val="6"/>
                <w:szCs w:val="6"/>
                <w:lang w:eastAsia="sq-AL"/>
              </w:rPr>
              <w:br/>
              <w:t xml:space="preserve">Programi Buxhetor </w:t>
            </w:r>
            <w:r w:rsidRPr="00795698">
              <w:rPr>
                <w:rFonts w:ascii="Arial" w:hAnsi="Arial" w:cs="Arial"/>
                <w:color w:val="000000"/>
                <w:sz w:val="6"/>
                <w:szCs w:val="6"/>
                <w:lang w:eastAsia="sq-AL"/>
              </w:rPr>
              <w:br/>
              <w:t>"Planifikimi, Menaxhimi dhe Administrimi", Kodi i Programit Buxhetor 01110</w:t>
            </w:r>
            <w:r w:rsidRPr="00795698">
              <w:rPr>
                <w:rFonts w:ascii="Arial" w:hAnsi="Arial" w:cs="Arial"/>
                <w:color w:val="000000"/>
                <w:sz w:val="6"/>
                <w:szCs w:val="6"/>
                <w:lang w:eastAsia="sq-AL"/>
              </w:rPr>
              <w:br/>
              <w:t>Kodi i produktit buxhetor</w:t>
            </w:r>
            <w:r w:rsidRPr="00795698">
              <w:rPr>
                <w:rFonts w:ascii="Arial" w:hAnsi="Arial" w:cs="Arial"/>
                <w:color w:val="000000"/>
                <w:sz w:val="6"/>
                <w:szCs w:val="6"/>
                <w:lang w:eastAsia="sq-AL"/>
              </w:rPr>
              <w:br/>
              <w:t>91401AD</w:t>
            </w:r>
          </w:p>
        </w:tc>
        <w:tc>
          <w:tcPr>
            <w:tcW w:w="498" w:type="dxa"/>
            <w:tcBorders>
              <w:top w:val="nil"/>
              <w:left w:val="nil"/>
              <w:bottom w:val="single" w:sz="4" w:space="0" w:color="auto"/>
              <w:right w:val="single" w:sz="4" w:space="0" w:color="auto"/>
            </w:tcBorders>
            <w:shd w:val="clear" w:color="000000" w:fill="FFFFFF"/>
            <w:vAlign w:val="center"/>
            <w:hideMark/>
          </w:tcPr>
          <w:p w14:paraId="5FEF19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Drejtësisë/Drejtoria e Përgjithshme e Burgjeve/Qendra e Parandalimit të Krimeve të të Rinjve dhe të Miturve;</w:t>
            </w:r>
          </w:p>
        </w:tc>
        <w:tc>
          <w:tcPr>
            <w:tcW w:w="578" w:type="dxa"/>
            <w:tcBorders>
              <w:top w:val="nil"/>
              <w:left w:val="nil"/>
              <w:bottom w:val="single" w:sz="4" w:space="0" w:color="auto"/>
              <w:right w:val="single" w:sz="4" w:space="0" w:color="auto"/>
            </w:tcBorders>
            <w:shd w:val="clear" w:color="000000" w:fill="FFFFFF"/>
            <w:vAlign w:val="center"/>
            <w:hideMark/>
          </w:tcPr>
          <w:p w14:paraId="5FEF19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Fakulteti Juridik; QKEDH;</w:t>
            </w:r>
          </w:p>
        </w:tc>
        <w:tc>
          <w:tcPr>
            <w:tcW w:w="207" w:type="dxa"/>
            <w:tcBorders>
              <w:top w:val="nil"/>
              <w:left w:val="nil"/>
              <w:bottom w:val="single" w:sz="4" w:space="0" w:color="auto"/>
              <w:right w:val="single" w:sz="4" w:space="0" w:color="auto"/>
            </w:tcBorders>
            <w:shd w:val="clear" w:color="auto" w:fill="auto"/>
            <w:vAlign w:val="center"/>
            <w:hideMark/>
          </w:tcPr>
          <w:p w14:paraId="5FEF193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3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75" w:type="dxa"/>
            <w:tcBorders>
              <w:top w:val="nil"/>
              <w:left w:val="nil"/>
              <w:bottom w:val="single" w:sz="4" w:space="0" w:color="auto"/>
              <w:right w:val="single" w:sz="4" w:space="0" w:color="auto"/>
            </w:tcBorders>
            <w:shd w:val="clear" w:color="000000" w:fill="FFFFFF"/>
            <w:vAlign w:val="center"/>
            <w:hideMark/>
          </w:tcPr>
          <w:p w14:paraId="5FEF19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9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45" w:type="dxa"/>
            <w:tcBorders>
              <w:top w:val="nil"/>
              <w:left w:val="nil"/>
              <w:bottom w:val="single" w:sz="4" w:space="0" w:color="auto"/>
              <w:right w:val="single" w:sz="4" w:space="0" w:color="auto"/>
            </w:tcBorders>
            <w:shd w:val="clear" w:color="000000" w:fill="FFFFFF"/>
            <w:vAlign w:val="center"/>
            <w:hideMark/>
          </w:tcPr>
          <w:p w14:paraId="5FEF19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9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45" w:type="dxa"/>
            <w:tcBorders>
              <w:top w:val="nil"/>
              <w:left w:val="nil"/>
              <w:bottom w:val="single" w:sz="4" w:space="0" w:color="auto"/>
              <w:right w:val="single" w:sz="4" w:space="0" w:color="auto"/>
            </w:tcBorders>
            <w:shd w:val="clear" w:color="000000" w:fill="FFFFFF"/>
            <w:vAlign w:val="center"/>
            <w:hideMark/>
          </w:tcPr>
          <w:p w14:paraId="5FEF19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3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9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75" w:type="dxa"/>
            <w:tcBorders>
              <w:top w:val="nil"/>
              <w:left w:val="nil"/>
              <w:bottom w:val="single" w:sz="4" w:space="0" w:color="auto"/>
              <w:right w:val="single" w:sz="4" w:space="0" w:color="auto"/>
            </w:tcBorders>
            <w:shd w:val="clear" w:color="000000" w:fill="FFFFFF"/>
            <w:vAlign w:val="center"/>
            <w:hideMark/>
          </w:tcPr>
          <w:p w14:paraId="5FEF19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306" w:type="dxa"/>
            <w:tcBorders>
              <w:top w:val="nil"/>
              <w:left w:val="nil"/>
              <w:bottom w:val="single" w:sz="4" w:space="0" w:color="auto"/>
              <w:right w:val="single" w:sz="4" w:space="0" w:color="auto"/>
            </w:tcBorders>
            <w:shd w:val="clear" w:color="000000" w:fill="FFFFFF"/>
            <w:vAlign w:val="center"/>
            <w:hideMark/>
          </w:tcPr>
          <w:p w14:paraId="5FEF19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45" w:type="dxa"/>
            <w:tcBorders>
              <w:top w:val="nil"/>
              <w:left w:val="nil"/>
              <w:bottom w:val="single" w:sz="4" w:space="0" w:color="auto"/>
              <w:right w:val="single" w:sz="4" w:space="0" w:color="auto"/>
            </w:tcBorders>
            <w:shd w:val="clear" w:color="000000" w:fill="FFFFFF"/>
            <w:vAlign w:val="center"/>
            <w:hideMark/>
          </w:tcPr>
          <w:p w14:paraId="5FEF19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75" w:type="dxa"/>
            <w:tcBorders>
              <w:top w:val="nil"/>
              <w:left w:val="nil"/>
              <w:bottom w:val="single" w:sz="4" w:space="0" w:color="auto"/>
              <w:right w:val="single" w:sz="4" w:space="0" w:color="auto"/>
            </w:tcBorders>
            <w:shd w:val="clear" w:color="000000" w:fill="FFFFFF"/>
            <w:vAlign w:val="center"/>
            <w:hideMark/>
          </w:tcPr>
          <w:p w14:paraId="5FEF19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6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4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1.1.12</w:t>
            </w:r>
          </w:p>
        </w:tc>
        <w:tc>
          <w:tcPr>
            <w:tcW w:w="1301" w:type="dxa"/>
            <w:tcBorders>
              <w:top w:val="nil"/>
              <w:left w:val="nil"/>
              <w:bottom w:val="single" w:sz="4" w:space="0" w:color="auto"/>
              <w:right w:val="single" w:sz="4" w:space="0" w:color="auto"/>
            </w:tcBorders>
            <w:shd w:val="clear" w:color="auto" w:fill="auto"/>
            <w:vAlign w:val="center"/>
            <w:hideMark/>
          </w:tcPr>
          <w:p w14:paraId="5FEF194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Trajnime të prokurorëve dhe gjyqtarëve për çështje që lidhen me radikalizmin dhe ekstremizmin e dhunshëm. </w:t>
            </w:r>
          </w:p>
        </w:tc>
        <w:tc>
          <w:tcPr>
            <w:tcW w:w="498" w:type="dxa"/>
            <w:tcBorders>
              <w:top w:val="nil"/>
              <w:left w:val="nil"/>
              <w:bottom w:val="single" w:sz="4" w:space="0" w:color="auto"/>
              <w:right w:val="single" w:sz="4" w:space="0" w:color="auto"/>
            </w:tcBorders>
            <w:shd w:val="clear" w:color="000000" w:fill="FFFFFF"/>
            <w:vAlign w:val="center"/>
            <w:hideMark/>
          </w:tcPr>
          <w:p w14:paraId="5FEF19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"Veprimtaria Akademike", Kodi i programit 09820</w:t>
            </w:r>
          </w:p>
        </w:tc>
        <w:tc>
          <w:tcPr>
            <w:tcW w:w="498" w:type="dxa"/>
            <w:tcBorders>
              <w:top w:val="nil"/>
              <w:left w:val="nil"/>
              <w:bottom w:val="single" w:sz="4" w:space="0" w:color="auto"/>
              <w:right w:val="single" w:sz="4" w:space="0" w:color="auto"/>
            </w:tcBorders>
            <w:shd w:val="clear" w:color="000000" w:fill="FFFFFF"/>
            <w:vAlign w:val="center"/>
            <w:hideMark/>
          </w:tcPr>
          <w:p w14:paraId="5FEF19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Shkolla e Magjistraturës; </w:t>
            </w:r>
          </w:p>
        </w:tc>
        <w:tc>
          <w:tcPr>
            <w:tcW w:w="578" w:type="dxa"/>
            <w:tcBorders>
              <w:top w:val="nil"/>
              <w:left w:val="nil"/>
              <w:bottom w:val="single" w:sz="4" w:space="0" w:color="auto"/>
              <w:right w:val="single" w:sz="4" w:space="0" w:color="auto"/>
            </w:tcBorders>
            <w:shd w:val="clear" w:color="000000" w:fill="FFFFFF"/>
            <w:vAlign w:val="center"/>
            <w:hideMark/>
          </w:tcPr>
          <w:p w14:paraId="5FEF19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KLGJ; KLP; 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94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4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553,620</w:t>
            </w:r>
          </w:p>
        </w:tc>
        <w:tc>
          <w:tcPr>
            <w:tcW w:w="275" w:type="dxa"/>
            <w:tcBorders>
              <w:top w:val="nil"/>
              <w:left w:val="nil"/>
              <w:bottom w:val="single" w:sz="4" w:space="0" w:color="auto"/>
              <w:right w:val="single" w:sz="4" w:space="0" w:color="auto"/>
            </w:tcBorders>
            <w:shd w:val="clear" w:color="000000" w:fill="FFFFFF"/>
            <w:vAlign w:val="center"/>
            <w:hideMark/>
          </w:tcPr>
          <w:p w14:paraId="5FEF19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553,620</w:t>
            </w:r>
          </w:p>
        </w:tc>
        <w:tc>
          <w:tcPr>
            <w:tcW w:w="306" w:type="dxa"/>
            <w:tcBorders>
              <w:top w:val="nil"/>
              <w:left w:val="nil"/>
              <w:bottom w:val="single" w:sz="4" w:space="0" w:color="auto"/>
              <w:right w:val="single" w:sz="4" w:space="0" w:color="auto"/>
            </w:tcBorders>
            <w:shd w:val="clear" w:color="000000" w:fill="FFFFFF"/>
            <w:vAlign w:val="center"/>
            <w:hideMark/>
          </w:tcPr>
          <w:p w14:paraId="5FEF19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553,620</w:t>
            </w:r>
          </w:p>
        </w:tc>
        <w:tc>
          <w:tcPr>
            <w:tcW w:w="245" w:type="dxa"/>
            <w:tcBorders>
              <w:top w:val="nil"/>
              <w:left w:val="nil"/>
              <w:bottom w:val="single" w:sz="4" w:space="0" w:color="auto"/>
              <w:right w:val="single" w:sz="4" w:space="0" w:color="auto"/>
            </w:tcBorders>
            <w:shd w:val="clear" w:color="000000" w:fill="FFFFFF"/>
            <w:vAlign w:val="center"/>
            <w:hideMark/>
          </w:tcPr>
          <w:p w14:paraId="5FEF19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553,620</w:t>
            </w:r>
          </w:p>
        </w:tc>
        <w:tc>
          <w:tcPr>
            <w:tcW w:w="306" w:type="dxa"/>
            <w:tcBorders>
              <w:top w:val="nil"/>
              <w:left w:val="nil"/>
              <w:bottom w:val="single" w:sz="4" w:space="0" w:color="auto"/>
              <w:right w:val="single" w:sz="4" w:space="0" w:color="auto"/>
            </w:tcBorders>
            <w:shd w:val="clear" w:color="000000" w:fill="FFFFFF"/>
            <w:vAlign w:val="center"/>
            <w:hideMark/>
          </w:tcPr>
          <w:p w14:paraId="5FEF19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553,620</w:t>
            </w:r>
          </w:p>
        </w:tc>
        <w:tc>
          <w:tcPr>
            <w:tcW w:w="245" w:type="dxa"/>
            <w:tcBorders>
              <w:top w:val="nil"/>
              <w:left w:val="nil"/>
              <w:bottom w:val="single" w:sz="4" w:space="0" w:color="auto"/>
              <w:right w:val="single" w:sz="4" w:space="0" w:color="auto"/>
            </w:tcBorders>
            <w:shd w:val="clear" w:color="000000" w:fill="FFFFFF"/>
            <w:vAlign w:val="center"/>
            <w:hideMark/>
          </w:tcPr>
          <w:p w14:paraId="5FEF19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553,620</w:t>
            </w:r>
          </w:p>
        </w:tc>
        <w:tc>
          <w:tcPr>
            <w:tcW w:w="306" w:type="dxa"/>
            <w:tcBorders>
              <w:top w:val="nil"/>
              <w:left w:val="nil"/>
              <w:bottom w:val="single" w:sz="4" w:space="0" w:color="auto"/>
              <w:right w:val="single" w:sz="4" w:space="0" w:color="auto"/>
            </w:tcBorders>
            <w:shd w:val="clear" w:color="000000" w:fill="FFFFFF"/>
            <w:vAlign w:val="center"/>
            <w:hideMark/>
          </w:tcPr>
          <w:p w14:paraId="5FEF19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1,660,859</w:t>
            </w:r>
          </w:p>
        </w:tc>
        <w:tc>
          <w:tcPr>
            <w:tcW w:w="275" w:type="dxa"/>
            <w:tcBorders>
              <w:top w:val="nil"/>
              <w:left w:val="nil"/>
              <w:bottom w:val="single" w:sz="4" w:space="0" w:color="auto"/>
              <w:right w:val="single" w:sz="4" w:space="0" w:color="auto"/>
            </w:tcBorders>
            <w:shd w:val="clear" w:color="000000" w:fill="FFFFFF"/>
            <w:vAlign w:val="center"/>
            <w:hideMark/>
          </w:tcPr>
          <w:p w14:paraId="5FEF19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1,660,859</w:t>
            </w:r>
          </w:p>
        </w:tc>
        <w:tc>
          <w:tcPr>
            <w:tcW w:w="306" w:type="dxa"/>
            <w:tcBorders>
              <w:top w:val="nil"/>
              <w:left w:val="nil"/>
              <w:bottom w:val="single" w:sz="4" w:space="0" w:color="auto"/>
              <w:right w:val="single" w:sz="4" w:space="0" w:color="auto"/>
            </w:tcBorders>
            <w:shd w:val="clear" w:color="000000" w:fill="FFFFFF"/>
            <w:vAlign w:val="center"/>
            <w:hideMark/>
          </w:tcPr>
          <w:p w14:paraId="5FEF19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1,660,859</w:t>
            </w:r>
          </w:p>
        </w:tc>
        <w:tc>
          <w:tcPr>
            <w:tcW w:w="245" w:type="dxa"/>
            <w:tcBorders>
              <w:top w:val="nil"/>
              <w:left w:val="nil"/>
              <w:bottom w:val="single" w:sz="4" w:space="0" w:color="auto"/>
              <w:right w:val="single" w:sz="4" w:space="0" w:color="auto"/>
            </w:tcBorders>
            <w:shd w:val="clear" w:color="000000" w:fill="FFFFFF"/>
            <w:vAlign w:val="center"/>
            <w:hideMark/>
          </w:tcPr>
          <w:p w14:paraId="5FEF19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1,660,859</w:t>
            </w:r>
          </w:p>
        </w:tc>
        <w:tc>
          <w:tcPr>
            <w:tcW w:w="275" w:type="dxa"/>
            <w:tcBorders>
              <w:top w:val="nil"/>
              <w:left w:val="nil"/>
              <w:bottom w:val="single" w:sz="4" w:space="0" w:color="auto"/>
              <w:right w:val="single" w:sz="4" w:space="0" w:color="auto"/>
            </w:tcBorders>
            <w:shd w:val="clear" w:color="000000" w:fill="FFFFFF"/>
            <w:vAlign w:val="center"/>
            <w:hideMark/>
          </w:tcPr>
          <w:p w14:paraId="5FEF19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7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6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1.1.13</w:t>
            </w:r>
          </w:p>
        </w:tc>
        <w:tc>
          <w:tcPr>
            <w:tcW w:w="1301" w:type="dxa"/>
            <w:tcBorders>
              <w:top w:val="nil"/>
              <w:left w:val="nil"/>
              <w:bottom w:val="single" w:sz="4" w:space="0" w:color="auto"/>
              <w:right w:val="single" w:sz="4" w:space="0" w:color="auto"/>
            </w:tcBorders>
            <w:shd w:val="clear" w:color="auto" w:fill="auto"/>
            <w:vAlign w:val="center"/>
            <w:hideMark/>
          </w:tcPr>
          <w:p w14:paraId="5FEF196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Trajnime informuese me qëllim parandalimin e radikalizmit bazuar në hartën e përditësuar të hotspoteve nga ana e strukturave policore.</w:t>
            </w:r>
          </w:p>
        </w:tc>
        <w:tc>
          <w:tcPr>
            <w:tcW w:w="498" w:type="dxa"/>
            <w:tcBorders>
              <w:top w:val="nil"/>
              <w:left w:val="nil"/>
              <w:bottom w:val="single" w:sz="4" w:space="0" w:color="auto"/>
              <w:right w:val="single" w:sz="4" w:space="0" w:color="auto"/>
            </w:tcBorders>
            <w:shd w:val="clear" w:color="000000" w:fill="FFFFFF"/>
            <w:vAlign w:val="center"/>
            <w:hideMark/>
          </w:tcPr>
          <w:p w14:paraId="5FEF19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000000" w:fill="FFFFFF"/>
            <w:vAlign w:val="center"/>
            <w:hideMark/>
          </w:tcPr>
          <w:p w14:paraId="5FEF19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9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Arsimit dhe Sportit; Ministria e Drejtësisë, NJVV, Ministria e Shëndetësisë dhe Mbrojtjes Sociale</w:t>
            </w:r>
          </w:p>
        </w:tc>
        <w:tc>
          <w:tcPr>
            <w:tcW w:w="207" w:type="dxa"/>
            <w:tcBorders>
              <w:top w:val="nil"/>
              <w:left w:val="nil"/>
              <w:bottom w:val="single" w:sz="4" w:space="0" w:color="auto"/>
              <w:right w:val="single" w:sz="4" w:space="0" w:color="auto"/>
            </w:tcBorders>
            <w:shd w:val="clear" w:color="auto" w:fill="auto"/>
            <w:vAlign w:val="center"/>
            <w:hideMark/>
          </w:tcPr>
          <w:p w14:paraId="5FEF196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6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189,740</w:t>
            </w:r>
          </w:p>
        </w:tc>
        <w:tc>
          <w:tcPr>
            <w:tcW w:w="275" w:type="dxa"/>
            <w:tcBorders>
              <w:top w:val="nil"/>
              <w:left w:val="nil"/>
              <w:bottom w:val="single" w:sz="4" w:space="0" w:color="auto"/>
              <w:right w:val="single" w:sz="4" w:space="0" w:color="auto"/>
            </w:tcBorders>
            <w:shd w:val="clear" w:color="000000" w:fill="FFFFFF"/>
            <w:vAlign w:val="center"/>
            <w:hideMark/>
          </w:tcPr>
          <w:p w14:paraId="5FEF19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189,740</w:t>
            </w:r>
          </w:p>
        </w:tc>
        <w:tc>
          <w:tcPr>
            <w:tcW w:w="306" w:type="dxa"/>
            <w:tcBorders>
              <w:top w:val="nil"/>
              <w:left w:val="nil"/>
              <w:bottom w:val="single" w:sz="4" w:space="0" w:color="auto"/>
              <w:right w:val="single" w:sz="4" w:space="0" w:color="auto"/>
            </w:tcBorders>
            <w:shd w:val="clear" w:color="000000" w:fill="FFFFFF"/>
            <w:vAlign w:val="center"/>
            <w:hideMark/>
          </w:tcPr>
          <w:p w14:paraId="5FEF19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189,740</w:t>
            </w:r>
          </w:p>
        </w:tc>
        <w:tc>
          <w:tcPr>
            <w:tcW w:w="245" w:type="dxa"/>
            <w:tcBorders>
              <w:top w:val="nil"/>
              <w:left w:val="nil"/>
              <w:bottom w:val="single" w:sz="4" w:space="0" w:color="auto"/>
              <w:right w:val="single" w:sz="4" w:space="0" w:color="auto"/>
            </w:tcBorders>
            <w:shd w:val="clear" w:color="000000" w:fill="FFFFFF"/>
            <w:vAlign w:val="center"/>
            <w:hideMark/>
          </w:tcPr>
          <w:p w14:paraId="5FEF19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189,740</w:t>
            </w:r>
          </w:p>
        </w:tc>
        <w:tc>
          <w:tcPr>
            <w:tcW w:w="306" w:type="dxa"/>
            <w:tcBorders>
              <w:top w:val="nil"/>
              <w:left w:val="nil"/>
              <w:bottom w:val="single" w:sz="4" w:space="0" w:color="auto"/>
              <w:right w:val="single" w:sz="4" w:space="0" w:color="auto"/>
            </w:tcBorders>
            <w:shd w:val="clear" w:color="000000" w:fill="FFFFFF"/>
            <w:vAlign w:val="center"/>
            <w:hideMark/>
          </w:tcPr>
          <w:p w14:paraId="5FEF19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189,740</w:t>
            </w:r>
          </w:p>
        </w:tc>
        <w:tc>
          <w:tcPr>
            <w:tcW w:w="245" w:type="dxa"/>
            <w:tcBorders>
              <w:top w:val="nil"/>
              <w:left w:val="nil"/>
              <w:bottom w:val="single" w:sz="4" w:space="0" w:color="auto"/>
              <w:right w:val="single" w:sz="4" w:space="0" w:color="auto"/>
            </w:tcBorders>
            <w:shd w:val="clear" w:color="000000" w:fill="FFFFFF"/>
            <w:vAlign w:val="center"/>
            <w:hideMark/>
          </w:tcPr>
          <w:p w14:paraId="5FEF19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189,740</w:t>
            </w:r>
          </w:p>
        </w:tc>
        <w:tc>
          <w:tcPr>
            <w:tcW w:w="306" w:type="dxa"/>
            <w:tcBorders>
              <w:top w:val="nil"/>
              <w:left w:val="nil"/>
              <w:bottom w:val="single" w:sz="4" w:space="0" w:color="auto"/>
              <w:right w:val="single" w:sz="4" w:space="0" w:color="auto"/>
            </w:tcBorders>
            <w:shd w:val="clear" w:color="000000" w:fill="FFFFFF"/>
            <w:vAlign w:val="center"/>
            <w:hideMark/>
          </w:tcPr>
          <w:p w14:paraId="5FEF19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569,220</w:t>
            </w:r>
          </w:p>
        </w:tc>
        <w:tc>
          <w:tcPr>
            <w:tcW w:w="275" w:type="dxa"/>
            <w:tcBorders>
              <w:top w:val="nil"/>
              <w:left w:val="nil"/>
              <w:bottom w:val="single" w:sz="4" w:space="0" w:color="auto"/>
              <w:right w:val="single" w:sz="4" w:space="0" w:color="auto"/>
            </w:tcBorders>
            <w:shd w:val="clear" w:color="000000" w:fill="FFFFFF"/>
            <w:vAlign w:val="center"/>
            <w:hideMark/>
          </w:tcPr>
          <w:p w14:paraId="5FEF19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569,220</w:t>
            </w:r>
          </w:p>
        </w:tc>
        <w:tc>
          <w:tcPr>
            <w:tcW w:w="306" w:type="dxa"/>
            <w:tcBorders>
              <w:top w:val="nil"/>
              <w:left w:val="nil"/>
              <w:bottom w:val="single" w:sz="4" w:space="0" w:color="auto"/>
              <w:right w:val="single" w:sz="4" w:space="0" w:color="auto"/>
            </w:tcBorders>
            <w:shd w:val="clear" w:color="000000" w:fill="FFFFFF"/>
            <w:vAlign w:val="center"/>
            <w:hideMark/>
          </w:tcPr>
          <w:p w14:paraId="5FEF19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569,220</w:t>
            </w:r>
          </w:p>
        </w:tc>
        <w:tc>
          <w:tcPr>
            <w:tcW w:w="245" w:type="dxa"/>
            <w:tcBorders>
              <w:top w:val="nil"/>
              <w:left w:val="nil"/>
              <w:bottom w:val="single" w:sz="4" w:space="0" w:color="auto"/>
              <w:right w:val="single" w:sz="4" w:space="0" w:color="auto"/>
            </w:tcBorders>
            <w:shd w:val="clear" w:color="000000" w:fill="FFFFFF"/>
            <w:vAlign w:val="center"/>
            <w:hideMark/>
          </w:tcPr>
          <w:p w14:paraId="5FEF19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569,220</w:t>
            </w:r>
          </w:p>
        </w:tc>
        <w:tc>
          <w:tcPr>
            <w:tcW w:w="275" w:type="dxa"/>
            <w:tcBorders>
              <w:top w:val="nil"/>
              <w:left w:val="nil"/>
              <w:bottom w:val="single" w:sz="4" w:space="0" w:color="auto"/>
              <w:right w:val="single" w:sz="4" w:space="0" w:color="auto"/>
            </w:tcBorders>
            <w:shd w:val="clear" w:color="000000" w:fill="FFFFFF"/>
            <w:vAlign w:val="center"/>
            <w:hideMark/>
          </w:tcPr>
          <w:p w14:paraId="5FEF19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9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7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1.1.14</w:t>
            </w:r>
          </w:p>
        </w:tc>
        <w:tc>
          <w:tcPr>
            <w:tcW w:w="1301" w:type="dxa"/>
            <w:tcBorders>
              <w:top w:val="nil"/>
              <w:left w:val="nil"/>
              <w:bottom w:val="single" w:sz="4" w:space="0" w:color="auto"/>
              <w:right w:val="single" w:sz="4" w:space="0" w:color="auto"/>
            </w:tcBorders>
            <w:shd w:val="clear" w:color="auto" w:fill="auto"/>
            <w:vAlign w:val="center"/>
            <w:hideMark/>
          </w:tcPr>
          <w:p w14:paraId="5FEF1980" w14:textId="6865FC8A"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Kryerja e vlerësimit të kapaciteteve institucionale për të identifikuar nevojat profesionale, teknike, infrastrukturore për parandalimin dhe kundërshtimin 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lastRenderedPageBreak/>
              <w:t>ekstremizmit të dhunshëm.</w:t>
            </w:r>
          </w:p>
        </w:tc>
        <w:tc>
          <w:tcPr>
            <w:tcW w:w="498" w:type="dxa"/>
            <w:tcBorders>
              <w:top w:val="nil"/>
              <w:left w:val="nil"/>
              <w:bottom w:val="single" w:sz="4" w:space="0" w:color="auto"/>
              <w:right w:val="single" w:sz="4" w:space="0" w:color="auto"/>
            </w:tcBorders>
            <w:shd w:val="clear" w:color="000000" w:fill="FFFFFF"/>
            <w:vAlign w:val="center"/>
            <w:hideMark/>
          </w:tcPr>
          <w:p w14:paraId="5FEF1981" w14:textId="3D48C6EA"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 xml:space="preserve">Programi Buxhetor "Policia e Shtetit", Kodi i </w:t>
            </w:r>
            <w:r w:rsidRPr="00795698">
              <w:rPr>
                <w:rFonts w:ascii="Arial" w:hAnsi="Arial" w:cs="Arial"/>
                <w:color w:val="000000"/>
                <w:sz w:val="6"/>
                <w:szCs w:val="6"/>
                <w:lang w:eastAsia="sq-AL"/>
              </w:rPr>
              <w:lastRenderedPageBreak/>
              <w:t>Programit 03140</w:t>
            </w:r>
            <w:r w:rsidRPr="00795698">
              <w:rPr>
                <w:rFonts w:ascii="Arial" w:hAnsi="Arial" w:cs="Arial"/>
                <w:color w:val="000000"/>
                <w:sz w:val="6"/>
                <w:szCs w:val="6"/>
                <w:lang w:eastAsia="sq-AL"/>
              </w:rPr>
              <w:br/>
              <w:t>Kodi i produktit buxhetor</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91604AM</w:t>
            </w:r>
          </w:p>
        </w:tc>
        <w:tc>
          <w:tcPr>
            <w:tcW w:w="498" w:type="dxa"/>
            <w:tcBorders>
              <w:top w:val="nil"/>
              <w:left w:val="nil"/>
              <w:bottom w:val="single" w:sz="4" w:space="0" w:color="auto"/>
              <w:right w:val="single" w:sz="4" w:space="0" w:color="auto"/>
            </w:tcBorders>
            <w:shd w:val="clear" w:color="000000" w:fill="FFFFFF"/>
            <w:vAlign w:val="center"/>
            <w:hideMark/>
          </w:tcPr>
          <w:p w14:paraId="5FEF19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Drejtoria Përgjithshme e Policisë së Shtetit/Akade</w:t>
            </w:r>
            <w:r w:rsidRPr="00795698">
              <w:rPr>
                <w:rFonts w:ascii="Arial" w:hAnsi="Arial" w:cs="Arial"/>
                <w:color w:val="000000"/>
                <w:sz w:val="6"/>
                <w:szCs w:val="6"/>
                <w:lang w:eastAsia="sq-AL"/>
              </w:rPr>
              <w:lastRenderedPageBreak/>
              <w:t>mia e Policisë</w:t>
            </w:r>
          </w:p>
        </w:tc>
        <w:tc>
          <w:tcPr>
            <w:tcW w:w="578" w:type="dxa"/>
            <w:tcBorders>
              <w:top w:val="nil"/>
              <w:left w:val="nil"/>
              <w:bottom w:val="single" w:sz="4" w:space="0" w:color="auto"/>
              <w:right w:val="single" w:sz="4" w:space="0" w:color="auto"/>
            </w:tcBorders>
            <w:shd w:val="clear" w:color="000000" w:fill="FFFFFF"/>
            <w:vAlign w:val="center"/>
            <w:hideMark/>
          </w:tcPr>
          <w:p w14:paraId="5FEF19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Ministria e Brendshme, QKEDH</w:t>
            </w:r>
          </w:p>
        </w:tc>
        <w:tc>
          <w:tcPr>
            <w:tcW w:w="207" w:type="dxa"/>
            <w:tcBorders>
              <w:top w:val="nil"/>
              <w:left w:val="nil"/>
              <w:bottom w:val="single" w:sz="4" w:space="0" w:color="auto"/>
              <w:right w:val="single" w:sz="4" w:space="0" w:color="auto"/>
            </w:tcBorders>
            <w:shd w:val="clear" w:color="auto" w:fill="auto"/>
            <w:vAlign w:val="center"/>
            <w:hideMark/>
          </w:tcPr>
          <w:p w14:paraId="5FEF198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8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9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113,847</w:t>
            </w:r>
          </w:p>
        </w:tc>
        <w:tc>
          <w:tcPr>
            <w:tcW w:w="275" w:type="dxa"/>
            <w:tcBorders>
              <w:top w:val="nil"/>
              <w:left w:val="nil"/>
              <w:bottom w:val="single" w:sz="4" w:space="0" w:color="auto"/>
              <w:right w:val="single" w:sz="4" w:space="0" w:color="auto"/>
            </w:tcBorders>
            <w:shd w:val="clear" w:color="000000" w:fill="FFFFFF"/>
            <w:vAlign w:val="center"/>
            <w:hideMark/>
          </w:tcPr>
          <w:p w14:paraId="5FEF19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113,847</w:t>
            </w:r>
          </w:p>
        </w:tc>
        <w:tc>
          <w:tcPr>
            <w:tcW w:w="306" w:type="dxa"/>
            <w:tcBorders>
              <w:top w:val="nil"/>
              <w:left w:val="nil"/>
              <w:bottom w:val="single" w:sz="4" w:space="0" w:color="auto"/>
              <w:right w:val="single" w:sz="4" w:space="0" w:color="auto"/>
            </w:tcBorders>
            <w:shd w:val="clear" w:color="000000" w:fill="FFFFFF"/>
            <w:vAlign w:val="center"/>
            <w:hideMark/>
          </w:tcPr>
          <w:p w14:paraId="5FEF19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113,847</w:t>
            </w:r>
          </w:p>
        </w:tc>
        <w:tc>
          <w:tcPr>
            <w:tcW w:w="245" w:type="dxa"/>
            <w:tcBorders>
              <w:top w:val="nil"/>
              <w:left w:val="nil"/>
              <w:bottom w:val="single" w:sz="4" w:space="0" w:color="auto"/>
              <w:right w:val="single" w:sz="4" w:space="0" w:color="auto"/>
            </w:tcBorders>
            <w:shd w:val="clear" w:color="000000" w:fill="FFFFFF"/>
            <w:vAlign w:val="center"/>
            <w:hideMark/>
          </w:tcPr>
          <w:p w14:paraId="5FEF19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113,847</w:t>
            </w:r>
          </w:p>
        </w:tc>
        <w:tc>
          <w:tcPr>
            <w:tcW w:w="306" w:type="dxa"/>
            <w:tcBorders>
              <w:top w:val="nil"/>
              <w:left w:val="nil"/>
              <w:bottom w:val="single" w:sz="4" w:space="0" w:color="auto"/>
              <w:right w:val="single" w:sz="4" w:space="0" w:color="auto"/>
            </w:tcBorders>
            <w:shd w:val="clear" w:color="000000" w:fill="FFFFFF"/>
            <w:vAlign w:val="center"/>
            <w:hideMark/>
          </w:tcPr>
          <w:p w14:paraId="5FEF19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113,847</w:t>
            </w:r>
          </w:p>
        </w:tc>
        <w:tc>
          <w:tcPr>
            <w:tcW w:w="245" w:type="dxa"/>
            <w:tcBorders>
              <w:top w:val="nil"/>
              <w:left w:val="nil"/>
              <w:bottom w:val="single" w:sz="4" w:space="0" w:color="auto"/>
              <w:right w:val="single" w:sz="4" w:space="0" w:color="auto"/>
            </w:tcBorders>
            <w:shd w:val="clear" w:color="000000" w:fill="FFFFFF"/>
            <w:vAlign w:val="center"/>
            <w:hideMark/>
          </w:tcPr>
          <w:p w14:paraId="5FEF19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113,847</w:t>
            </w:r>
          </w:p>
        </w:tc>
        <w:tc>
          <w:tcPr>
            <w:tcW w:w="306" w:type="dxa"/>
            <w:tcBorders>
              <w:top w:val="nil"/>
              <w:left w:val="nil"/>
              <w:bottom w:val="single" w:sz="4" w:space="0" w:color="auto"/>
              <w:right w:val="single" w:sz="4" w:space="0" w:color="auto"/>
            </w:tcBorders>
            <w:shd w:val="clear" w:color="000000" w:fill="FFFFFF"/>
            <w:vAlign w:val="center"/>
            <w:hideMark/>
          </w:tcPr>
          <w:p w14:paraId="5FEF19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341,540</w:t>
            </w:r>
          </w:p>
        </w:tc>
        <w:tc>
          <w:tcPr>
            <w:tcW w:w="275" w:type="dxa"/>
            <w:tcBorders>
              <w:top w:val="nil"/>
              <w:left w:val="nil"/>
              <w:bottom w:val="single" w:sz="4" w:space="0" w:color="auto"/>
              <w:right w:val="single" w:sz="4" w:space="0" w:color="auto"/>
            </w:tcBorders>
            <w:shd w:val="clear" w:color="000000" w:fill="FFFFFF"/>
            <w:vAlign w:val="center"/>
            <w:hideMark/>
          </w:tcPr>
          <w:p w14:paraId="5FEF19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341,540</w:t>
            </w:r>
          </w:p>
        </w:tc>
        <w:tc>
          <w:tcPr>
            <w:tcW w:w="306" w:type="dxa"/>
            <w:tcBorders>
              <w:top w:val="nil"/>
              <w:left w:val="nil"/>
              <w:bottom w:val="single" w:sz="4" w:space="0" w:color="auto"/>
              <w:right w:val="single" w:sz="4" w:space="0" w:color="auto"/>
            </w:tcBorders>
            <w:shd w:val="clear" w:color="000000" w:fill="FFFFFF"/>
            <w:vAlign w:val="center"/>
            <w:hideMark/>
          </w:tcPr>
          <w:p w14:paraId="5FEF19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341,540</w:t>
            </w:r>
          </w:p>
        </w:tc>
        <w:tc>
          <w:tcPr>
            <w:tcW w:w="245" w:type="dxa"/>
            <w:tcBorders>
              <w:top w:val="nil"/>
              <w:left w:val="nil"/>
              <w:bottom w:val="single" w:sz="4" w:space="0" w:color="auto"/>
              <w:right w:val="single" w:sz="4" w:space="0" w:color="auto"/>
            </w:tcBorders>
            <w:shd w:val="clear" w:color="000000" w:fill="FFFFFF"/>
            <w:vAlign w:val="center"/>
            <w:hideMark/>
          </w:tcPr>
          <w:p w14:paraId="5FEF19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341,540</w:t>
            </w:r>
          </w:p>
        </w:tc>
        <w:tc>
          <w:tcPr>
            <w:tcW w:w="275" w:type="dxa"/>
            <w:tcBorders>
              <w:top w:val="nil"/>
              <w:left w:val="nil"/>
              <w:bottom w:val="single" w:sz="4" w:space="0" w:color="auto"/>
              <w:right w:val="single" w:sz="4" w:space="0" w:color="auto"/>
            </w:tcBorders>
            <w:shd w:val="clear" w:color="000000" w:fill="FFFFFF"/>
            <w:vAlign w:val="center"/>
            <w:hideMark/>
          </w:tcPr>
          <w:p w14:paraId="5FEF19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B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9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1.1.15</w:t>
            </w:r>
          </w:p>
        </w:tc>
        <w:tc>
          <w:tcPr>
            <w:tcW w:w="1301" w:type="dxa"/>
            <w:tcBorders>
              <w:top w:val="nil"/>
              <w:left w:val="nil"/>
              <w:bottom w:val="single" w:sz="4" w:space="0" w:color="auto"/>
              <w:right w:val="single" w:sz="4" w:space="0" w:color="auto"/>
            </w:tcBorders>
            <w:shd w:val="clear" w:color="auto" w:fill="auto"/>
            <w:vAlign w:val="center"/>
            <w:hideMark/>
          </w:tcPr>
          <w:p w14:paraId="5FEF199C" w14:textId="2A918F48"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Kryerja e trajnimeve për punonjësit e patrullës së përgjithshme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mbi ndërgjegjësimin kundër ekstremizmit të dhunshëm dhe shenjat e hershme të radikalizimit, me fokus të rinjtë.</w:t>
            </w:r>
          </w:p>
        </w:tc>
        <w:tc>
          <w:tcPr>
            <w:tcW w:w="498" w:type="dxa"/>
            <w:tcBorders>
              <w:top w:val="nil"/>
              <w:left w:val="nil"/>
              <w:bottom w:val="single" w:sz="4" w:space="0" w:color="auto"/>
              <w:right w:val="single" w:sz="4" w:space="0" w:color="auto"/>
            </w:tcBorders>
            <w:shd w:val="clear" w:color="000000" w:fill="FFFFFF"/>
            <w:vAlign w:val="center"/>
            <w:hideMark/>
          </w:tcPr>
          <w:p w14:paraId="5FEF199D" w14:textId="06BB1EA0"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Policia e Shtetit, Kodi i Programit 03140</w:t>
            </w:r>
            <w:r w:rsidRPr="00795698">
              <w:rPr>
                <w:rFonts w:ascii="Arial" w:hAnsi="Arial" w:cs="Arial"/>
                <w:color w:val="000000"/>
                <w:sz w:val="6"/>
                <w:szCs w:val="6"/>
                <w:lang w:eastAsia="sq-AL"/>
              </w:rPr>
              <w:br/>
              <w:t>Kodi i produktit buxhetor</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91604AA</w:t>
            </w:r>
          </w:p>
        </w:tc>
        <w:tc>
          <w:tcPr>
            <w:tcW w:w="498" w:type="dxa"/>
            <w:tcBorders>
              <w:top w:val="nil"/>
              <w:left w:val="nil"/>
              <w:bottom w:val="single" w:sz="4" w:space="0" w:color="auto"/>
              <w:right w:val="single" w:sz="4" w:space="0" w:color="auto"/>
            </w:tcBorders>
            <w:shd w:val="clear" w:color="000000" w:fill="FFFFFF"/>
            <w:vAlign w:val="center"/>
            <w:hideMark/>
          </w:tcPr>
          <w:p w14:paraId="5FEF199E" w14:textId="77777777" w:rsidR="002117FE" w:rsidRPr="00795698" w:rsidRDefault="002117FE" w:rsidP="002117FE">
            <w:pPr>
              <w:spacing w:after="240"/>
              <w:jc w:val="center"/>
              <w:rPr>
                <w:rFonts w:ascii="Arial" w:hAnsi="Arial" w:cs="Arial"/>
                <w:color w:val="000000"/>
                <w:sz w:val="6"/>
                <w:szCs w:val="6"/>
                <w:lang w:eastAsia="sq-AL"/>
              </w:rPr>
            </w:pPr>
            <w:r w:rsidRPr="00795698">
              <w:rPr>
                <w:rFonts w:ascii="Arial" w:hAnsi="Arial" w:cs="Arial"/>
                <w:color w:val="000000"/>
                <w:sz w:val="6"/>
                <w:szCs w:val="6"/>
                <w:lang w:eastAsia="sq-AL"/>
              </w:rPr>
              <w:t>Drejtoria Përgjithshme e Policisë së Shtetit</w:t>
            </w:r>
          </w:p>
        </w:tc>
        <w:tc>
          <w:tcPr>
            <w:tcW w:w="578" w:type="dxa"/>
            <w:tcBorders>
              <w:top w:val="nil"/>
              <w:left w:val="nil"/>
              <w:bottom w:val="single" w:sz="4" w:space="0" w:color="auto"/>
              <w:right w:val="single" w:sz="4" w:space="0" w:color="auto"/>
            </w:tcBorders>
            <w:shd w:val="clear" w:color="000000" w:fill="FFFFFF"/>
            <w:vAlign w:val="center"/>
            <w:hideMark/>
          </w:tcPr>
          <w:p w14:paraId="5FEF19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Komisariatet e Policisë; 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9A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A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75" w:type="dxa"/>
            <w:tcBorders>
              <w:top w:val="nil"/>
              <w:left w:val="nil"/>
              <w:bottom w:val="single" w:sz="4" w:space="0" w:color="auto"/>
              <w:right w:val="single" w:sz="4" w:space="0" w:color="auto"/>
            </w:tcBorders>
            <w:shd w:val="clear" w:color="000000" w:fill="FFFFFF"/>
            <w:vAlign w:val="center"/>
            <w:hideMark/>
          </w:tcPr>
          <w:p w14:paraId="5FEF19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306" w:type="dxa"/>
            <w:tcBorders>
              <w:top w:val="nil"/>
              <w:left w:val="nil"/>
              <w:bottom w:val="single" w:sz="4" w:space="0" w:color="auto"/>
              <w:right w:val="single" w:sz="4" w:space="0" w:color="auto"/>
            </w:tcBorders>
            <w:shd w:val="clear" w:color="000000" w:fill="FFFFFF"/>
            <w:vAlign w:val="center"/>
            <w:hideMark/>
          </w:tcPr>
          <w:p w14:paraId="5FEF19A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45" w:type="dxa"/>
            <w:tcBorders>
              <w:top w:val="nil"/>
              <w:left w:val="nil"/>
              <w:bottom w:val="single" w:sz="4" w:space="0" w:color="auto"/>
              <w:right w:val="single" w:sz="4" w:space="0" w:color="auto"/>
            </w:tcBorders>
            <w:shd w:val="clear" w:color="000000" w:fill="FFFFFF"/>
            <w:vAlign w:val="center"/>
            <w:hideMark/>
          </w:tcPr>
          <w:p w14:paraId="5FEF19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306" w:type="dxa"/>
            <w:tcBorders>
              <w:top w:val="nil"/>
              <w:left w:val="nil"/>
              <w:bottom w:val="single" w:sz="4" w:space="0" w:color="auto"/>
              <w:right w:val="single" w:sz="4" w:space="0" w:color="auto"/>
            </w:tcBorders>
            <w:shd w:val="clear" w:color="000000" w:fill="FFFFFF"/>
            <w:vAlign w:val="center"/>
            <w:hideMark/>
          </w:tcPr>
          <w:p w14:paraId="5FEF19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45" w:type="dxa"/>
            <w:tcBorders>
              <w:top w:val="nil"/>
              <w:left w:val="nil"/>
              <w:bottom w:val="single" w:sz="4" w:space="0" w:color="auto"/>
              <w:right w:val="single" w:sz="4" w:space="0" w:color="auto"/>
            </w:tcBorders>
            <w:shd w:val="clear" w:color="000000" w:fill="FFFFFF"/>
            <w:vAlign w:val="center"/>
            <w:hideMark/>
          </w:tcPr>
          <w:p w14:paraId="5FEF19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A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306" w:type="dxa"/>
            <w:tcBorders>
              <w:top w:val="nil"/>
              <w:left w:val="nil"/>
              <w:bottom w:val="single" w:sz="4" w:space="0" w:color="auto"/>
              <w:right w:val="single" w:sz="4" w:space="0" w:color="auto"/>
            </w:tcBorders>
            <w:shd w:val="clear" w:color="000000" w:fill="FFFFFF"/>
            <w:vAlign w:val="center"/>
            <w:hideMark/>
          </w:tcPr>
          <w:p w14:paraId="5FEF19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75" w:type="dxa"/>
            <w:tcBorders>
              <w:top w:val="nil"/>
              <w:left w:val="nil"/>
              <w:bottom w:val="single" w:sz="4" w:space="0" w:color="auto"/>
              <w:right w:val="single" w:sz="4" w:space="0" w:color="auto"/>
            </w:tcBorders>
            <w:shd w:val="clear" w:color="000000" w:fill="FFFFFF"/>
            <w:vAlign w:val="center"/>
            <w:hideMark/>
          </w:tcPr>
          <w:p w14:paraId="5FEF19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306" w:type="dxa"/>
            <w:tcBorders>
              <w:top w:val="nil"/>
              <w:left w:val="nil"/>
              <w:bottom w:val="single" w:sz="4" w:space="0" w:color="auto"/>
              <w:right w:val="single" w:sz="4" w:space="0" w:color="auto"/>
            </w:tcBorders>
            <w:shd w:val="clear" w:color="000000" w:fill="FFFFFF"/>
            <w:vAlign w:val="center"/>
            <w:hideMark/>
          </w:tcPr>
          <w:p w14:paraId="5FEF19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45" w:type="dxa"/>
            <w:tcBorders>
              <w:top w:val="nil"/>
              <w:left w:val="nil"/>
              <w:bottom w:val="single" w:sz="4" w:space="0" w:color="auto"/>
              <w:right w:val="single" w:sz="4" w:space="0" w:color="auto"/>
            </w:tcBorders>
            <w:shd w:val="clear" w:color="000000" w:fill="FFFFFF"/>
            <w:vAlign w:val="center"/>
            <w:hideMark/>
          </w:tcPr>
          <w:p w14:paraId="5FEF19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75" w:type="dxa"/>
            <w:tcBorders>
              <w:top w:val="nil"/>
              <w:left w:val="nil"/>
              <w:bottom w:val="single" w:sz="4" w:space="0" w:color="auto"/>
              <w:right w:val="single" w:sz="4" w:space="0" w:color="auto"/>
            </w:tcBorders>
            <w:shd w:val="clear" w:color="000000" w:fill="FFFFFF"/>
            <w:vAlign w:val="center"/>
            <w:hideMark/>
          </w:tcPr>
          <w:p w14:paraId="5FEF19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D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B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1.1.16</w:t>
            </w:r>
          </w:p>
        </w:tc>
        <w:tc>
          <w:tcPr>
            <w:tcW w:w="1301" w:type="dxa"/>
            <w:tcBorders>
              <w:top w:val="nil"/>
              <w:left w:val="nil"/>
              <w:bottom w:val="single" w:sz="4" w:space="0" w:color="auto"/>
              <w:right w:val="single" w:sz="4" w:space="0" w:color="auto"/>
            </w:tcBorders>
            <w:shd w:val="clear" w:color="auto" w:fill="auto"/>
            <w:hideMark/>
          </w:tcPr>
          <w:p w14:paraId="5FEF19B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Trajnime të oficerëve të policimit në komunitet rreth tendencave të radikalizimit, metodave të rekrutimit, radikalizimit. </w:t>
            </w:r>
          </w:p>
        </w:tc>
        <w:tc>
          <w:tcPr>
            <w:tcW w:w="498" w:type="dxa"/>
            <w:tcBorders>
              <w:top w:val="nil"/>
              <w:left w:val="nil"/>
              <w:bottom w:val="single" w:sz="4" w:space="0" w:color="auto"/>
              <w:right w:val="single" w:sz="4" w:space="0" w:color="auto"/>
            </w:tcBorders>
            <w:shd w:val="clear" w:color="000000" w:fill="FFFFFF"/>
            <w:vAlign w:val="center"/>
            <w:hideMark/>
          </w:tcPr>
          <w:p w14:paraId="5FEF19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Policia e Shtetit, Kodi i Programit 03140</w:t>
            </w:r>
            <w:r w:rsidRPr="00795698">
              <w:rPr>
                <w:rFonts w:ascii="Arial" w:hAnsi="Arial" w:cs="Arial"/>
                <w:color w:val="000000"/>
                <w:sz w:val="6"/>
                <w:szCs w:val="6"/>
                <w:lang w:eastAsia="sq-AL"/>
              </w:rPr>
              <w:br/>
              <w:t>Kodi i produktit buxhetor 91604AC</w:t>
            </w:r>
          </w:p>
        </w:tc>
        <w:tc>
          <w:tcPr>
            <w:tcW w:w="498" w:type="dxa"/>
            <w:tcBorders>
              <w:top w:val="nil"/>
              <w:left w:val="nil"/>
              <w:bottom w:val="single" w:sz="4" w:space="0" w:color="auto"/>
              <w:right w:val="single" w:sz="4" w:space="0" w:color="auto"/>
            </w:tcBorders>
            <w:shd w:val="clear" w:color="000000" w:fill="FFFFFF"/>
            <w:vAlign w:val="center"/>
            <w:hideMark/>
          </w:tcPr>
          <w:p w14:paraId="5FEF19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Drejtoria Përgjithshme e Policisë së Shtetit;</w:t>
            </w:r>
          </w:p>
        </w:tc>
        <w:tc>
          <w:tcPr>
            <w:tcW w:w="578" w:type="dxa"/>
            <w:tcBorders>
              <w:top w:val="nil"/>
              <w:left w:val="nil"/>
              <w:bottom w:val="single" w:sz="4" w:space="0" w:color="auto"/>
              <w:right w:val="single" w:sz="4" w:space="0" w:color="auto"/>
            </w:tcBorders>
            <w:shd w:val="clear" w:color="000000" w:fill="FFFFFF"/>
            <w:vAlign w:val="center"/>
            <w:hideMark/>
          </w:tcPr>
          <w:p w14:paraId="5FEF19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Drejtoritë Vendore të Policisë së Shtetit; 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9B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B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275" w:type="dxa"/>
            <w:tcBorders>
              <w:top w:val="nil"/>
              <w:left w:val="nil"/>
              <w:bottom w:val="single" w:sz="4" w:space="0" w:color="auto"/>
              <w:right w:val="single" w:sz="4" w:space="0" w:color="auto"/>
            </w:tcBorders>
            <w:shd w:val="clear" w:color="000000" w:fill="FFFFFF"/>
            <w:vAlign w:val="center"/>
            <w:hideMark/>
          </w:tcPr>
          <w:p w14:paraId="5FEF19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306" w:type="dxa"/>
            <w:tcBorders>
              <w:top w:val="nil"/>
              <w:left w:val="nil"/>
              <w:bottom w:val="single" w:sz="4" w:space="0" w:color="auto"/>
              <w:right w:val="single" w:sz="4" w:space="0" w:color="auto"/>
            </w:tcBorders>
            <w:shd w:val="clear" w:color="000000" w:fill="FFFFFF"/>
            <w:vAlign w:val="center"/>
            <w:hideMark/>
          </w:tcPr>
          <w:p w14:paraId="5FEF19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245" w:type="dxa"/>
            <w:tcBorders>
              <w:top w:val="nil"/>
              <w:left w:val="nil"/>
              <w:bottom w:val="single" w:sz="4" w:space="0" w:color="auto"/>
              <w:right w:val="single" w:sz="4" w:space="0" w:color="auto"/>
            </w:tcBorders>
            <w:shd w:val="clear" w:color="000000" w:fill="FFFFFF"/>
            <w:vAlign w:val="center"/>
            <w:hideMark/>
          </w:tcPr>
          <w:p w14:paraId="5FEF19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306" w:type="dxa"/>
            <w:tcBorders>
              <w:top w:val="nil"/>
              <w:left w:val="nil"/>
              <w:bottom w:val="single" w:sz="4" w:space="0" w:color="auto"/>
              <w:right w:val="single" w:sz="4" w:space="0" w:color="auto"/>
            </w:tcBorders>
            <w:shd w:val="clear" w:color="000000" w:fill="FFFFFF"/>
            <w:vAlign w:val="center"/>
            <w:hideMark/>
          </w:tcPr>
          <w:p w14:paraId="5FEF19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245" w:type="dxa"/>
            <w:tcBorders>
              <w:top w:val="nil"/>
              <w:left w:val="nil"/>
              <w:bottom w:val="single" w:sz="4" w:space="0" w:color="auto"/>
              <w:right w:val="single" w:sz="4" w:space="0" w:color="auto"/>
            </w:tcBorders>
            <w:shd w:val="clear" w:color="000000" w:fill="FFFFFF"/>
            <w:vAlign w:val="center"/>
            <w:hideMark/>
          </w:tcPr>
          <w:p w14:paraId="5FEF19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306" w:type="dxa"/>
            <w:tcBorders>
              <w:top w:val="nil"/>
              <w:left w:val="nil"/>
              <w:bottom w:val="single" w:sz="4" w:space="0" w:color="auto"/>
              <w:right w:val="single" w:sz="4" w:space="0" w:color="auto"/>
            </w:tcBorders>
            <w:shd w:val="clear" w:color="000000" w:fill="FFFFFF"/>
            <w:vAlign w:val="center"/>
            <w:hideMark/>
          </w:tcPr>
          <w:p w14:paraId="5FEF19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275" w:type="dxa"/>
            <w:tcBorders>
              <w:top w:val="nil"/>
              <w:left w:val="nil"/>
              <w:bottom w:val="single" w:sz="4" w:space="0" w:color="auto"/>
              <w:right w:val="single" w:sz="4" w:space="0" w:color="auto"/>
            </w:tcBorders>
            <w:shd w:val="clear" w:color="000000" w:fill="FFFFFF"/>
            <w:vAlign w:val="center"/>
            <w:hideMark/>
          </w:tcPr>
          <w:p w14:paraId="5FEF19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306" w:type="dxa"/>
            <w:tcBorders>
              <w:top w:val="nil"/>
              <w:left w:val="nil"/>
              <w:bottom w:val="single" w:sz="4" w:space="0" w:color="auto"/>
              <w:right w:val="single" w:sz="4" w:space="0" w:color="auto"/>
            </w:tcBorders>
            <w:shd w:val="clear" w:color="000000" w:fill="FFFFFF"/>
            <w:vAlign w:val="center"/>
            <w:hideMark/>
          </w:tcPr>
          <w:p w14:paraId="5FEF19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245" w:type="dxa"/>
            <w:tcBorders>
              <w:top w:val="nil"/>
              <w:left w:val="nil"/>
              <w:bottom w:val="single" w:sz="4" w:space="0" w:color="auto"/>
              <w:right w:val="single" w:sz="4" w:space="0" w:color="auto"/>
            </w:tcBorders>
            <w:shd w:val="clear" w:color="000000" w:fill="FFFFFF"/>
            <w:vAlign w:val="center"/>
            <w:hideMark/>
          </w:tcPr>
          <w:p w14:paraId="5FEF19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275" w:type="dxa"/>
            <w:tcBorders>
              <w:top w:val="nil"/>
              <w:left w:val="nil"/>
              <w:bottom w:val="single" w:sz="4" w:space="0" w:color="auto"/>
              <w:right w:val="single" w:sz="4" w:space="0" w:color="auto"/>
            </w:tcBorders>
            <w:shd w:val="clear" w:color="000000" w:fill="FFFFFF"/>
            <w:vAlign w:val="center"/>
            <w:hideMark/>
          </w:tcPr>
          <w:p w14:paraId="5FEF19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9E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D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1.1.17</w:t>
            </w:r>
          </w:p>
        </w:tc>
        <w:tc>
          <w:tcPr>
            <w:tcW w:w="1301" w:type="dxa"/>
            <w:tcBorders>
              <w:top w:val="nil"/>
              <w:left w:val="nil"/>
              <w:bottom w:val="single" w:sz="4" w:space="0" w:color="auto"/>
              <w:right w:val="single" w:sz="4" w:space="0" w:color="auto"/>
            </w:tcBorders>
            <w:shd w:val="clear" w:color="auto" w:fill="auto"/>
            <w:vAlign w:val="center"/>
            <w:hideMark/>
          </w:tcPr>
          <w:p w14:paraId="5FEF19D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Trajnime të oficerëve të pikave kufitare rreth tendencave të radikalizimit, metodave të rekrutimit, radikalizimit dhe mekanizmave të referimit të problematikave të lidhura me këto fenomene.</w:t>
            </w:r>
          </w:p>
        </w:tc>
        <w:tc>
          <w:tcPr>
            <w:tcW w:w="498" w:type="dxa"/>
            <w:tcBorders>
              <w:top w:val="nil"/>
              <w:left w:val="nil"/>
              <w:bottom w:val="single" w:sz="4" w:space="0" w:color="auto"/>
              <w:right w:val="single" w:sz="4" w:space="0" w:color="auto"/>
            </w:tcBorders>
            <w:shd w:val="clear" w:color="000000" w:fill="FFFFFF"/>
            <w:vAlign w:val="center"/>
            <w:hideMark/>
          </w:tcPr>
          <w:p w14:paraId="5FEF19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Policia e Shtetit, Kodi i Programit 03140</w:t>
            </w:r>
            <w:r w:rsidRPr="00795698">
              <w:rPr>
                <w:rFonts w:ascii="Arial" w:hAnsi="Arial" w:cs="Arial"/>
                <w:color w:val="000000"/>
                <w:sz w:val="6"/>
                <w:szCs w:val="6"/>
                <w:lang w:eastAsia="sq-AL"/>
              </w:rPr>
              <w:br/>
              <w:t>Kodi i produktit buxhetor 91604AK</w:t>
            </w:r>
          </w:p>
        </w:tc>
        <w:tc>
          <w:tcPr>
            <w:tcW w:w="498" w:type="dxa"/>
            <w:tcBorders>
              <w:top w:val="nil"/>
              <w:left w:val="nil"/>
              <w:bottom w:val="single" w:sz="4" w:space="0" w:color="auto"/>
              <w:right w:val="single" w:sz="4" w:space="0" w:color="auto"/>
            </w:tcBorders>
            <w:shd w:val="clear" w:color="000000" w:fill="FFFFFF"/>
            <w:vAlign w:val="center"/>
            <w:hideMark/>
          </w:tcPr>
          <w:p w14:paraId="5FEF19D6" w14:textId="3A438076"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Policia e Shtetit</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br/>
              <w:t xml:space="preserve"> </w:t>
            </w:r>
          </w:p>
        </w:tc>
        <w:tc>
          <w:tcPr>
            <w:tcW w:w="578" w:type="dxa"/>
            <w:tcBorders>
              <w:top w:val="nil"/>
              <w:left w:val="nil"/>
              <w:bottom w:val="single" w:sz="4" w:space="0" w:color="auto"/>
              <w:right w:val="single" w:sz="4" w:space="0" w:color="auto"/>
            </w:tcBorders>
            <w:shd w:val="clear" w:color="000000" w:fill="FFFFFF"/>
            <w:vAlign w:val="center"/>
            <w:hideMark/>
          </w:tcPr>
          <w:p w14:paraId="5FEF19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Drejtoritë Vendore të Kufirit dhe Migracionit; 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9D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D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265,640</w:t>
            </w:r>
          </w:p>
        </w:tc>
        <w:tc>
          <w:tcPr>
            <w:tcW w:w="275" w:type="dxa"/>
            <w:tcBorders>
              <w:top w:val="nil"/>
              <w:left w:val="nil"/>
              <w:bottom w:val="single" w:sz="4" w:space="0" w:color="auto"/>
              <w:right w:val="single" w:sz="4" w:space="0" w:color="auto"/>
            </w:tcBorders>
            <w:shd w:val="clear" w:color="000000" w:fill="FFFFFF"/>
            <w:vAlign w:val="center"/>
            <w:hideMark/>
          </w:tcPr>
          <w:p w14:paraId="5FEF19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265,640</w:t>
            </w:r>
          </w:p>
        </w:tc>
        <w:tc>
          <w:tcPr>
            <w:tcW w:w="306" w:type="dxa"/>
            <w:tcBorders>
              <w:top w:val="nil"/>
              <w:left w:val="nil"/>
              <w:bottom w:val="single" w:sz="4" w:space="0" w:color="auto"/>
              <w:right w:val="single" w:sz="4" w:space="0" w:color="auto"/>
            </w:tcBorders>
            <w:shd w:val="clear" w:color="000000" w:fill="FFFFFF"/>
            <w:vAlign w:val="center"/>
            <w:hideMark/>
          </w:tcPr>
          <w:p w14:paraId="5FEF19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265,640</w:t>
            </w:r>
          </w:p>
        </w:tc>
        <w:tc>
          <w:tcPr>
            <w:tcW w:w="245" w:type="dxa"/>
            <w:tcBorders>
              <w:top w:val="nil"/>
              <w:left w:val="nil"/>
              <w:bottom w:val="single" w:sz="4" w:space="0" w:color="auto"/>
              <w:right w:val="single" w:sz="4" w:space="0" w:color="auto"/>
            </w:tcBorders>
            <w:shd w:val="clear" w:color="000000" w:fill="FFFFFF"/>
            <w:vAlign w:val="center"/>
            <w:hideMark/>
          </w:tcPr>
          <w:p w14:paraId="5FEF19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265,640</w:t>
            </w:r>
          </w:p>
        </w:tc>
        <w:tc>
          <w:tcPr>
            <w:tcW w:w="306" w:type="dxa"/>
            <w:tcBorders>
              <w:top w:val="nil"/>
              <w:left w:val="nil"/>
              <w:bottom w:val="single" w:sz="4" w:space="0" w:color="auto"/>
              <w:right w:val="single" w:sz="4" w:space="0" w:color="auto"/>
            </w:tcBorders>
            <w:shd w:val="clear" w:color="000000" w:fill="FFFFFF"/>
            <w:vAlign w:val="center"/>
            <w:hideMark/>
          </w:tcPr>
          <w:p w14:paraId="5FEF19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265,640</w:t>
            </w:r>
          </w:p>
        </w:tc>
        <w:tc>
          <w:tcPr>
            <w:tcW w:w="245" w:type="dxa"/>
            <w:tcBorders>
              <w:top w:val="nil"/>
              <w:left w:val="nil"/>
              <w:bottom w:val="single" w:sz="4" w:space="0" w:color="auto"/>
              <w:right w:val="single" w:sz="4" w:space="0" w:color="auto"/>
            </w:tcBorders>
            <w:shd w:val="clear" w:color="000000" w:fill="FFFFFF"/>
            <w:vAlign w:val="center"/>
            <w:hideMark/>
          </w:tcPr>
          <w:p w14:paraId="5FEF19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265,640</w:t>
            </w:r>
          </w:p>
        </w:tc>
        <w:tc>
          <w:tcPr>
            <w:tcW w:w="306" w:type="dxa"/>
            <w:tcBorders>
              <w:top w:val="nil"/>
              <w:left w:val="nil"/>
              <w:bottom w:val="single" w:sz="4" w:space="0" w:color="auto"/>
              <w:right w:val="single" w:sz="4" w:space="0" w:color="auto"/>
            </w:tcBorders>
            <w:shd w:val="clear" w:color="000000" w:fill="FFFFFF"/>
            <w:vAlign w:val="center"/>
            <w:hideMark/>
          </w:tcPr>
          <w:p w14:paraId="5FEF19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796,920</w:t>
            </w:r>
          </w:p>
        </w:tc>
        <w:tc>
          <w:tcPr>
            <w:tcW w:w="275" w:type="dxa"/>
            <w:tcBorders>
              <w:top w:val="nil"/>
              <w:left w:val="nil"/>
              <w:bottom w:val="single" w:sz="4" w:space="0" w:color="auto"/>
              <w:right w:val="single" w:sz="4" w:space="0" w:color="auto"/>
            </w:tcBorders>
            <w:shd w:val="clear" w:color="000000" w:fill="FFFFFF"/>
            <w:vAlign w:val="center"/>
            <w:hideMark/>
          </w:tcPr>
          <w:p w14:paraId="5FEF19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796,920</w:t>
            </w:r>
          </w:p>
        </w:tc>
        <w:tc>
          <w:tcPr>
            <w:tcW w:w="306" w:type="dxa"/>
            <w:tcBorders>
              <w:top w:val="nil"/>
              <w:left w:val="nil"/>
              <w:bottom w:val="single" w:sz="4" w:space="0" w:color="auto"/>
              <w:right w:val="single" w:sz="4" w:space="0" w:color="auto"/>
            </w:tcBorders>
            <w:shd w:val="clear" w:color="000000" w:fill="FFFFFF"/>
            <w:vAlign w:val="center"/>
            <w:hideMark/>
          </w:tcPr>
          <w:p w14:paraId="5FEF19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796,920</w:t>
            </w:r>
          </w:p>
        </w:tc>
        <w:tc>
          <w:tcPr>
            <w:tcW w:w="245" w:type="dxa"/>
            <w:tcBorders>
              <w:top w:val="nil"/>
              <w:left w:val="nil"/>
              <w:bottom w:val="single" w:sz="4" w:space="0" w:color="auto"/>
              <w:right w:val="single" w:sz="4" w:space="0" w:color="auto"/>
            </w:tcBorders>
            <w:shd w:val="clear" w:color="000000" w:fill="FFFFFF"/>
            <w:vAlign w:val="center"/>
            <w:hideMark/>
          </w:tcPr>
          <w:p w14:paraId="5FEF19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796,920</w:t>
            </w:r>
          </w:p>
        </w:tc>
        <w:tc>
          <w:tcPr>
            <w:tcW w:w="275" w:type="dxa"/>
            <w:tcBorders>
              <w:top w:val="nil"/>
              <w:left w:val="nil"/>
              <w:bottom w:val="single" w:sz="4" w:space="0" w:color="auto"/>
              <w:right w:val="single" w:sz="4" w:space="0" w:color="auto"/>
            </w:tcBorders>
            <w:shd w:val="clear" w:color="000000" w:fill="FFFFFF"/>
            <w:vAlign w:val="center"/>
            <w:hideMark/>
          </w:tcPr>
          <w:p w14:paraId="5FEF19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9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9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9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9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0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9E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1.1.18</w:t>
            </w:r>
          </w:p>
        </w:tc>
        <w:tc>
          <w:tcPr>
            <w:tcW w:w="1301" w:type="dxa"/>
            <w:tcBorders>
              <w:top w:val="nil"/>
              <w:left w:val="nil"/>
              <w:bottom w:val="single" w:sz="4" w:space="0" w:color="auto"/>
              <w:right w:val="single" w:sz="4" w:space="0" w:color="auto"/>
            </w:tcBorders>
            <w:shd w:val="clear" w:color="auto" w:fill="auto"/>
            <w:vAlign w:val="center"/>
            <w:hideMark/>
          </w:tcPr>
          <w:p w14:paraId="5FEF19F0" w14:textId="719F7615"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Përgatitja e raporteve të vlerësimit për ecurinë e procesit të </w:t>
            </w:r>
            <w:r w:rsidR="00F53E58" w:rsidRPr="00795698">
              <w:rPr>
                <w:rFonts w:ascii="Arial" w:hAnsi="Arial" w:cs="Arial"/>
                <w:color w:val="000000"/>
                <w:sz w:val="6"/>
                <w:szCs w:val="6"/>
                <w:lang w:eastAsia="sq-AL"/>
              </w:rPr>
              <w:t>ri</w:t>
            </w:r>
            <w:r w:rsidRPr="00795698">
              <w:rPr>
                <w:rFonts w:ascii="Arial" w:hAnsi="Arial" w:cs="Arial"/>
                <w:color w:val="000000"/>
                <w:sz w:val="6"/>
                <w:szCs w:val="6"/>
                <w:lang w:eastAsia="sq-AL"/>
              </w:rPr>
              <w:t>integrimit të familjeve të kthyera nga zonat e rrezikut.</w:t>
            </w:r>
          </w:p>
        </w:tc>
        <w:tc>
          <w:tcPr>
            <w:tcW w:w="498" w:type="dxa"/>
            <w:tcBorders>
              <w:top w:val="nil"/>
              <w:left w:val="nil"/>
              <w:bottom w:val="single" w:sz="4" w:space="0" w:color="auto"/>
              <w:right w:val="single" w:sz="4" w:space="0" w:color="auto"/>
            </w:tcBorders>
            <w:shd w:val="clear" w:color="000000" w:fill="FFFFFF"/>
            <w:vAlign w:val="center"/>
            <w:hideMark/>
          </w:tcPr>
          <w:p w14:paraId="5FEF19F1" w14:textId="114DE0AC"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9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9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Policia e Shtetit</w:t>
            </w:r>
          </w:p>
        </w:tc>
        <w:tc>
          <w:tcPr>
            <w:tcW w:w="207" w:type="dxa"/>
            <w:tcBorders>
              <w:top w:val="nil"/>
              <w:left w:val="nil"/>
              <w:bottom w:val="single" w:sz="4" w:space="0" w:color="auto"/>
              <w:right w:val="single" w:sz="4" w:space="0" w:color="auto"/>
            </w:tcBorders>
            <w:shd w:val="clear" w:color="auto" w:fill="auto"/>
            <w:vAlign w:val="center"/>
            <w:hideMark/>
          </w:tcPr>
          <w:p w14:paraId="5FEF19F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9F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9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75" w:type="dxa"/>
            <w:tcBorders>
              <w:top w:val="nil"/>
              <w:left w:val="nil"/>
              <w:bottom w:val="single" w:sz="4" w:space="0" w:color="auto"/>
              <w:right w:val="single" w:sz="4" w:space="0" w:color="auto"/>
            </w:tcBorders>
            <w:shd w:val="clear" w:color="000000" w:fill="FFFFFF"/>
            <w:vAlign w:val="center"/>
            <w:hideMark/>
          </w:tcPr>
          <w:p w14:paraId="5FEF19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9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45" w:type="dxa"/>
            <w:tcBorders>
              <w:top w:val="nil"/>
              <w:left w:val="nil"/>
              <w:bottom w:val="single" w:sz="4" w:space="0" w:color="auto"/>
              <w:right w:val="single" w:sz="4" w:space="0" w:color="auto"/>
            </w:tcBorders>
            <w:shd w:val="clear" w:color="000000" w:fill="FFFFFF"/>
            <w:vAlign w:val="center"/>
            <w:hideMark/>
          </w:tcPr>
          <w:p w14:paraId="5FEF19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9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9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245" w:type="dxa"/>
            <w:tcBorders>
              <w:top w:val="nil"/>
              <w:left w:val="nil"/>
              <w:bottom w:val="single" w:sz="4" w:space="0" w:color="auto"/>
              <w:right w:val="single" w:sz="4" w:space="0" w:color="auto"/>
            </w:tcBorders>
            <w:shd w:val="clear" w:color="000000" w:fill="FFFFFF"/>
            <w:vAlign w:val="center"/>
            <w:hideMark/>
          </w:tcPr>
          <w:p w14:paraId="5FEF19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9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75,890</w:t>
            </w:r>
          </w:p>
        </w:tc>
        <w:tc>
          <w:tcPr>
            <w:tcW w:w="306" w:type="dxa"/>
            <w:tcBorders>
              <w:top w:val="nil"/>
              <w:left w:val="nil"/>
              <w:bottom w:val="single" w:sz="4" w:space="0" w:color="auto"/>
              <w:right w:val="single" w:sz="4" w:space="0" w:color="auto"/>
            </w:tcBorders>
            <w:shd w:val="clear" w:color="000000" w:fill="FFFFFF"/>
            <w:vAlign w:val="center"/>
            <w:hideMark/>
          </w:tcPr>
          <w:p w14:paraId="5FEF19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75" w:type="dxa"/>
            <w:tcBorders>
              <w:top w:val="nil"/>
              <w:left w:val="nil"/>
              <w:bottom w:val="single" w:sz="4" w:space="0" w:color="auto"/>
              <w:right w:val="single" w:sz="4" w:space="0" w:color="auto"/>
            </w:tcBorders>
            <w:shd w:val="clear" w:color="000000" w:fill="FFFFFF"/>
            <w:vAlign w:val="center"/>
            <w:hideMark/>
          </w:tcPr>
          <w:p w14:paraId="5FEF1A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306" w:type="dxa"/>
            <w:tcBorders>
              <w:top w:val="nil"/>
              <w:left w:val="nil"/>
              <w:bottom w:val="single" w:sz="4" w:space="0" w:color="auto"/>
              <w:right w:val="single" w:sz="4" w:space="0" w:color="auto"/>
            </w:tcBorders>
            <w:shd w:val="clear" w:color="000000" w:fill="FFFFFF"/>
            <w:vAlign w:val="center"/>
            <w:hideMark/>
          </w:tcPr>
          <w:p w14:paraId="5FEF1A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45" w:type="dxa"/>
            <w:tcBorders>
              <w:top w:val="nil"/>
              <w:left w:val="nil"/>
              <w:bottom w:val="single" w:sz="4" w:space="0" w:color="auto"/>
              <w:right w:val="single" w:sz="4" w:space="0" w:color="auto"/>
            </w:tcBorders>
            <w:shd w:val="clear" w:color="000000" w:fill="FFFFFF"/>
            <w:vAlign w:val="center"/>
            <w:hideMark/>
          </w:tcPr>
          <w:p w14:paraId="5FEF1A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227,670</w:t>
            </w:r>
          </w:p>
        </w:tc>
        <w:tc>
          <w:tcPr>
            <w:tcW w:w="275" w:type="dxa"/>
            <w:tcBorders>
              <w:top w:val="nil"/>
              <w:left w:val="nil"/>
              <w:bottom w:val="single" w:sz="4" w:space="0" w:color="auto"/>
              <w:right w:val="single" w:sz="4" w:space="0" w:color="auto"/>
            </w:tcBorders>
            <w:shd w:val="clear" w:color="000000" w:fill="FFFFFF"/>
            <w:vAlign w:val="center"/>
            <w:hideMark/>
          </w:tcPr>
          <w:p w14:paraId="5FEF1A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2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0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1.1.19</w:t>
            </w:r>
          </w:p>
        </w:tc>
        <w:tc>
          <w:tcPr>
            <w:tcW w:w="1301" w:type="dxa"/>
            <w:tcBorders>
              <w:top w:val="nil"/>
              <w:left w:val="nil"/>
              <w:bottom w:val="single" w:sz="4" w:space="0" w:color="auto"/>
              <w:right w:val="single" w:sz="4" w:space="0" w:color="auto"/>
            </w:tcBorders>
            <w:shd w:val="clear" w:color="auto" w:fill="auto"/>
            <w:vAlign w:val="center"/>
            <w:hideMark/>
          </w:tcPr>
          <w:p w14:paraId="5FEF1A0C"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Zhvillimi i konceptit të koordinatorëve rajonalë duke përcaktuar përgjegjësitë e tyre, procedurat dhe formatet për raportim me qëllim ngritjen dhe fuqizimin e pozicionit të koordinatorëve rajonalë për çështje të ekstremizmit të dhunshëm dhe radikalizmit në komisariatet e policisë, NJVV-të, në të gjithë territorin. </w:t>
            </w:r>
          </w:p>
        </w:tc>
        <w:tc>
          <w:tcPr>
            <w:tcW w:w="498" w:type="dxa"/>
            <w:tcBorders>
              <w:top w:val="nil"/>
              <w:left w:val="nil"/>
              <w:bottom w:val="single" w:sz="4" w:space="0" w:color="auto"/>
              <w:right w:val="single" w:sz="4" w:space="0" w:color="auto"/>
            </w:tcBorders>
            <w:shd w:val="clear" w:color="000000" w:fill="FFFFFF"/>
            <w:vAlign w:val="center"/>
            <w:hideMark/>
          </w:tcPr>
          <w:p w14:paraId="5FEF1A0D" w14:textId="62AC43C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A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A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MB/Policia e Shtetit/AMVV; NJVV;Prefekturat</w:t>
            </w:r>
          </w:p>
        </w:tc>
        <w:tc>
          <w:tcPr>
            <w:tcW w:w="207" w:type="dxa"/>
            <w:tcBorders>
              <w:top w:val="nil"/>
              <w:left w:val="nil"/>
              <w:bottom w:val="single" w:sz="4" w:space="0" w:color="auto"/>
              <w:right w:val="single" w:sz="4" w:space="0" w:color="auto"/>
            </w:tcBorders>
            <w:shd w:val="clear" w:color="auto" w:fill="auto"/>
            <w:vAlign w:val="center"/>
            <w:hideMark/>
          </w:tcPr>
          <w:p w14:paraId="5FEF1A1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1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A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275" w:type="dxa"/>
            <w:tcBorders>
              <w:top w:val="nil"/>
              <w:left w:val="nil"/>
              <w:bottom w:val="single" w:sz="4" w:space="0" w:color="auto"/>
              <w:right w:val="single" w:sz="4" w:space="0" w:color="auto"/>
            </w:tcBorders>
            <w:shd w:val="clear" w:color="000000" w:fill="FFFFFF"/>
            <w:vAlign w:val="center"/>
            <w:hideMark/>
          </w:tcPr>
          <w:p w14:paraId="5FEF1A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306" w:type="dxa"/>
            <w:tcBorders>
              <w:top w:val="nil"/>
              <w:left w:val="nil"/>
              <w:bottom w:val="single" w:sz="4" w:space="0" w:color="auto"/>
              <w:right w:val="single" w:sz="4" w:space="0" w:color="auto"/>
            </w:tcBorders>
            <w:shd w:val="clear" w:color="000000" w:fill="FFFFFF"/>
            <w:vAlign w:val="center"/>
            <w:hideMark/>
          </w:tcPr>
          <w:p w14:paraId="5FEF1A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245" w:type="dxa"/>
            <w:tcBorders>
              <w:top w:val="nil"/>
              <w:left w:val="nil"/>
              <w:bottom w:val="single" w:sz="4" w:space="0" w:color="auto"/>
              <w:right w:val="single" w:sz="4" w:space="0" w:color="auto"/>
            </w:tcBorders>
            <w:shd w:val="clear" w:color="000000" w:fill="FFFFFF"/>
            <w:vAlign w:val="center"/>
            <w:hideMark/>
          </w:tcPr>
          <w:p w14:paraId="5FEF1A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306" w:type="dxa"/>
            <w:tcBorders>
              <w:top w:val="nil"/>
              <w:left w:val="nil"/>
              <w:bottom w:val="single" w:sz="4" w:space="0" w:color="auto"/>
              <w:right w:val="single" w:sz="4" w:space="0" w:color="auto"/>
            </w:tcBorders>
            <w:shd w:val="clear" w:color="000000" w:fill="FFFFFF"/>
            <w:vAlign w:val="center"/>
            <w:hideMark/>
          </w:tcPr>
          <w:p w14:paraId="5FEF1A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245" w:type="dxa"/>
            <w:tcBorders>
              <w:top w:val="nil"/>
              <w:left w:val="nil"/>
              <w:bottom w:val="single" w:sz="4" w:space="0" w:color="auto"/>
              <w:right w:val="single" w:sz="4" w:space="0" w:color="auto"/>
            </w:tcBorders>
            <w:shd w:val="clear" w:color="000000" w:fill="FFFFFF"/>
            <w:vAlign w:val="center"/>
            <w:hideMark/>
          </w:tcPr>
          <w:p w14:paraId="5FEF1A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189,750</w:t>
            </w:r>
          </w:p>
        </w:tc>
        <w:tc>
          <w:tcPr>
            <w:tcW w:w="306" w:type="dxa"/>
            <w:tcBorders>
              <w:top w:val="nil"/>
              <w:left w:val="nil"/>
              <w:bottom w:val="single" w:sz="4" w:space="0" w:color="auto"/>
              <w:right w:val="single" w:sz="4" w:space="0" w:color="auto"/>
            </w:tcBorders>
            <w:shd w:val="clear" w:color="000000" w:fill="FFFFFF"/>
            <w:vAlign w:val="center"/>
            <w:hideMark/>
          </w:tcPr>
          <w:p w14:paraId="5FEF1A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275" w:type="dxa"/>
            <w:tcBorders>
              <w:top w:val="nil"/>
              <w:left w:val="nil"/>
              <w:bottom w:val="single" w:sz="4" w:space="0" w:color="auto"/>
              <w:right w:val="single" w:sz="4" w:space="0" w:color="auto"/>
            </w:tcBorders>
            <w:shd w:val="clear" w:color="000000" w:fill="FFFFFF"/>
            <w:vAlign w:val="center"/>
            <w:hideMark/>
          </w:tcPr>
          <w:p w14:paraId="5FEF1A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306" w:type="dxa"/>
            <w:tcBorders>
              <w:top w:val="nil"/>
              <w:left w:val="nil"/>
              <w:bottom w:val="single" w:sz="4" w:space="0" w:color="auto"/>
              <w:right w:val="single" w:sz="4" w:space="0" w:color="auto"/>
            </w:tcBorders>
            <w:shd w:val="clear" w:color="000000" w:fill="FFFFFF"/>
            <w:vAlign w:val="center"/>
            <w:hideMark/>
          </w:tcPr>
          <w:p w14:paraId="5FEF1A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245" w:type="dxa"/>
            <w:tcBorders>
              <w:top w:val="nil"/>
              <w:left w:val="nil"/>
              <w:bottom w:val="single" w:sz="4" w:space="0" w:color="auto"/>
              <w:right w:val="single" w:sz="4" w:space="0" w:color="auto"/>
            </w:tcBorders>
            <w:shd w:val="clear" w:color="000000" w:fill="FFFFFF"/>
            <w:vAlign w:val="center"/>
            <w:hideMark/>
          </w:tcPr>
          <w:p w14:paraId="5FEF1A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569,250</w:t>
            </w:r>
          </w:p>
        </w:tc>
        <w:tc>
          <w:tcPr>
            <w:tcW w:w="275" w:type="dxa"/>
            <w:tcBorders>
              <w:top w:val="nil"/>
              <w:left w:val="nil"/>
              <w:bottom w:val="single" w:sz="4" w:space="0" w:color="auto"/>
              <w:right w:val="single" w:sz="4" w:space="0" w:color="auto"/>
            </w:tcBorders>
            <w:shd w:val="clear" w:color="000000" w:fill="FFFFFF"/>
            <w:vAlign w:val="center"/>
            <w:hideMark/>
          </w:tcPr>
          <w:p w14:paraId="5FEF1A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4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2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1.1.20</w:t>
            </w:r>
          </w:p>
        </w:tc>
        <w:tc>
          <w:tcPr>
            <w:tcW w:w="1301" w:type="dxa"/>
            <w:tcBorders>
              <w:top w:val="nil"/>
              <w:left w:val="nil"/>
              <w:bottom w:val="single" w:sz="4" w:space="0" w:color="auto"/>
              <w:right w:val="single" w:sz="4" w:space="0" w:color="auto"/>
            </w:tcBorders>
            <w:shd w:val="clear" w:color="auto" w:fill="auto"/>
            <w:vAlign w:val="center"/>
            <w:hideMark/>
          </w:tcPr>
          <w:p w14:paraId="5FEF1A28" w14:textId="77444DCF"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Bashkëpunim dhe koordinim me strukturat përkatëse me qëllim identifikimin dhe analizën e zonave në rrezik për të kuptuar mënyrat e ndikimit, pikat e dobëta në sistemin e Forcave të Armatosura</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në Republikës së Shqipërisë që çojnë në radikalizëm dhe ekstremizëm të dhunshëm.</w:t>
            </w:r>
          </w:p>
        </w:tc>
        <w:tc>
          <w:tcPr>
            <w:tcW w:w="498" w:type="dxa"/>
            <w:tcBorders>
              <w:top w:val="nil"/>
              <w:left w:val="nil"/>
              <w:bottom w:val="single" w:sz="4" w:space="0" w:color="auto"/>
              <w:right w:val="single" w:sz="4" w:space="0" w:color="auto"/>
            </w:tcBorders>
            <w:shd w:val="clear" w:color="000000" w:fill="FFFFFF"/>
            <w:vAlign w:val="center"/>
            <w:hideMark/>
          </w:tcPr>
          <w:p w14:paraId="5FEF1A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"Mbështetja e Luftimit", 02150</w:t>
            </w:r>
          </w:p>
        </w:tc>
        <w:tc>
          <w:tcPr>
            <w:tcW w:w="498" w:type="dxa"/>
            <w:tcBorders>
              <w:top w:val="nil"/>
              <w:left w:val="nil"/>
              <w:bottom w:val="single" w:sz="4" w:space="0" w:color="auto"/>
              <w:right w:val="single" w:sz="4" w:space="0" w:color="auto"/>
            </w:tcBorders>
            <w:shd w:val="clear" w:color="auto" w:fill="auto"/>
            <w:vAlign w:val="center"/>
            <w:hideMark/>
          </w:tcPr>
          <w:p w14:paraId="5FEF1A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Mbrojtjes</w:t>
            </w:r>
          </w:p>
        </w:tc>
        <w:tc>
          <w:tcPr>
            <w:tcW w:w="578" w:type="dxa"/>
            <w:tcBorders>
              <w:top w:val="nil"/>
              <w:left w:val="nil"/>
              <w:bottom w:val="single" w:sz="4" w:space="0" w:color="auto"/>
              <w:right w:val="single" w:sz="4" w:space="0" w:color="auto"/>
            </w:tcBorders>
            <w:shd w:val="clear" w:color="000000" w:fill="FFFFFF"/>
            <w:vAlign w:val="center"/>
            <w:hideMark/>
          </w:tcPr>
          <w:p w14:paraId="5FEF1A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QKEDH </w:t>
            </w:r>
          </w:p>
        </w:tc>
        <w:tc>
          <w:tcPr>
            <w:tcW w:w="207" w:type="dxa"/>
            <w:tcBorders>
              <w:top w:val="nil"/>
              <w:left w:val="nil"/>
              <w:bottom w:val="single" w:sz="4" w:space="0" w:color="auto"/>
              <w:right w:val="single" w:sz="4" w:space="0" w:color="auto"/>
            </w:tcBorders>
            <w:shd w:val="clear" w:color="auto" w:fill="auto"/>
            <w:vAlign w:val="center"/>
            <w:hideMark/>
          </w:tcPr>
          <w:p w14:paraId="5FEF1A2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2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A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56,920</w:t>
            </w:r>
          </w:p>
        </w:tc>
        <w:tc>
          <w:tcPr>
            <w:tcW w:w="275" w:type="dxa"/>
            <w:tcBorders>
              <w:top w:val="nil"/>
              <w:left w:val="nil"/>
              <w:bottom w:val="single" w:sz="4" w:space="0" w:color="auto"/>
              <w:right w:val="single" w:sz="4" w:space="0" w:color="auto"/>
            </w:tcBorders>
            <w:shd w:val="clear" w:color="000000" w:fill="FFFFFF"/>
            <w:vAlign w:val="center"/>
            <w:hideMark/>
          </w:tcPr>
          <w:p w14:paraId="5FEF1A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56,920</w:t>
            </w:r>
          </w:p>
        </w:tc>
        <w:tc>
          <w:tcPr>
            <w:tcW w:w="306" w:type="dxa"/>
            <w:tcBorders>
              <w:top w:val="nil"/>
              <w:left w:val="nil"/>
              <w:bottom w:val="single" w:sz="4" w:space="0" w:color="auto"/>
              <w:right w:val="single" w:sz="4" w:space="0" w:color="auto"/>
            </w:tcBorders>
            <w:shd w:val="clear" w:color="000000" w:fill="FFFFFF"/>
            <w:vAlign w:val="center"/>
            <w:hideMark/>
          </w:tcPr>
          <w:p w14:paraId="5FEF1A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56,920</w:t>
            </w:r>
          </w:p>
        </w:tc>
        <w:tc>
          <w:tcPr>
            <w:tcW w:w="275" w:type="dxa"/>
            <w:tcBorders>
              <w:top w:val="nil"/>
              <w:left w:val="nil"/>
              <w:bottom w:val="single" w:sz="4" w:space="0" w:color="auto"/>
              <w:right w:val="single" w:sz="4" w:space="0" w:color="auto"/>
            </w:tcBorders>
            <w:shd w:val="clear" w:color="000000" w:fill="FFFFFF"/>
            <w:vAlign w:val="center"/>
            <w:hideMark/>
          </w:tcPr>
          <w:p w14:paraId="5FEF1A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56,920</w:t>
            </w:r>
          </w:p>
        </w:tc>
        <w:tc>
          <w:tcPr>
            <w:tcW w:w="306" w:type="dxa"/>
            <w:tcBorders>
              <w:top w:val="nil"/>
              <w:left w:val="nil"/>
              <w:bottom w:val="single" w:sz="4" w:space="0" w:color="auto"/>
              <w:right w:val="single" w:sz="4" w:space="0" w:color="auto"/>
            </w:tcBorders>
            <w:shd w:val="clear" w:color="000000" w:fill="FFFFFF"/>
            <w:vAlign w:val="center"/>
            <w:hideMark/>
          </w:tcPr>
          <w:p w14:paraId="5FEF1A3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56,920</w:t>
            </w:r>
          </w:p>
        </w:tc>
        <w:tc>
          <w:tcPr>
            <w:tcW w:w="245" w:type="dxa"/>
            <w:tcBorders>
              <w:top w:val="nil"/>
              <w:left w:val="nil"/>
              <w:bottom w:val="single" w:sz="4" w:space="0" w:color="auto"/>
              <w:right w:val="single" w:sz="4" w:space="0" w:color="auto"/>
            </w:tcBorders>
            <w:shd w:val="clear" w:color="000000" w:fill="FFFFFF"/>
            <w:vAlign w:val="center"/>
            <w:hideMark/>
          </w:tcPr>
          <w:p w14:paraId="5FEF1A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56,920</w:t>
            </w:r>
          </w:p>
        </w:tc>
        <w:tc>
          <w:tcPr>
            <w:tcW w:w="275" w:type="dxa"/>
            <w:tcBorders>
              <w:top w:val="nil"/>
              <w:left w:val="nil"/>
              <w:bottom w:val="single" w:sz="4" w:space="0" w:color="auto"/>
              <w:right w:val="single" w:sz="4" w:space="0" w:color="auto"/>
            </w:tcBorders>
            <w:shd w:val="clear" w:color="000000" w:fill="FFFFFF"/>
            <w:vAlign w:val="center"/>
            <w:hideMark/>
          </w:tcPr>
          <w:p w14:paraId="5FEF1A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5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4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1.1.21</w:t>
            </w:r>
          </w:p>
        </w:tc>
        <w:tc>
          <w:tcPr>
            <w:tcW w:w="1301" w:type="dxa"/>
            <w:tcBorders>
              <w:top w:val="nil"/>
              <w:left w:val="nil"/>
              <w:bottom w:val="single" w:sz="4" w:space="0" w:color="auto"/>
              <w:right w:val="single" w:sz="4" w:space="0" w:color="auto"/>
            </w:tcBorders>
            <w:shd w:val="clear" w:color="auto" w:fill="auto"/>
            <w:hideMark/>
          </w:tcPr>
          <w:p w14:paraId="5FEF1A4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Përditësimi i kurrikulës për trajnimin e personelin e Forcave të Armatosura të Republikën e Shqipërisë për format e reja të shfaqjes së ekstremizmit dhe të radikalizimit. </w:t>
            </w:r>
          </w:p>
        </w:tc>
        <w:tc>
          <w:tcPr>
            <w:tcW w:w="498" w:type="dxa"/>
            <w:tcBorders>
              <w:top w:val="nil"/>
              <w:left w:val="nil"/>
              <w:bottom w:val="single" w:sz="4" w:space="0" w:color="auto"/>
              <w:right w:val="single" w:sz="4" w:space="0" w:color="auto"/>
            </w:tcBorders>
            <w:shd w:val="clear" w:color="000000" w:fill="FFFFFF"/>
            <w:vAlign w:val="center"/>
            <w:hideMark/>
          </w:tcPr>
          <w:p w14:paraId="5FEF1A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"Mbështetja e Luftimit", 02150</w:t>
            </w:r>
          </w:p>
        </w:tc>
        <w:tc>
          <w:tcPr>
            <w:tcW w:w="498" w:type="dxa"/>
            <w:tcBorders>
              <w:top w:val="nil"/>
              <w:left w:val="nil"/>
              <w:bottom w:val="single" w:sz="4" w:space="0" w:color="auto"/>
              <w:right w:val="single" w:sz="4" w:space="0" w:color="auto"/>
            </w:tcBorders>
            <w:shd w:val="clear" w:color="000000" w:fill="FFFFFF"/>
            <w:vAlign w:val="center"/>
            <w:hideMark/>
          </w:tcPr>
          <w:p w14:paraId="5FEF1A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Mbrojtjes</w:t>
            </w:r>
          </w:p>
        </w:tc>
        <w:tc>
          <w:tcPr>
            <w:tcW w:w="578" w:type="dxa"/>
            <w:tcBorders>
              <w:top w:val="nil"/>
              <w:left w:val="nil"/>
              <w:bottom w:val="single" w:sz="4" w:space="0" w:color="auto"/>
              <w:right w:val="single" w:sz="4" w:space="0" w:color="auto"/>
            </w:tcBorders>
            <w:shd w:val="clear" w:color="000000" w:fill="FFFFFF"/>
            <w:vAlign w:val="center"/>
            <w:hideMark/>
          </w:tcPr>
          <w:p w14:paraId="5FEF1A47" w14:textId="2F2A26AF"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AISM (</w:t>
            </w:r>
            <w:r w:rsidR="007265E9" w:rsidRPr="00795698">
              <w:rPr>
                <w:rFonts w:ascii="Arial" w:hAnsi="Arial" w:cs="Arial"/>
                <w:color w:val="000000"/>
                <w:sz w:val="6"/>
                <w:szCs w:val="6"/>
                <w:lang w:eastAsia="sq-AL"/>
              </w:rPr>
              <w:t>Agjenc</w:t>
            </w:r>
            <w:r w:rsidRPr="00795698">
              <w:rPr>
                <w:rFonts w:ascii="Arial" w:hAnsi="Arial" w:cs="Arial"/>
                <w:color w:val="000000"/>
                <w:sz w:val="6"/>
                <w:szCs w:val="6"/>
                <w:lang w:eastAsia="sq-AL"/>
              </w:rPr>
              <w:t>ia e Inteligjencës dhe Sigurisë së Mbrojtjes); Policia Ushtarake (PU); QKEDH</w:t>
            </w:r>
          </w:p>
        </w:tc>
        <w:tc>
          <w:tcPr>
            <w:tcW w:w="207" w:type="dxa"/>
            <w:tcBorders>
              <w:top w:val="nil"/>
              <w:left w:val="nil"/>
              <w:bottom w:val="single" w:sz="4" w:space="0" w:color="auto"/>
              <w:right w:val="single" w:sz="4" w:space="0" w:color="auto"/>
            </w:tcBorders>
            <w:shd w:val="clear" w:color="auto" w:fill="auto"/>
            <w:vAlign w:val="center"/>
            <w:hideMark/>
          </w:tcPr>
          <w:p w14:paraId="5FEF1A4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4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A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275" w:type="dxa"/>
            <w:tcBorders>
              <w:top w:val="nil"/>
              <w:left w:val="nil"/>
              <w:bottom w:val="single" w:sz="4" w:space="0" w:color="auto"/>
              <w:right w:val="single" w:sz="4" w:space="0" w:color="auto"/>
            </w:tcBorders>
            <w:shd w:val="clear" w:color="000000" w:fill="FFFFFF"/>
            <w:vAlign w:val="center"/>
            <w:hideMark/>
          </w:tcPr>
          <w:p w14:paraId="5FEF1A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306" w:type="dxa"/>
            <w:tcBorders>
              <w:top w:val="nil"/>
              <w:left w:val="nil"/>
              <w:bottom w:val="single" w:sz="4" w:space="0" w:color="auto"/>
              <w:right w:val="single" w:sz="4" w:space="0" w:color="auto"/>
            </w:tcBorders>
            <w:shd w:val="clear" w:color="000000" w:fill="FFFFFF"/>
            <w:vAlign w:val="center"/>
            <w:hideMark/>
          </w:tcPr>
          <w:p w14:paraId="5FEF1A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245" w:type="dxa"/>
            <w:tcBorders>
              <w:top w:val="nil"/>
              <w:left w:val="nil"/>
              <w:bottom w:val="single" w:sz="4" w:space="0" w:color="auto"/>
              <w:right w:val="single" w:sz="4" w:space="0" w:color="auto"/>
            </w:tcBorders>
            <w:shd w:val="clear" w:color="000000" w:fill="FFFFFF"/>
            <w:vAlign w:val="center"/>
            <w:hideMark/>
          </w:tcPr>
          <w:p w14:paraId="5FEF1A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306" w:type="dxa"/>
            <w:tcBorders>
              <w:top w:val="nil"/>
              <w:left w:val="nil"/>
              <w:bottom w:val="single" w:sz="4" w:space="0" w:color="auto"/>
              <w:right w:val="single" w:sz="4" w:space="0" w:color="auto"/>
            </w:tcBorders>
            <w:shd w:val="clear" w:color="000000" w:fill="FFFFFF"/>
            <w:vAlign w:val="center"/>
            <w:hideMark/>
          </w:tcPr>
          <w:p w14:paraId="5FEF1A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245" w:type="dxa"/>
            <w:tcBorders>
              <w:top w:val="nil"/>
              <w:left w:val="nil"/>
              <w:bottom w:val="single" w:sz="4" w:space="0" w:color="auto"/>
              <w:right w:val="single" w:sz="4" w:space="0" w:color="auto"/>
            </w:tcBorders>
            <w:shd w:val="clear" w:color="000000" w:fill="FFFFFF"/>
            <w:vAlign w:val="center"/>
            <w:hideMark/>
          </w:tcPr>
          <w:p w14:paraId="5FEF1A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306" w:type="dxa"/>
            <w:tcBorders>
              <w:top w:val="nil"/>
              <w:left w:val="nil"/>
              <w:bottom w:val="single" w:sz="4" w:space="0" w:color="auto"/>
              <w:right w:val="single" w:sz="4" w:space="0" w:color="auto"/>
            </w:tcBorders>
            <w:shd w:val="clear" w:color="000000" w:fill="FFFFFF"/>
            <w:vAlign w:val="center"/>
            <w:hideMark/>
          </w:tcPr>
          <w:p w14:paraId="5FEF1A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75" w:type="dxa"/>
            <w:tcBorders>
              <w:top w:val="nil"/>
              <w:left w:val="nil"/>
              <w:bottom w:val="single" w:sz="4" w:space="0" w:color="auto"/>
              <w:right w:val="single" w:sz="4" w:space="0" w:color="auto"/>
            </w:tcBorders>
            <w:shd w:val="clear" w:color="000000" w:fill="FFFFFF"/>
            <w:vAlign w:val="center"/>
            <w:hideMark/>
          </w:tcPr>
          <w:p w14:paraId="5FEF1A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306" w:type="dxa"/>
            <w:tcBorders>
              <w:top w:val="nil"/>
              <w:left w:val="nil"/>
              <w:bottom w:val="single" w:sz="4" w:space="0" w:color="auto"/>
              <w:right w:val="single" w:sz="4" w:space="0" w:color="auto"/>
            </w:tcBorders>
            <w:shd w:val="clear" w:color="000000" w:fill="FFFFFF"/>
            <w:vAlign w:val="center"/>
            <w:hideMark/>
          </w:tcPr>
          <w:p w14:paraId="5FEF1A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45" w:type="dxa"/>
            <w:tcBorders>
              <w:top w:val="nil"/>
              <w:left w:val="nil"/>
              <w:bottom w:val="single" w:sz="4" w:space="0" w:color="auto"/>
              <w:right w:val="single" w:sz="4" w:space="0" w:color="auto"/>
            </w:tcBorders>
            <w:shd w:val="clear" w:color="000000" w:fill="FFFFFF"/>
            <w:vAlign w:val="center"/>
            <w:hideMark/>
          </w:tcPr>
          <w:p w14:paraId="5FEF1A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75" w:type="dxa"/>
            <w:tcBorders>
              <w:top w:val="nil"/>
              <w:left w:val="nil"/>
              <w:bottom w:val="single" w:sz="4" w:space="0" w:color="auto"/>
              <w:right w:val="single" w:sz="4" w:space="0" w:color="auto"/>
            </w:tcBorders>
            <w:shd w:val="clear" w:color="000000" w:fill="FFFFFF"/>
            <w:vAlign w:val="center"/>
            <w:hideMark/>
          </w:tcPr>
          <w:p w14:paraId="5FEF1A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7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5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1.1.22</w:t>
            </w:r>
          </w:p>
        </w:tc>
        <w:tc>
          <w:tcPr>
            <w:tcW w:w="1301" w:type="dxa"/>
            <w:tcBorders>
              <w:top w:val="nil"/>
              <w:left w:val="nil"/>
              <w:bottom w:val="single" w:sz="4" w:space="0" w:color="auto"/>
              <w:right w:val="single" w:sz="4" w:space="0" w:color="auto"/>
            </w:tcBorders>
            <w:shd w:val="clear" w:color="auto" w:fill="auto"/>
            <w:hideMark/>
          </w:tcPr>
          <w:p w14:paraId="5FEF1A60" w14:textId="501ABC52"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Kryerja e vlerësimit të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kapaciteteve në mjediset shkollore me qëllim identifikimin e rasteve të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shfaqjes së ekstremizmit të dhunshëm. </w:t>
            </w:r>
          </w:p>
        </w:tc>
        <w:tc>
          <w:tcPr>
            <w:tcW w:w="498" w:type="dxa"/>
            <w:tcBorders>
              <w:top w:val="nil"/>
              <w:left w:val="nil"/>
              <w:bottom w:val="single" w:sz="4" w:space="0" w:color="auto"/>
              <w:right w:val="single" w:sz="4" w:space="0" w:color="auto"/>
            </w:tcBorders>
            <w:shd w:val="clear" w:color="000000" w:fill="FFFFFF"/>
            <w:vAlign w:val="center"/>
            <w:hideMark/>
          </w:tcPr>
          <w:p w14:paraId="5FEF1A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 Arsimi Bazë", Kodi i Progamit Buxhetor 09120, Kodi i Produktit 91103AF</w:t>
            </w:r>
          </w:p>
        </w:tc>
        <w:tc>
          <w:tcPr>
            <w:tcW w:w="498" w:type="dxa"/>
            <w:tcBorders>
              <w:top w:val="nil"/>
              <w:left w:val="nil"/>
              <w:bottom w:val="single" w:sz="4" w:space="0" w:color="auto"/>
              <w:right w:val="single" w:sz="4" w:space="0" w:color="auto"/>
            </w:tcBorders>
            <w:shd w:val="clear" w:color="000000" w:fill="FFFFFF"/>
            <w:vAlign w:val="center"/>
            <w:hideMark/>
          </w:tcPr>
          <w:p w14:paraId="5FEF1A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MAS </w:t>
            </w:r>
          </w:p>
        </w:tc>
        <w:tc>
          <w:tcPr>
            <w:tcW w:w="578" w:type="dxa"/>
            <w:tcBorders>
              <w:top w:val="nil"/>
              <w:left w:val="nil"/>
              <w:bottom w:val="single" w:sz="4" w:space="0" w:color="auto"/>
              <w:right w:val="single" w:sz="4" w:space="0" w:color="auto"/>
            </w:tcBorders>
            <w:shd w:val="clear" w:color="000000" w:fill="FFFFFF"/>
            <w:vAlign w:val="center"/>
            <w:hideMark/>
          </w:tcPr>
          <w:p w14:paraId="5FEF1A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ASCAP; QKEDH; Donatorë; </w:t>
            </w:r>
          </w:p>
        </w:tc>
        <w:tc>
          <w:tcPr>
            <w:tcW w:w="207" w:type="dxa"/>
            <w:tcBorders>
              <w:top w:val="nil"/>
              <w:left w:val="nil"/>
              <w:bottom w:val="single" w:sz="4" w:space="0" w:color="auto"/>
              <w:right w:val="single" w:sz="4" w:space="0" w:color="auto"/>
            </w:tcBorders>
            <w:shd w:val="clear" w:color="auto" w:fill="auto"/>
            <w:vAlign w:val="center"/>
            <w:hideMark/>
          </w:tcPr>
          <w:p w14:paraId="5FEF1A6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6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2022</w:t>
            </w:r>
          </w:p>
        </w:tc>
        <w:tc>
          <w:tcPr>
            <w:tcW w:w="306" w:type="dxa"/>
            <w:tcBorders>
              <w:top w:val="nil"/>
              <w:left w:val="nil"/>
              <w:bottom w:val="single" w:sz="4" w:space="0" w:color="auto"/>
              <w:right w:val="single" w:sz="4" w:space="0" w:color="auto"/>
            </w:tcBorders>
            <w:shd w:val="clear" w:color="000000" w:fill="FFFFFF"/>
            <w:vAlign w:val="center"/>
            <w:hideMark/>
          </w:tcPr>
          <w:p w14:paraId="5FEF1A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18,970</w:t>
            </w:r>
          </w:p>
        </w:tc>
        <w:tc>
          <w:tcPr>
            <w:tcW w:w="275" w:type="dxa"/>
            <w:tcBorders>
              <w:top w:val="nil"/>
              <w:left w:val="nil"/>
              <w:bottom w:val="single" w:sz="4" w:space="0" w:color="auto"/>
              <w:right w:val="single" w:sz="4" w:space="0" w:color="auto"/>
            </w:tcBorders>
            <w:shd w:val="clear" w:color="000000" w:fill="FFFFFF"/>
            <w:vAlign w:val="center"/>
            <w:hideMark/>
          </w:tcPr>
          <w:p w14:paraId="5FEF1A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18,970</w:t>
            </w:r>
          </w:p>
        </w:tc>
        <w:tc>
          <w:tcPr>
            <w:tcW w:w="306" w:type="dxa"/>
            <w:tcBorders>
              <w:top w:val="nil"/>
              <w:left w:val="nil"/>
              <w:bottom w:val="single" w:sz="4" w:space="0" w:color="auto"/>
              <w:right w:val="single" w:sz="4" w:space="0" w:color="auto"/>
            </w:tcBorders>
            <w:shd w:val="clear" w:color="000000" w:fill="FFFFFF"/>
            <w:vAlign w:val="center"/>
            <w:hideMark/>
          </w:tcPr>
          <w:p w14:paraId="5FEF1A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18,970</w:t>
            </w:r>
          </w:p>
        </w:tc>
        <w:tc>
          <w:tcPr>
            <w:tcW w:w="245" w:type="dxa"/>
            <w:tcBorders>
              <w:top w:val="nil"/>
              <w:left w:val="nil"/>
              <w:bottom w:val="single" w:sz="4" w:space="0" w:color="auto"/>
              <w:right w:val="single" w:sz="4" w:space="0" w:color="auto"/>
            </w:tcBorders>
            <w:shd w:val="clear" w:color="000000" w:fill="FFFFFF"/>
            <w:vAlign w:val="center"/>
            <w:hideMark/>
          </w:tcPr>
          <w:p w14:paraId="5FEF1A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18,970</w:t>
            </w:r>
          </w:p>
        </w:tc>
        <w:tc>
          <w:tcPr>
            <w:tcW w:w="306" w:type="dxa"/>
            <w:tcBorders>
              <w:top w:val="nil"/>
              <w:left w:val="nil"/>
              <w:bottom w:val="single" w:sz="4" w:space="0" w:color="auto"/>
              <w:right w:val="single" w:sz="4" w:space="0" w:color="auto"/>
            </w:tcBorders>
            <w:shd w:val="clear" w:color="000000" w:fill="FFFFFF"/>
            <w:vAlign w:val="center"/>
            <w:hideMark/>
          </w:tcPr>
          <w:p w14:paraId="5FEF1A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18,970</w:t>
            </w:r>
          </w:p>
        </w:tc>
        <w:tc>
          <w:tcPr>
            <w:tcW w:w="245" w:type="dxa"/>
            <w:tcBorders>
              <w:top w:val="nil"/>
              <w:left w:val="nil"/>
              <w:bottom w:val="single" w:sz="4" w:space="0" w:color="auto"/>
              <w:right w:val="single" w:sz="4" w:space="0" w:color="auto"/>
            </w:tcBorders>
            <w:shd w:val="clear" w:color="000000" w:fill="FFFFFF"/>
            <w:vAlign w:val="center"/>
            <w:hideMark/>
          </w:tcPr>
          <w:p w14:paraId="5FEF1A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18,970</w:t>
            </w:r>
          </w:p>
        </w:tc>
        <w:tc>
          <w:tcPr>
            <w:tcW w:w="306" w:type="dxa"/>
            <w:tcBorders>
              <w:top w:val="nil"/>
              <w:left w:val="nil"/>
              <w:bottom w:val="single" w:sz="4" w:space="0" w:color="auto"/>
              <w:right w:val="single" w:sz="4" w:space="0" w:color="auto"/>
            </w:tcBorders>
            <w:shd w:val="clear" w:color="000000" w:fill="FFFFFF"/>
            <w:vAlign w:val="center"/>
            <w:hideMark/>
          </w:tcPr>
          <w:p w14:paraId="5FEF1A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56,910</w:t>
            </w:r>
          </w:p>
        </w:tc>
        <w:tc>
          <w:tcPr>
            <w:tcW w:w="275" w:type="dxa"/>
            <w:tcBorders>
              <w:top w:val="nil"/>
              <w:left w:val="nil"/>
              <w:bottom w:val="single" w:sz="4" w:space="0" w:color="auto"/>
              <w:right w:val="single" w:sz="4" w:space="0" w:color="auto"/>
            </w:tcBorders>
            <w:shd w:val="clear" w:color="000000" w:fill="FFFFFF"/>
            <w:vAlign w:val="center"/>
            <w:hideMark/>
          </w:tcPr>
          <w:p w14:paraId="5FEF1A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56,910</w:t>
            </w:r>
          </w:p>
        </w:tc>
        <w:tc>
          <w:tcPr>
            <w:tcW w:w="306" w:type="dxa"/>
            <w:tcBorders>
              <w:top w:val="nil"/>
              <w:left w:val="nil"/>
              <w:bottom w:val="single" w:sz="4" w:space="0" w:color="auto"/>
              <w:right w:val="single" w:sz="4" w:space="0" w:color="auto"/>
            </w:tcBorders>
            <w:shd w:val="clear" w:color="000000" w:fill="FFFFFF"/>
            <w:vAlign w:val="center"/>
            <w:hideMark/>
          </w:tcPr>
          <w:p w14:paraId="5FEF1A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56,910</w:t>
            </w:r>
          </w:p>
        </w:tc>
        <w:tc>
          <w:tcPr>
            <w:tcW w:w="245" w:type="dxa"/>
            <w:tcBorders>
              <w:top w:val="nil"/>
              <w:left w:val="nil"/>
              <w:bottom w:val="single" w:sz="4" w:space="0" w:color="auto"/>
              <w:right w:val="single" w:sz="4" w:space="0" w:color="auto"/>
            </w:tcBorders>
            <w:shd w:val="clear" w:color="000000" w:fill="FFFFFF"/>
            <w:vAlign w:val="center"/>
            <w:hideMark/>
          </w:tcPr>
          <w:p w14:paraId="5FEF1A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56,910</w:t>
            </w:r>
          </w:p>
        </w:tc>
        <w:tc>
          <w:tcPr>
            <w:tcW w:w="275" w:type="dxa"/>
            <w:tcBorders>
              <w:top w:val="nil"/>
              <w:left w:val="nil"/>
              <w:bottom w:val="single" w:sz="4" w:space="0" w:color="auto"/>
              <w:right w:val="single" w:sz="4" w:space="0" w:color="auto"/>
            </w:tcBorders>
            <w:shd w:val="clear" w:color="000000" w:fill="FFFFFF"/>
            <w:vAlign w:val="center"/>
            <w:hideMark/>
          </w:tcPr>
          <w:p w14:paraId="5FEF1A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9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7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1.1.23</w:t>
            </w:r>
          </w:p>
        </w:tc>
        <w:tc>
          <w:tcPr>
            <w:tcW w:w="1301" w:type="dxa"/>
            <w:tcBorders>
              <w:top w:val="nil"/>
              <w:left w:val="nil"/>
              <w:bottom w:val="single" w:sz="4" w:space="0" w:color="auto"/>
              <w:right w:val="single" w:sz="4" w:space="0" w:color="auto"/>
            </w:tcBorders>
            <w:shd w:val="clear" w:color="auto" w:fill="auto"/>
            <w:vAlign w:val="bottom"/>
            <w:hideMark/>
          </w:tcPr>
          <w:p w14:paraId="5FEF1A7C"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Harmonizimi i aktiviteteve të QKEDH me programet ekzistuese për angazhimin e të rinjve në kuadrin e nismës “Shkollat si Qendra Komunitare” në zonat me rrezik të lartë dhe realizimi i tyre me mbështetjen e aktorëve të ndryshëm të shoqërisë civile.</w:t>
            </w:r>
          </w:p>
        </w:tc>
        <w:tc>
          <w:tcPr>
            <w:tcW w:w="498" w:type="dxa"/>
            <w:tcBorders>
              <w:top w:val="nil"/>
              <w:left w:val="nil"/>
              <w:bottom w:val="single" w:sz="4" w:space="0" w:color="auto"/>
              <w:right w:val="single" w:sz="4" w:space="0" w:color="auto"/>
            </w:tcBorders>
            <w:shd w:val="clear" w:color="000000" w:fill="FFFFFF"/>
            <w:vAlign w:val="center"/>
            <w:hideMark/>
          </w:tcPr>
          <w:p w14:paraId="5FEF1A7D" w14:textId="174D421E"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 Arsimi Bazë",</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Kodi i Progamit Buxhetor 09120, Kodi i Produktit 91103AF</w:t>
            </w:r>
          </w:p>
        </w:tc>
        <w:tc>
          <w:tcPr>
            <w:tcW w:w="498" w:type="dxa"/>
            <w:tcBorders>
              <w:top w:val="nil"/>
              <w:left w:val="nil"/>
              <w:bottom w:val="single" w:sz="4" w:space="0" w:color="auto"/>
              <w:right w:val="single" w:sz="4" w:space="0" w:color="auto"/>
            </w:tcBorders>
            <w:shd w:val="clear" w:color="000000" w:fill="FFFFFF"/>
            <w:vAlign w:val="center"/>
            <w:hideMark/>
          </w:tcPr>
          <w:p w14:paraId="5FEF1A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000000" w:fill="FFFFFF"/>
            <w:vAlign w:val="center"/>
            <w:hideMark/>
          </w:tcPr>
          <w:p w14:paraId="5FEF1A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 Donatorë (për vizita në terren apo mbështetje promovimi të aktiviteteve të harmonizuara);</w:t>
            </w:r>
          </w:p>
        </w:tc>
        <w:tc>
          <w:tcPr>
            <w:tcW w:w="207" w:type="dxa"/>
            <w:tcBorders>
              <w:top w:val="nil"/>
              <w:left w:val="nil"/>
              <w:bottom w:val="single" w:sz="4" w:space="0" w:color="auto"/>
              <w:right w:val="single" w:sz="4" w:space="0" w:color="auto"/>
            </w:tcBorders>
            <w:shd w:val="clear" w:color="auto" w:fill="auto"/>
            <w:vAlign w:val="center"/>
            <w:hideMark/>
          </w:tcPr>
          <w:p w14:paraId="5FEF1A8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8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A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22,770</w:t>
            </w:r>
          </w:p>
        </w:tc>
        <w:tc>
          <w:tcPr>
            <w:tcW w:w="275" w:type="dxa"/>
            <w:tcBorders>
              <w:top w:val="nil"/>
              <w:left w:val="nil"/>
              <w:bottom w:val="single" w:sz="4" w:space="0" w:color="auto"/>
              <w:right w:val="single" w:sz="4" w:space="0" w:color="auto"/>
            </w:tcBorders>
            <w:shd w:val="clear" w:color="000000" w:fill="FFFFFF"/>
            <w:vAlign w:val="center"/>
            <w:hideMark/>
          </w:tcPr>
          <w:p w14:paraId="5FEF1A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22,770</w:t>
            </w:r>
          </w:p>
        </w:tc>
        <w:tc>
          <w:tcPr>
            <w:tcW w:w="306" w:type="dxa"/>
            <w:tcBorders>
              <w:top w:val="nil"/>
              <w:left w:val="nil"/>
              <w:bottom w:val="single" w:sz="4" w:space="0" w:color="auto"/>
              <w:right w:val="single" w:sz="4" w:space="0" w:color="auto"/>
            </w:tcBorders>
            <w:shd w:val="clear" w:color="000000" w:fill="FFFFFF"/>
            <w:vAlign w:val="center"/>
            <w:hideMark/>
          </w:tcPr>
          <w:p w14:paraId="5FEF1A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22,770</w:t>
            </w:r>
          </w:p>
        </w:tc>
        <w:tc>
          <w:tcPr>
            <w:tcW w:w="245" w:type="dxa"/>
            <w:tcBorders>
              <w:top w:val="nil"/>
              <w:left w:val="nil"/>
              <w:bottom w:val="single" w:sz="4" w:space="0" w:color="auto"/>
              <w:right w:val="single" w:sz="4" w:space="0" w:color="auto"/>
            </w:tcBorders>
            <w:shd w:val="clear" w:color="000000" w:fill="FFFFFF"/>
            <w:vAlign w:val="center"/>
            <w:hideMark/>
          </w:tcPr>
          <w:p w14:paraId="5FEF1A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22,770</w:t>
            </w:r>
          </w:p>
        </w:tc>
        <w:tc>
          <w:tcPr>
            <w:tcW w:w="306" w:type="dxa"/>
            <w:tcBorders>
              <w:top w:val="nil"/>
              <w:left w:val="nil"/>
              <w:bottom w:val="single" w:sz="4" w:space="0" w:color="auto"/>
              <w:right w:val="single" w:sz="4" w:space="0" w:color="auto"/>
            </w:tcBorders>
            <w:shd w:val="clear" w:color="000000" w:fill="FFFFFF"/>
            <w:vAlign w:val="center"/>
            <w:hideMark/>
          </w:tcPr>
          <w:p w14:paraId="5FEF1A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22,770</w:t>
            </w:r>
          </w:p>
        </w:tc>
        <w:tc>
          <w:tcPr>
            <w:tcW w:w="245" w:type="dxa"/>
            <w:tcBorders>
              <w:top w:val="nil"/>
              <w:left w:val="nil"/>
              <w:bottom w:val="single" w:sz="4" w:space="0" w:color="auto"/>
              <w:right w:val="single" w:sz="4" w:space="0" w:color="auto"/>
            </w:tcBorders>
            <w:shd w:val="clear" w:color="000000" w:fill="FFFFFF"/>
            <w:vAlign w:val="center"/>
            <w:hideMark/>
          </w:tcPr>
          <w:p w14:paraId="5FEF1A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22,770</w:t>
            </w:r>
          </w:p>
        </w:tc>
        <w:tc>
          <w:tcPr>
            <w:tcW w:w="306" w:type="dxa"/>
            <w:tcBorders>
              <w:top w:val="nil"/>
              <w:left w:val="nil"/>
              <w:bottom w:val="single" w:sz="4" w:space="0" w:color="auto"/>
              <w:right w:val="single" w:sz="4" w:space="0" w:color="auto"/>
            </w:tcBorders>
            <w:shd w:val="clear" w:color="000000" w:fill="FFFFFF"/>
            <w:vAlign w:val="center"/>
            <w:hideMark/>
          </w:tcPr>
          <w:p w14:paraId="5FEF1A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68,310</w:t>
            </w:r>
          </w:p>
        </w:tc>
        <w:tc>
          <w:tcPr>
            <w:tcW w:w="275" w:type="dxa"/>
            <w:tcBorders>
              <w:top w:val="nil"/>
              <w:left w:val="nil"/>
              <w:bottom w:val="single" w:sz="4" w:space="0" w:color="auto"/>
              <w:right w:val="single" w:sz="4" w:space="0" w:color="auto"/>
            </w:tcBorders>
            <w:shd w:val="clear" w:color="000000" w:fill="FFFFFF"/>
            <w:vAlign w:val="center"/>
            <w:hideMark/>
          </w:tcPr>
          <w:p w14:paraId="5FEF1A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68,310</w:t>
            </w:r>
          </w:p>
        </w:tc>
        <w:tc>
          <w:tcPr>
            <w:tcW w:w="306" w:type="dxa"/>
            <w:tcBorders>
              <w:top w:val="nil"/>
              <w:left w:val="nil"/>
              <w:bottom w:val="single" w:sz="4" w:space="0" w:color="auto"/>
              <w:right w:val="single" w:sz="4" w:space="0" w:color="auto"/>
            </w:tcBorders>
            <w:shd w:val="clear" w:color="000000" w:fill="FFFFFF"/>
            <w:vAlign w:val="center"/>
            <w:hideMark/>
          </w:tcPr>
          <w:p w14:paraId="5FEF1A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68,310</w:t>
            </w:r>
          </w:p>
        </w:tc>
        <w:tc>
          <w:tcPr>
            <w:tcW w:w="245" w:type="dxa"/>
            <w:tcBorders>
              <w:top w:val="nil"/>
              <w:left w:val="nil"/>
              <w:bottom w:val="single" w:sz="4" w:space="0" w:color="auto"/>
              <w:right w:val="single" w:sz="4" w:space="0" w:color="auto"/>
            </w:tcBorders>
            <w:shd w:val="clear" w:color="000000" w:fill="FFFFFF"/>
            <w:vAlign w:val="center"/>
            <w:hideMark/>
          </w:tcPr>
          <w:p w14:paraId="5FEF1A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68,310</w:t>
            </w:r>
          </w:p>
        </w:tc>
        <w:tc>
          <w:tcPr>
            <w:tcW w:w="275" w:type="dxa"/>
            <w:tcBorders>
              <w:top w:val="nil"/>
              <w:left w:val="nil"/>
              <w:bottom w:val="single" w:sz="4" w:space="0" w:color="auto"/>
              <w:right w:val="single" w:sz="4" w:space="0" w:color="auto"/>
            </w:tcBorders>
            <w:shd w:val="clear" w:color="000000" w:fill="FFFFFF"/>
            <w:vAlign w:val="center"/>
            <w:hideMark/>
          </w:tcPr>
          <w:p w14:paraId="5FEF1A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B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9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1.1.24</w:t>
            </w:r>
          </w:p>
        </w:tc>
        <w:tc>
          <w:tcPr>
            <w:tcW w:w="1301" w:type="dxa"/>
            <w:tcBorders>
              <w:top w:val="nil"/>
              <w:left w:val="nil"/>
              <w:bottom w:val="single" w:sz="4" w:space="0" w:color="auto"/>
              <w:right w:val="single" w:sz="4" w:space="0" w:color="auto"/>
            </w:tcBorders>
            <w:shd w:val="clear" w:color="auto" w:fill="auto"/>
            <w:vAlign w:val="bottom"/>
            <w:hideMark/>
          </w:tcPr>
          <w:p w14:paraId="5FEF1A9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Krijimi i programeve të ndryshme në shkolla ku janë identifikuar shenja të para të ekstremizmit të dhunshëm dhe radikalizmit me aktivitete që fuqizojnë dhe forcojnë kohezionin social, qëndrueshmërinë komunitare dhe personale kundër ekstremizmit të dhunshëm në komunitete të ndjeshme nga fenomeni i ekstremizmit të dhunshëm në bashkëpunim me organizatat e shoqërisë civile. </w:t>
            </w:r>
          </w:p>
        </w:tc>
        <w:tc>
          <w:tcPr>
            <w:tcW w:w="498" w:type="dxa"/>
            <w:tcBorders>
              <w:top w:val="nil"/>
              <w:left w:val="nil"/>
              <w:bottom w:val="single" w:sz="4" w:space="0" w:color="auto"/>
              <w:right w:val="single" w:sz="4" w:space="0" w:color="auto"/>
            </w:tcBorders>
            <w:shd w:val="clear" w:color="000000" w:fill="FFFFFF"/>
            <w:vAlign w:val="center"/>
            <w:hideMark/>
          </w:tcPr>
          <w:p w14:paraId="5FEF1A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 Arsimi Bazë", Kodi i Progamit Buxhetor 09120 </w:t>
            </w:r>
          </w:p>
        </w:tc>
        <w:tc>
          <w:tcPr>
            <w:tcW w:w="498" w:type="dxa"/>
            <w:tcBorders>
              <w:top w:val="nil"/>
              <w:left w:val="nil"/>
              <w:bottom w:val="nil"/>
              <w:right w:val="nil"/>
            </w:tcBorders>
            <w:shd w:val="clear" w:color="auto" w:fill="auto"/>
            <w:noWrap/>
            <w:vAlign w:val="center"/>
            <w:hideMark/>
          </w:tcPr>
          <w:p w14:paraId="5FEF1A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single" w:sz="4" w:space="0" w:color="auto"/>
              <w:bottom w:val="single" w:sz="4" w:space="0" w:color="auto"/>
              <w:right w:val="single" w:sz="4" w:space="0" w:color="auto"/>
            </w:tcBorders>
            <w:shd w:val="clear" w:color="000000" w:fill="FFFFFF"/>
            <w:vAlign w:val="center"/>
            <w:hideMark/>
          </w:tcPr>
          <w:p w14:paraId="5FEF1A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QKEDH</w:t>
            </w:r>
          </w:p>
        </w:tc>
        <w:tc>
          <w:tcPr>
            <w:tcW w:w="207" w:type="dxa"/>
            <w:tcBorders>
              <w:top w:val="nil"/>
              <w:left w:val="nil"/>
              <w:bottom w:val="single" w:sz="4" w:space="0" w:color="auto"/>
              <w:right w:val="single" w:sz="4" w:space="0" w:color="auto"/>
            </w:tcBorders>
            <w:shd w:val="clear" w:color="auto" w:fill="auto"/>
            <w:vAlign w:val="center"/>
            <w:hideMark/>
          </w:tcPr>
          <w:p w14:paraId="5FEF1A9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9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A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53,130</w:t>
            </w:r>
          </w:p>
        </w:tc>
        <w:tc>
          <w:tcPr>
            <w:tcW w:w="275" w:type="dxa"/>
            <w:tcBorders>
              <w:top w:val="nil"/>
              <w:left w:val="nil"/>
              <w:bottom w:val="single" w:sz="4" w:space="0" w:color="auto"/>
              <w:right w:val="single" w:sz="4" w:space="0" w:color="auto"/>
            </w:tcBorders>
            <w:shd w:val="clear" w:color="000000" w:fill="FFFFFF"/>
            <w:vAlign w:val="center"/>
            <w:hideMark/>
          </w:tcPr>
          <w:p w14:paraId="5FEF1A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53,130</w:t>
            </w:r>
          </w:p>
        </w:tc>
        <w:tc>
          <w:tcPr>
            <w:tcW w:w="306" w:type="dxa"/>
            <w:tcBorders>
              <w:top w:val="nil"/>
              <w:left w:val="nil"/>
              <w:bottom w:val="single" w:sz="4" w:space="0" w:color="auto"/>
              <w:right w:val="single" w:sz="4" w:space="0" w:color="auto"/>
            </w:tcBorders>
            <w:shd w:val="clear" w:color="000000" w:fill="FFFFFF"/>
            <w:vAlign w:val="center"/>
            <w:hideMark/>
          </w:tcPr>
          <w:p w14:paraId="5FEF1A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53,130</w:t>
            </w:r>
          </w:p>
        </w:tc>
        <w:tc>
          <w:tcPr>
            <w:tcW w:w="245" w:type="dxa"/>
            <w:tcBorders>
              <w:top w:val="nil"/>
              <w:left w:val="nil"/>
              <w:bottom w:val="single" w:sz="4" w:space="0" w:color="auto"/>
              <w:right w:val="single" w:sz="4" w:space="0" w:color="auto"/>
            </w:tcBorders>
            <w:shd w:val="clear" w:color="000000" w:fill="FFFFFF"/>
            <w:vAlign w:val="center"/>
            <w:hideMark/>
          </w:tcPr>
          <w:p w14:paraId="5FEF1A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53,130</w:t>
            </w:r>
          </w:p>
        </w:tc>
        <w:tc>
          <w:tcPr>
            <w:tcW w:w="306" w:type="dxa"/>
            <w:tcBorders>
              <w:top w:val="nil"/>
              <w:left w:val="nil"/>
              <w:bottom w:val="single" w:sz="4" w:space="0" w:color="auto"/>
              <w:right w:val="single" w:sz="4" w:space="0" w:color="auto"/>
            </w:tcBorders>
            <w:shd w:val="clear" w:color="000000" w:fill="FFFFFF"/>
            <w:vAlign w:val="center"/>
            <w:hideMark/>
          </w:tcPr>
          <w:p w14:paraId="5FEF1A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53,130</w:t>
            </w:r>
          </w:p>
        </w:tc>
        <w:tc>
          <w:tcPr>
            <w:tcW w:w="245" w:type="dxa"/>
            <w:tcBorders>
              <w:top w:val="nil"/>
              <w:left w:val="nil"/>
              <w:bottom w:val="single" w:sz="4" w:space="0" w:color="auto"/>
              <w:right w:val="single" w:sz="4" w:space="0" w:color="auto"/>
            </w:tcBorders>
            <w:shd w:val="clear" w:color="000000" w:fill="FFFFFF"/>
            <w:vAlign w:val="center"/>
            <w:hideMark/>
          </w:tcPr>
          <w:p w14:paraId="5FEF1AA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53,130</w:t>
            </w:r>
          </w:p>
        </w:tc>
        <w:tc>
          <w:tcPr>
            <w:tcW w:w="306" w:type="dxa"/>
            <w:tcBorders>
              <w:top w:val="nil"/>
              <w:left w:val="nil"/>
              <w:bottom w:val="single" w:sz="4" w:space="0" w:color="auto"/>
              <w:right w:val="single" w:sz="4" w:space="0" w:color="auto"/>
            </w:tcBorders>
            <w:shd w:val="clear" w:color="000000" w:fill="FFFFFF"/>
            <w:vAlign w:val="center"/>
            <w:hideMark/>
          </w:tcPr>
          <w:p w14:paraId="5FEF1A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159,390</w:t>
            </w:r>
          </w:p>
        </w:tc>
        <w:tc>
          <w:tcPr>
            <w:tcW w:w="275" w:type="dxa"/>
            <w:tcBorders>
              <w:top w:val="nil"/>
              <w:left w:val="nil"/>
              <w:bottom w:val="single" w:sz="4" w:space="0" w:color="auto"/>
              <w:right w:val="single" w:sz="4" w:space="0" w:color="auto"/>
            </w:tcBorders>
            <w:shd w:val="clear" w:color="000000" w:fill="FFFFFF"/>
            <w:vAlign w:val="center"/>
            <w:hideMark/>
          </w:tcPr>
          <w:p w14:paraId="5FEF1A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159,390</w:t>
            </w:r>
          </w:p>
        </w:tc>
        <w:tc>
          <w:tcPr>
            <w:tcW w:w="306" w:type="dxa"/>
            <w:tcBorders>
              <w:top w:val="nil"/>
              <w:left w:val="nil"/>
              <w:bottom w:val="single" w:sz="4" w:space="0" w:color="auto"/>
              <w:right w:val="single" w:sz="4" w:space="0" w:color="auto"/>
            </w:tcBorders>
            <w:shd w:val="clear" w:color="000000" w:fill="FFFFFF"/>
            <w:vAlign w:val="center"/>
            <w:hideMark/>
          </w:tcPr>
          <w:p w14:paraId="5FEF1AA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159,390</w:t>
            </w:r>
          </w:p>
        </w:tc>
        <w:tc>
          <w:tcPr>
            <w:tcW w:w="245" w:type="dxa"/>
            <w:tcBorders>
              <w:top w:val="nil"/>
              <w:left w:val="nil"/>
              <w:bottom w:val="single" w:sz="4" w:space="0" w:color="auto"/>
              <w:right w:val="single" w:sz="4" w:space="0" w:color="auto"/>
            </w:tcBorders>
            <w:shd w:val="clear" w:color="000000" w:fill="FFFFFF"/>
            <w:vAlign w:val="center"/>
            <w:hideMark/>
          </w:tcPr>
          <w:p w14:paraId="5FEF1A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159,390</w:t>
            </w:r>
          </w:p>
        </w:tc>
        <w:tc>
          <w:tcPr>
            <w:tcW w:w="275" w:type="dxa"/>
            <w:tcBorders>
              <w:top w:val="nil"/>
              <w:left w:val="nil"/>
              <w:bottom w:val="single" w:sz="4" w:space="0" w:color="auto"/>
              <w:right w:val="single" w:sz="4" w:space="0" w:color="auto"/>
            </w:tcBorders>
            <w:shd w:val="clear" w:color="000000" w:fill="FFFFFF"/>
            <w:vAlign w:val="center"/>
            <w:hideMark/>
          </w:tcPr>
          <w:p w14:paraId="5FEF1A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C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B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1.1.25</w:t>
            </w:r>
          </w:p>
        </w:tc>
        <w:tc>
          <w:tcPr>
            <w:tcW w:w="1301" w:type="dxa"/>
            <w:tcBorders>
              <w:top w:val="nil"/>
              <w:left w:val="nil"/>
              <w:bottom w:val="single" w:sz="4" w:space="0" w:color="auto"/>
              <w:right w:val="single" w:sz="4" w:space="0" w:color="auto"/>
            </w:tcBorders>
            <w:shd w:val="clear" w:color="auto" w:fill="auto"/>
            <w:vAlign w:val="center"/>
            <w:hideMark/>
          </w:tcPr>
          <w:p w14:paraId="5FEF1AB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Trajnime të mësuesve për identifikimin dhe menaxhimin e nxënësve që përfshihen në radikalizëm dhe ekstremizëm të dhunshëm. </w:t>
            </w:r>
          </w:p>
        </w:tc>
        <w:tc>
          <w:tcPr>
            <w:tcW w:w="498" w:type="dxa"/>
            <w:tcBorders>
              <w:top w:val="nil"/>
              <w:left w:val="nil"/>
              <w:bottom w:val="single" w:sz="4" w:space="0" w:color="auto"/>
              <w:right w:val="single" w:sz="4" w:space="0" w:color="auto"/>
            </w:tcBorders>
            <w:shd w:val="clear" w:color="000000" w:fill="FFFFFF"/>
            <w:vAlign w:val="center"/>
            <w:hideMark/>
          </w:tcPr>
          <w:p w14:paraId="5FEF1A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 Arsimi Bazë", Kodi i Progamit Buxhetor 09120 </w:t>
            </w:r>
          </w:p>
        </w:tc>
        <w:tc>
          <w:tcPr>
            <w:tcW w:w="498" w:type="dxa"/>
            <w:tcBorders>
              <w:top w:val="single" w:sz="4" w:space="0" w:color="auto"/>
              <w:left w:val="nil"/>
              <w:bottom w:val="single" w:sz="4" w:space="0" w:color="auto"/>
              <w:right w:val="single" w:sz="4" w:space="0" w:color="auto"/>
            </w:tcBorders>
            <w:shd w:val="clear" w:color="000000" w:fill="FFFFFF"/>
            <w:vAlign w:val="center"/>
            <w:hideMark/>
          </w:tcPr>
          <w:p w14:paraId="5FEF1A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000000" w:fill="FFFFFF"/>
            <w:vAlign w:val="center"/>
            <w:hideMark/>
          </w:tcPr>
          <w:p w14:paraId="5FEF1A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QKEDH;</w:t>
            </w:r>
          </w:p>
        </w:tc>
        <w:tc>
          <w:tcPr>
            <w:tcW w:w="207" w:type="dxa"/>
            <w:tcBorders>
              <w:top w:val="nil"/>
              <w:left w:val="nil"/>
              <w:bottom w:val="single" w:sz="4" w:space="0" w:color="auto"/>
              <w:right w:val="single" w:sz="4" w:space="0" w:color="auto"/>
            </w:tcBorders>
            <w:shd w:val="clear" w:color="auto" w:fill="auto"/>
            <w:vAlign w:val="center"/>
            <w:hideMark/>
          </w:tcPr>
          <w:p w14:paraId="5FEF1AB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B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A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275" w:type="dxa"/>
            <w:tcBorders>
              <w:top w:val="nil"/>
              <w:left w:val="nil"/>
              <w:bottom w:val="single" w:sz="4" w:space="0" w:color="auto"/>
              <w:right w:val="single" w:sz="4" w:space="0" w:color="auto"/>
            </w:tcBorders>
            <w:shd w:val="clear" w:color="000000" w:fill="FFFFFF"/>
            <w:vAlign w:val="center"/>
            <w:hideMark/>
          </w:tcPr>
          <w:p w14:paraId="5FEF1A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306" w:type="dxa"/>
            <w:tcBorders>
              <w:top w:val="nil"/>
              <w:left w:val="nil"/>
              <w:bottom w:val="single" w:sz="4" w:space="0" w:color="auto"/>
              <w:right w:val="single" w:sz="4" w:space="0" w:color="auto"/>
            </w:tcBorders>
            <w:shd w:val="clear" w:color="000000" w:fill="FFFFFF"/>
            <w:vAlign w:val="center"/>
            <w:hideMark/>
          </w:tcPr>
          <w:p w14:paraId="5FEF1A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245" w:type="dxa"/>
            <w:tcBorders>
              <w:top w:val="nil"/>
              <w:left w:val="nil"/>
              <w:bottom w:val="single" w:sz="4" w:space="0" w:color="auto"/>
              <w:right w:val="single" w:sz="4" w:space="0" w:color="auto"/>
            </w:tcBorders>
            <w:shd w:val="clear" w:color="000000" w:fill="FFFFFF"/>
            <w:vAlign w:val="center"/>
            <w:hideMark/>
          </w:tcPr>
          <w:p w14:paraId="5FEF1A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306" w:type="dxa"/>
            <w:tcBorders>
              <w:top w:val="nil"/>
              <w:left w:val="nil"/>
              <w:bottom w:val="single" w:sz="4" w:space="0" w:color="auto"/>
              <w:right w:val="single" w:sz="4" w:space="0" w:color="auto"/>
            </w:tcBorders>
            <w:shd w:val="clear" w:color="000000" w:fill="FFFFFF"/>
            <w:vAlign w:val="center"/>
            <w:hideMark/>
          </w:tcPr>
          <w:p w14:paraId="5FEF1A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245" w:type="dxa"/>
            <w:tcBorders>
              <w:top w:val="nil"/>
              <w:left w:val="nil"/>
              <w:bottom w:val="single" w:sz="4" w:space="0" w:color="auto"/>
              <w:right w:val="single" w:sz="4" w:space="0" w:color="auto"/>
            </w:tcBorders>
            <w:shd w:val="clear" w:color="000000" w:fill="FFFFFF"/>
            <w:vAlign w:val="center"/>
            <w:hideMark/>
          </w:tcPr>
          <w:p w14:paraId="5FEF1A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37,950</w:t>
            </w:r>
          </w:p>
        </w:tc>
        <w:tc>
          <w:tcPr>
            <w:tcW w:w="306" w:type="dxa"/>
            <w:tcBorders>
              <w:top w:val="nil"/>
              <w:left w:val="nil"/>
              <w:bottom w:val="single" w:sz="4" w:space="0" w:color="auto"/>
              <w:right w:val="single" w:sz="4" w:space="0" w:color="auto"/>
            </w:tcBorders>
            <w:shd w:val="clear" w:color="000000" w:fill="FFFFFF"/>
            <w:vAlign w:val="center"/>
            <w:hideMark/>
          </w:tcPr>
          <w:p w14:paraId="5FEF1A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75" w:type="dxa"/>
            <w:tcBorders>
              <w:top w:val="nil"/>
              <w:left w:val="nil"/>
              <w:bottom w:val="single" w:sz="4" w:space="0" w:color="auto"/>
              <w:right w:val="single" w:sz="4" w:space="0" w:color="auto"/>
            </w:tcBorders>
            <w:shd w:val="clear" w:color="000000" w:fill="FFFFFF"/>
            <w:vAlign w:val="center"/>
            <w:hideMark/>
          </w:tcPr>
          <w:p w14:paraId="5FEF1A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306" w:type="dxa"/>
            <w:tcBorders>
              <w:top w:val="nil"/>
              <w:left w:val="nil"/>
              <w:bottom w:val="single" w:sz="4" w:space="0" w:color="auto"/>
              <w:right w:val="single" w:sz="4" w:space="0" w:color="auto"/>
            </w:tcBorders>
            <w:shd w:val="clear" w:color="000000" w:fill="FFFFFF"/>
            <w:vAlign w:val="center"/>
            <w:hideMark/>
          </w:tcPr>
          <w:p w14:paraId="5FEF1A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45" w:type="dxa"/>
            <w:tcBorders>
              <w:top w:val="nil"/>
              <w:left w:val="nil"/>
              <w:bottom w:val="single" w:sz="4" w:space="0" w:color="auto"/>
              <w:right w:val="single" w:sz="4" w:space="0" w:color="auto"/>
            </w:tcBorders>
            <w:shd w:val="clear" w:color="000000" w:fill="FFFFFF"/>
            <w:vAlign w:val="center"/>
            <w:hideMark/>
          </w:tcPr>
          <w:p w14:paraId="5FEF1A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113,850</w:t>
            </w:r>
          </w:p>
        </w:tc>
        <w:tc>
          <w:tcPr>
            <w:tcW w:w="275" w:type="dxa"/>
            <w:tcBorders>
              <w:top w:val="nil"/>
              <w:left w:val="nil"/>
              <w:bottom w:val="single" w:sz="4" w:space="0" w:color="auto"/>
              <w:right w:val="single" w:sz="4" w:space="0" w:color="auto"/>
            </w:tcBorders>
            <w:shd w:val="clear" w:color="000000" w:fill="FFFFFF"/>
            <w:vAlign w:val="center"/>
            <w:hideMark/>
          </w:tcPr>
          <w:p w14:paraId="5FEF1A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AE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C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1.1.26</w:t>
            </w:r>
          </w:p>
        </w:tc>
        <w:tc>
          <w:tcPr>
            <w:tcW w:w="1301" w:type="dxa"/>
            <w:tcBorders>
              <w:top w:val="nil"/>
              <w:left w:val="nil"/>
              <w:bottom w:val="single" w:sz="4" w:space="0" w:color="auto"/>
              <w:right w:val="single" w:sz="4" w:space="0" w:color="auto"/>
            </w:tcBorders>
            <w:shd w:val="clear" w:color="auto" w:fill="auto"/>
            <w:vAlign w:val="bottom"/>
            <w:hideMark/>
          </w:tcPr>
          <w:p w14:paraId="5FEF1AD0" w14:textId="4DB1ECF5"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Vlerësimi i treguesve socio-shëndetësorë përkundrejtë faktorëve statikë, dinamikë dhe rrethanorë që lidhen me zhvillimin e fenomenit të ekstremizmit të dhunshëm dhe radikalizmit, në zonat/grupet në rrezik</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më të lartë (personat në rrezik radikalizimi dhe ekstremizmi, personat e identifikuar si të radikalizuar dhe ekstremistë dhe personat në rrezik </w:t>
            </w:r>
            <w:r w:rsidR="00F53E58" w:rsidRPr="00795698">
              <w:rPr>
                <w:rFonts w:ascii="Arial" w:hAnsi="Arial" w:cs="Arial"/>
                <w:color w:val="000000"/>
                <w:sz w:val="6"/>
                <w:szCs w:val="6"/>
                <w:lang w:eastAsia="sq-AL"/>
              </w:rPr>
              <w:t>ri</w:t>
            </w:r>
            <w:r w:rsidRPr="00795698">
              <w:rPr>
                <w:rFonts w:ascii="Arial" w:hAnsi="Arial" w:cs="Arial"/>
                <w:color w:val="000000"/>
                <w:sz w:val="6"/>
                <w:szCs w:val="6"/>
                <w:lang w:eastAsia="sq-AL"/>
              </w:rPr>
              <w:t>radikalizimi duke bashkëpunuar me aktorë të tjerë në nivel lokal)</w:t>
            </w:r>
          </w:p>
        </w:tc>
        <w:tc>
          <w:tcPr>
            <w:tcW w:w="498" w:type="dxa"/>
            <w:tcBorders>
              <w:top w:val="nil"/>
              <w:left w:val="nil"/>
              <w:bottom w:val="single" w:sz="4" w:space="0" w:color="auto"/>
              <w:right w:val="single" w:sz="4" w:space="0" w:color="auto"/>
            </w:tcBorders>
            <w:shd w:val="clear" w:color="000000" w:fill="FFFFFF"/>
            <w:vAlign w:val="center"/>
            <w:hideMark/>
          </w:tcPr>
          <w:p w14:paraId="5FEF1AD1" w14:textId="2DBAC7CB"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01110 "PMA"</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Kodi i Produktit 91301 AA</w:t>
            </w:r>
          </w:p>
        </w:tc>
        <w:tc>
          <w:tcPr>
            <w:tcW w:w="498" w:type="dxa"/>
            <w:tcBorders>
              <w:top w:val="nil"/>
              <w:left w:val="nil"/>
              <w:bottom w:val="single" w:sz="4" w:space="0" w:color="auto"/>
              <w:right w:val="single" w:sz="4" w:space="0" w:color="auto"/>
            </w:tcBorders>
            <w:shd w:val="clear" w:color="000000" w:fill="FFFFFF"/>
            <w:vAlign w:val="center"/>
            <w:hideMark/>
          </w:tcPr>
          <w:p w14:paraId="5FEF1A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w:t>
            </w:r>
          </w:p>
        </w:tc>
        <w:tc>
          <w:tcPr>
            <w:tcW w:w="578" w:type="dxa"/>
            <w:tcBorders>
              <w:top w:val="nil"/>
              <w:left w:val="nil"/>
              <w:bottom w:val="single" w:sz="4" w:space="0" w:color="auto"/>
              <w:right w:val="single" w:sz="4" w:space="0" w:color="auto"/>
            </w:tcBorders>
            <w:shd w:val="clear" w:color="000000" w:fill="FFFFFF"/>
            <w:vAlign w:val="center"/>
            <w:hideMark/>
          </w:tcPr>
          <w:p w14:paraId="5FEF1A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QKEDH; SHSSH; ASHDMF; OSHKSH; ISHP</w:t>
            </w:r>
          </w:p>
        </w:tc>
        <w:tc>
          <w:tcPr>
            <w:tcW w:w="207" w:type="dxa"/>
            <w:tcBorders>
              <w:top w:val="nil"/>
              <w:left w:val="nil"/>
              <w:bottom w:val="single" w:sz="4" w:space="0" w:color="auto"/>
              <w:right w:val="single" w:sz="4" w:space="0" w:color="auto"/>
            </w:tcBorders>
            <w:shd w:val="clear" w:color="auto" w:fill="auto"/>
            <w:vAlign w:val="center"/>
            <w:hideMark/>
          </w:tcPr>
          <w:p w14:paraId="5FEF1AD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D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A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58,100</w:t>
            </w:r>
          </w:p>
        </w:tc>
        <w:tc>
          <w:tcPr>
            <w:tcW w:w="275" w:type="dxa"/>
            <w:tcBorders>
              <w:top w:val="nil"/>
              <w:left w:val="nil"/>
              <w:bottom w:val="single" w:sz="4" w:space="0" w:color="auto"/>
              <w:right w:val="single" w:sz="4" w:space="0" w:color="auto"/>
            </w:tcBorders>
            <w:shd w:val="clear" w:color="000000" w:fill="FFFFFF"/>
            <w:vAlign w:val="center"/>
            <w:hideMark/>
          </w:tcPr>
          <w:p w14:paraId="5FEF1A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58,100</w:t>
            </w:r>
          </w:p>
        </w:tc>
        <w:tc>
          <w:tcPr>
            <w:tcW w:w="306" w:type="dxa"/>
            <w:tcBorders>
              <w:top w:val="nil"/>
              <w:left w:val="nil"/>
              <w:bottom w:val="single" w:sz="4" w:space="0" w:color="auto"/>
              <w:right w:val="single" w:sz="4" w:space="0" w:color="auto"/>
            </w:tcBorders>
            <w:shd w:val="clear" w:color="000000" w:fill="FFFFFF"/>
            <w:vAlign w:val="center"/>
            <w:hideMark/>
          </w:tcPr>
          <w:p w14:paraId="5FEF1A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58,100</w:t>
            </w:r>
          </w:p>
        </w:tc>
        <w:tc>
          <w:tcPr>
            <w:tcW w:w="245" w:type="dxa"/>
            <w:tcBorders>
              <w:top w:val="nil"/>
              <w:left w:val="nil"/>
              <w:bottom w:val="single" w:sz="4" w:space="0" w:color="auto"/>
              <w:right w:val="single" w:sz="4" w:space="0" w:color="auto"/>
            </w:tcBorders>
            <w:shd w:val="clear" w:color="000000" w:fill="FFFFFF"/>
            <w:vAlign w:val="center"/>
            <w:hideMark/>
          </w:tcPr>
          <w:p w14:paraId="5FEF1A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58,100</w:t>
            </w:r>
          </w:p>
        </w:tc>
        <w:tc>
          <w:tcPr>
            <w:tcW w:w="306" w:type="dxa"/>
            <w:tcBorders>
              <w:top w:val="nil"/>
              <w:left w:val="nil"/>
              <w:bottom w:val="single" w:sz="4" w:space="0" w:color="auto"/>
              <w:right w:val="single" w:sz="4" w:space="0" w:color="auto"/>
            </w:tcBorders>
            <w:shd w:val="clear" w:color="000000" w:fill="FFFFFF"/>
            <w:vAlign w:val="center"/>
            <w:hideMark/>
          </w:tcPr>
          <w:p w14:paraId="5FEF1A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58,100</w:t>
            </w:r>
          </w:p>
        </w:tc>
        <w:tc>
          <w:tcPr>
            <w:tcW w:w="245" w:type="dxa"/>
            <w:tcBorders>
              <w:top w:val="nil"/>
              <w:left w:val="nil"/>
              <w:bottom w:val="single" w:sz="4" w:space="0" w:color="auto"/>
              <w:right w:val="single" w:sz="4" w:space="0" w:color="auto"/>
            </w:tcBorders>
            <w:shd w:val="clear" w:color="000000" w:fill="FFFFFF"/>
            <w:vAlign w:val="center"/>
            <w:hideMark/>
          </w:tcPr>
          <w:p w14:paraId="5FEF1A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58,100</w:t>
            </w:r>
          </w:p>
        </w:tc>
        <w:tc>
          <w:tcPr>
            <w:tcW w:w="306" w:type="dxa"/>
            <w:tcBorders>
              <w:top w:val="nil"/>
              <w:left w:val="nil"/>
              <w:bottom w:val="single" w:sz="4" w:space="0" w:color="auto"/>
              <w:right w:val="single" w:sz="4" w:space="0" w:color="auto"/>
            </w:tcBorders>
            <w:shd w:val="clear" w:color="000000" w:fill="FFFFFF"/>
            <w:vAlign w:val="center"/>
            <w:hideMark/>
          </w:tcPr>
          <w:p w14:paraId="5FEF1A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174,300</w:t>
            </w:r>
          </w:p>
        </w:tc>
        <w:tc>
          <w:tcPr>
            <w:tcW w:w="275" w:type="dxa"/>
            <w:tcBorders>
              <w:top w:val="nil"/>
              <w:left w:val="nil"/>
              <w:bottom w:val="single" w:sz="4" w:space="0" w:color="auto"/>
              <w:right w:val="single" w:sz="4" w:space="0" w:color="auto"/>
            </w:tcBorders>
            <w:shd w:val="clear" w:color="000000" w:fill="FFFFFF"/>
            <w:vAlign w:val="center"/>
            <w:hideMark/>
          </w:tcPr>
          <w:p w14:paraId="5FEF1A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174,300</w:t>
            </w:r>
          </w:p>
        </w:tc>
        <w:tc>
          <w:tcPr>
            <w:tcW w:w="306" w:type="dxa"/>
            <w:tcBorders>
              <w:top w:val="nil"/>
              <w:left w:val="nil"/>
              <w:bottom w:val="single" w:sz="4" w:space="0" w:color="auto"/>
              <w:right w:val="single" w:sz="4" w:space="0" w:color="auto"/>
            </w:tcBorders>
            <w:shd w:val="clear" w:color="000000" w:fill="FFFFFF"/>
            <w:vAlign w:val="center"/>
            <w:hideMark/>
          </w:tcPr>
          <w:p w14:paraId="5FEF1A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174,300</w:t>
            </w:r>
          </w:p>
        </w:tc>
        <w:tc>
          <w:tcPr>
            <w:tcW w:w="245" w:type="dxa"/>
            <w:tcBorders>
              <w:top w:val="nil"/>
              <w:left w:val="nil"/>
              <w:bottom w:val="single" w:sz="4" w:space="0" w:color="auto"/>
              <w:right w:val="single" w:sz="4" w:space="0" w:color="auto"/>
            </w:tcBorders>
            <w:shd w:val="clear" w:color="000000" w:fill="FFFFFF"/>
            <w:vAlign w:val="center"/>
            <w:hideMark/>
          </w:tcPr>
          <w:p w14:paraId="5FEF1A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174,300</w:t>
            </w:r>
          </w:p>
        </w:tc>
        <w:tc>
          <w:tcPr>
            <w:tcW w:w="275" w:type="dxa"/>
            <w:tcBorders>
              <w:top w:val="nil"/>
              <w:left w:val="nil"/>
              <w:bottom w:val="single" w:sz="4" w:space="0" w:color="auto"/>
              <w:right w:val="single" w:sz="4" w:space="0" w:color="auto"/>
            </w:tcBorders>
            <w:shd w:val="clear" w:color="000000" w:fill="FFFFFF"/>
            <w:vAlign w:val="center"/>
            <w:hideMark/>
          </w:tcPr>
          <w:p w14:paraId="5FEF1A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A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A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A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A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0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AE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1.1.27</w:t>
            </w:r>
          </w:p>
        </w:tc>
        <w:tc>
          <w:tcPr>
            <w:tcW w:w="1301" w:type="dxa"/>
            <w:tcBorders>
              <w:top w:val="nil"/>
              <w:left w:val="nil"/>
              <w:bottom w:val="single" w:sz="4" w:space="0" w:color="auto"/>
              <w:right w:val="single" w:sz="4" w:space="0" w:color="auto"/>
            </w:tcBorders>
            <w:shd w:val="clear" w:color="auto" w:fill="auto"/>
            <w:vAlign w:val="bottom"/>
            <w:hideMark/>
          </w:tcPr>
          <w:p w14:paraId="5FEF1AEC"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Organizimi i trajnimeve kaskadë për personelin e kujdesit shëndetësor/shëndetit publik dhe mbrojtjes sociale si dhe personelin e administratës publike, për njohjen dhe zbatimin e këtyre udhëzuesve. </w:t>
            </w:r>
          </w:p>
        </w:tc>
        <w:tc>
          <w:tcPr>
            <w:tcW w:w="498" w:type="dxa"/>
            <w:tcBorders>
              <w:top w:val="nil"/>
              <w:left w:val="nil"/>
              <w:bottom w:val="single" w:sz="4" w:space="0" w:color="auto"/>
              <w:right w:val="single" w:sz="4" w:space="0" w:color="auto"/>
            </w:tcBorders>
            <w:shd w:val="clear" w:color="000000" w:fill="FFFFFF"/>
            <w:vAlign w:val="center"/>
            <w:hideMark/>
          </w:tcPr>
          <w:p w14:paraId="5FEF1AED" w14:textId="4C48F48A"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01110 "PMA"</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Kodi i Produktit 91301 AA</w:t>
            </w:r>
          </w:p>
        </w:tc>
        <w:tc>
          <w:tcPr>
            <w:tcW w:w="498" w:type="dxa"/>
            <w:tcBorders>
              <w:top w:val="nil"/>
              <w:left w:val="nil"/>
              <w:bottom w:val="single" w:sz="4" w:space="0" w:color="auto"/>
              <w:right w:val="single" w:sz="4" w:space="0" w:color="auto"/>
            </w:tcBorders>
            <w:shd w:val="clear" w:color="000000" w:fill="FFFFFF"/>
            <w:vAlign w:val="center"/>
            <w:hideMark/>
          </w:tcPr>
          <w:p w14:paraId="5FEF1A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w:t>
            </w:r>
          </w:p>
        </w:tc>
        <w:tc>
          <w:tcPr>
            <w:tcW w:w="578" w:type="dxa"/>
            <w:tcBorders>
              <w:top w:val="nil"/>
              <w:left w:val="nil"/>
              <w:bottom w:val="single" w:sz="4" w:space="0" w:color="auto"/>
              <w:right w:val="single" w:sz="4" w:space="0" w:color="auto"/>
            </w:tcBorders>
            <w:shd w:val="clear" w:color="000000" w:fill="FFFFFF"/>
            <w:vAlign w:val="center"/>
            <w:hideMark/>
          </w:tcPr>
          <w:p w14:paraId="5FEF1A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QKEDH; SHSSH; ASHDMF; OSHKSH; ISHP;</w:t>
            </w:r>
          </w:p>
        </w:tc>
        <w:tc>
          <w:tcPr>
            <w:tcW w:w="207" w:type="dxa"/>
            <w:tcBorders>
              <w:top w:val="nil"/>
              <w:left w:val="nil"/>
              <w:bottom w:val="single" w:sz="4" w:space="0" w:color="auto"/>
              <w:right w:val="single" w:sz="4" w:space="0" w:color="auto"/>
            </w:tcBorders>
            <w:shd w:val="clear" w:color="auto" w:fill="auto"/>
            <w:vAlign w:val="center"/>
            <w:hideMark/>
          </w:tcPr>
          <w:p w14:paraId="5FEF1AF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AF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A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48,000</w:t>
            </w:r>
          </w:p>
        </w:tc>
        <w:tc>
          <w:tcPr>
            <w:tcW w:w="275" w:type="dxa"/>
            <w:tcBorders>
              <w:top w:val="nil"/>
              <w:left w:val="nil"/>
              <w:bottom w:val="single" w:sz="4" w:space="0" w:color="auto"/>
              <w:right w:val="single" w:sz="4" w:space="0" w:color="auto"/>
            </w:tcBorders>
            <w:shd w:val="clear" w:color="000000" w:fill="FFFFFF"/>
            <w:vAlign w:val="center"/>
            <w:hideMark/>
          </w:tcPr>
          <w:p w14:paraId="5FEF1A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48,000</w:t>
            </w:r>
          </w:p>
        </w:tc>
        <w:tc>
          <w:tcPr>
            <w:tcW w:w="306" w:type="dxa"/>
            <w:tcBorders>
              <w:top w:val="nil"/>
              <w:left w:val="nil"/>
              <w:bottom w:val="single" w:sz="4" w:space="0" w:color="auto"/>
              <w:right w:val="single" w:sz="4" w:space="0" w:color="auto"/>
            </w:tcBorders>
            <w:shd w:val="clear" w:color="000000" w:fill="FFFFFF"/>
            <w:vAlign w:val="center"/>
            <w:hideMark/>
          </w:tcPr>
          <w:p w14:paraId="5FEF1A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48,000</w:t>
            </w:r>
          </w:p>
        </w:tc>
        <w:tc>
          <w:tcPr>
            <w:tcW w:w="245" w:type="dxa"/>
            <w:tcBorders>
              <w:top w:val="nil"/>
              <w:left w:val="nil"/>
              <w:bottom w:val="single" w:sz="4" w:space="0" w:color="auto"/>
              <w:right w:val="single" w:sz="4" w:space="0" w:color="auto"/>
            </w:tcBorders>
            <w:shd w:val="clear" w:color="000000" w:fill="FFFFFF"/>
            <w:vAlign w:val="center"/>
            <w:hideMark/>
          </w:tcPr>
          <w:p w14:paraId="5FEF1A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48,000</w:t>
            </w:r>
          </w:p>
        </w:tc>
        <w:tc>
          <w:tcPr>
            <w:tcW w:w="306" w:type="dxa"/>
            <w:tcBorders>
              <w:top w:val="nil"/>
              <w:left w:val="nil"/>
              <w:bottom w:val="single" w:sz="4" w:space="0" w:color="auto"/>
              <w:right w:val="single" w:sz="4" w:space="0" w:color="auto"/>
            </w:tcBorders>
            <w:shd w:val="clear" w:color="000000" w:fill="FFFFFF"/>
            <w:vAlign w:val="center"/>
            <w:hideMark/>
          </w:tcPr>
          <w:p w14:paraId="5FEF1A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48,000</w:t>
            </w:r>
          </w:p>
        </w:tc>
        <w:tc>
          <w:tcPr>
            <w:tcW w:w="245" w:type="dxa"/>
            <w:tcBorders>
              <w:top w:val="nil"/>
              <w:left w:val="nil"/>
              <w:bottom w:val="single" w:sz="4" w:space="0" w:color="auto"/>
              <w:right w:val="single" w:sz="4" w:space="0" w:color="auto"/>
            </w:tcBorders>
            <w:shd w:val="clear" w:color="000000" w:fill="FFFFFF"/>
            <w:vAlign w:val="center"/>
            <w:hideMark/>
          </w:tcPr>
          <w:p w14:paraId="5FEF1A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A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48,000</w:t>
            </w:r>
          </w:p>
        </w:tc>
        <w:tc>
          <w:tcPr>
            <w:tcW w:w="306" w:type="dxa"/>
            <w:tcBorders>
              <w:top w:val="nil"/>
              <w:left w:val="nil"/>
              <w:bottom w:val="single" w:sz="4" w:space="0" w:color="auto"/>
              <w:right w:val="single" w:sz="4" w:space="0" w:color="auto"/>
            </w:tcBorders>
            <w:shd w:val="clear" w:color="000000" w:fill="FFFFFF"/>
            <w:vAlign w:val="center"/>
            <w:hideMark/>
          </w:tcPr>
          <w:p w14:paraId="5FEF1A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144,000</w:t>
            </w:r>
          </w:p>
        </w:tc>
        <w:tc>
          <w:tcPr>
            <w:tcW w:w="275" w:type="dxa"/>
            <w:tcBorders>
              <w:top w:val="nil"/>
              <w:left w:val="nil"/>
              <w:bottom w:val="single" w:sz="4" w:space="0" w:color="auto"/>
              <w:right w:val="single" w:sz="4" w:space="0" w:color="auto"/>
            </w:tcBorders>
            <w:shd w:val="clear" w:color="000000" w:fill="FFFFFF"/>
            <w:vAlign w:val="center"/>
            <w:hideMark/>
          </w:tcPr>
          <w:p w14:paraId="5FEF1A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A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144,000</w:t>
            </w:r>
          </w:p>
        </w:tc>
        <w:tc>
          <w:tcPr>
            <w:tcW w:w="306" w:type="dxa"/>
            <w:tcBorders>
              <w:top w:val="nil"/>
              <w:left w:val="nil"/>
              <w:bottom w:val="single" w:sz="4" w:space="0" w:color="auto"/>
              <w:right w:val="single" w:sz="4" w:space="0" w:color="auto"/>
            </w:tcBorders>
            <w:shd w:val="clear" w:color="000000" w:fill="FFFFFF"/>
            <w:vAlign w:val="center"/>
            <w:hideMark/>
          </w:tcPr>
          <w:p w14:paraId="5FEF1A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144,000</w:t>
            </w:r>
          </w:p>
        </w:tc>
        <w:tc>
          <w:tcPr>
            <w:tcW w:w="245" w:type="dxa"/>
            <w:tcBorders>
              <w:top w:val="nil"/>
              <w:left w:val="nil"/>
              <w:bottom w:val="single" w:sz="4" w:space="0" w:color="auto"/>
              <w:right w:val="single" w:sz="4" w:space="0" w:color="auto"/>
            </w:tcBorders>
            <w:shd w:val="clear" w:color="000000" w:fill="FFFFFF"/>
            <w:vAlign w:val="center"/>
            <w:hideMark/>
          </w:tcPr>
          <w:p w14:paraId="5FEF1A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144,000</w:t>
            </w:r>
          </w:p>
        </w:tc>
        <w:tc>
          <w:tcPr>
            <w:tcW w:w="275" w:type="dxa"/>
            <w:tcBorders>
              <w:top w:val="nil"/>
              <w:left w:val="nil"/>
              <w:bottom w:val="single" w:sz="4" w:space="0" w:color="auto"/>
              <w:right w:val="single" w:sz="4" w:space="0" w:color="auto"/>
            </w:tcBorders>
            <w:shd w:val="clear" w:color="000000" w:fill="FFFFFF"/>
            <w:vAlign w:val="center"/>
            <w:hideMark/>
          </w:tcPr>
          <w:p w14:paraId="5FEF1B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B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B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2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B0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1.1.28</w:t>
            </w:r>
          </w:p>
        </w:tc>
        <w:tc>
          <w:tcPr>
            <w:tcW w:w="1301" w:type="dxa"/>
            <w:tcBorders>
              <w:top w:val="nil"/>
              <w:left w:val="nil"/>
              <w:bottom w:val="single" w:sz="4" w:space="0" w:color="auto"/>
              <w:right w:val="single" w:sz="4" w:space="0" w:color="auto"/>
            </w:tcBorders>
            <w:shd w:val="clear" w:color="auto" w:fill="auto"/>
            <w:vAlign w:val="bottom"/>
            <w:hideMark/>
          </w:tcPr>
          <w:p w14:paraId="5FEF1B0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Krijimi dhe funksionimi i një rrjeti ToT mbi shëndetin mendor dhe fenomenin e ekstremizmit të dhunshëm në terma të shkaqeve dhe pasojave dhe të shëndetit mendor të lidhur me këtë fenomen.</w:t>
            </w:r>
          </w:p>
        </w:tc>
        <w:tc>
          <w:tcPr>
            <w:tcW w:w="498" w:type="dxa"/>
            <w:tcBorders>
              <w:top w:val="nil"/>
              <w:left w:val="nil"/>
              <w:bottom w:val="single" w:sz="4" w:space="0" w:color="auto"/>
              <w:right w:val="single" w:sz="4" w:space="0" w:color="auto"/>
            </w:tcBorders>
            <w:shd w:val="clear" w:color="000000" w:fill="FFFFFF"/>
            <w:vAlign w:val="center"/>
            <w:hideMark/>
          </w:tcPr>
          <w:p w14:paraId="5FEF1B09" w14:textId="47316D3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01110 "PMA"</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Kodi i Produktit 91301 AA</w:t>
            </w:r>
          </w:p>
        </w:tc>
        <w:tc>
          <w:tcPr>
            <w:tcW w:w="498" w:type="dxa"/>
            <w:tcBorders>
              <w:top w:val="nil"/>
              <w:left w:val="nil"/>
              <w:bottom w:val="single" w:sz="4" w:space="0" w:color="auto"/>
              <w:right w:val="single" w:sz="4" w:space="0" w:color="auto"/>
            </w:tcBorders>
            <w:shd w:val="clear" w:color="000000" w:fill="FFFFFF"/>
            <w:vAlign w:val="center"/>
            <w:hideMark/>
          </w:tcPr>
          <w:p w14:paraId="5FEF1B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w:t>
            </w:r>
          </w:p>
        </w:tc>
        <w:tc>
          <w:tcPr>
            <w:tcW w:w="578" w:type="dxa"/>
            <w:tcBorders>
              <w:top w:val="nil"/>
              <w:left w:val="nil"/>
              <w:bottom w:val="single" w:sz="4" w:space="0" w:color="auto"/>
              <w:right w:val="single" w:sz="4" w:space="0" w:color="auto"/>
            </w:tcBorders>
            <w:shd w:val="clear" w:color="000000" w:fill="FFFFFF"/>
            <w:vAlign w:val="center"/>
            <w:hideMark/>
          </w:tcPr>
          <w:p w14:paraId="5FEF1B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Donatorë;QKEDH; MAS; ISHP;</w:t>
            </w:r>
            <w:r w:rsidRPr="00795698">
              <w:rPr>
                <w:rFonts w:ascii="Arial" w:hAnsi="Arial" w:cs="Arial"/>
                <w:color w:val="000000"/>
                <w:sz w:val="6"/>
                <w:szCs w:val="6"/>
                <w:lang w:eastAsia="sq-AL"/>
              </w:rPr>
              <w:br/>
              <w:t>SHSSH; ASHDMF; AMVV/ NJVV;</w:t>
            </w:r>
          </w:p>
        </w:tc>
        <w:tc>
          <w:tcPr>
            <w:tcW w:w="207" w:type="dxa"/>
            <w:tcBorders>
              <w:top w:val="nil"/>
              <w:left w:val="nil"/>
              <w:bottom w:val="single" w:sz="4" w:space="0" w:color="auto"/>
              <w:right w:val="single" w:sz="4" w:space="0" w:color="auto"/>
            </w:tcBorders>
            <w:shd w:val="clear" w:color="auto" w:fill="auto"/>
            <w:vAlign w:val="center"/>
            <w:hideMark/>
          </w:tcPr>
          <w:p w14:paraId="5FEF1B0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B0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B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37,800</w:t>
            </w:r>
          </w:p>
        </w:tc>
        <w:tc>
          <w:tcPr>
            <w:tcW w:w="275" w:type="dxa"/>
            <w:tcBorders>
              <w:top w:val="nil"/>
              <w:left w:val="nil"/>
              <w:bottom w:val="single" w:sz="4" w:space="0" w:color="auto"/>
              <w:right w:val="single" w:sz="4" w:space="0" w:color="auto"/>
            </w:tcBorders>
            <w:shd w:val="clear" w:color="000000" w:fill="FFFFFF"/>
            <w:vAlign w:val="center"/>
            <w:hideMark/>
          </w:tcPr>
          <w:p w14:paraId="5FEF1B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37,800</w:t>
            </w:r>
          </w:p>
        </w:tc>
        <w:tc>
          <w:tcPr>
            <w:tcW w:w="306" w:type="dxa"/>
            <w:tcBorders>
              <w:top w:val="nil"/>
              <w:left w:val="nil"/>
              <w:bottom w:val="single" w:sz="4" w:space="0" w:color="auto"/>
              <w:right w:val="single" w:sz="4" w:space="0" w:color="auto"/>
            </w:tcBorders>
            <w:shd w:val="clear" w:color="000000" w:fill="FFFFFF"/>
            <w:vAlign w:val="center"/>
            <w:hideMark/>
          </w:tcPr>
          <w:p w14:paraId="5FEF1B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37,800</w:t>
            </w:r>
          </w:p>
        </w:tc>
        <w:tc>
          <w:tcPr>
            <w:tcW w:w="245" w:type="dxa"/>
            <w:tcBorders>
              <w:top w:val="nil"/>
              <w:left w:val="nil"/>
              <w:bottom w:val="single" w:sz="4" w:space="0" w:color="auto"/>
              <w:right w:val="single" w:sz="4" w:space="0" w:color="auto"/>
            </w:tcBorders>
            <w:shd w:val="clear" w:color="000000" w:fill="FFFFFF"/>
            <w:vAlign w:val="center"/>
            <w:hideMark/>
          </w:tcPr>
          <w:p w14:paraId="5FEF1B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37,800</w:t>
            </w:r>
          </w:p>
        </w:tc>
        <w:tc>
          <w:tcPr>
            <w:tcW w:w="306" w:type="dxa"/>
            <w:tcBorders>
              <w:top w:val="nil"/>
              <w:left w:val="nil"/>
              <w:bottom w:val="single" w:sz="4" w:space="0" w:color="auto"/>
              <w:right w:val="single" w:sz="4" w:space="0" w:color="auto"/>
            </w:tcBorders>
            <w:shd w:val="clear" w:color="000000" w:fill="FFFFFF"/>
            <w:vAlign w:val="center"/>
            <w:hideMark/>
          </w:tcPr>
          <w:p w14:paraId="5FEF1B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37,800</w:t>
            </w:r>
          </w:p>
        </w:tc>
        <w:tc>
          <w:tcPr>
            <w:tcW w:w="245" w:type="dxa"/>
            <w:tcBorders>
              <w:top w:val="nil"/>
              <w:left w:val="nil"/>
              <w:bottom w:val="single" w:sz="4" w:space="0" w:color="auto"/>
              <w:right w:val="single" w:sz="4" w:space="0" w:color="auto"/>
            </w:tcBorders>
            <w:shd w:val="clear" w:color="000000" w:fill="FFFFFF"/>
            <w:vAlign w:val="center"/>
            <w:hideMark/>
          </w:tcPr>
          <w:p w14:paraId="5FEF1B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37,800</w:t>
            </w:r>
          </w:p>
        </w:tc>
        <w:tc>
          <w:tcPr>
            <w:tcW w:w="306" w:type="dxa"/>
            <w:tcBorders>
              <w:top w:val="nil"/>
              <w:left w:val="nil"/>
              <w:bottom w:val="single" w:sz="4" w:space="0" w:color="auto"/>
              <w:right w:val="single" w:sz="4" w:space="0" w:color="auto"/>
            </w:tcBorders>
            <w:shd w:val="clear" w:color="000000" w:fill="FFFFFF"/>
            <w:vAlign w:val="center"/>
            <w:hideMark/>
          </w:tcPr>
          <w:p w14:paraId="5FEF1B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113,400</w:t>
            </w:r>
          </w:p>
        </w:tc>
        <w:tc>
          <w:tcPr>
            <w:tcW w:w="275" w:type="dxa"/>
            <w:tcBorders>
              <w:top w:val="nil"/>
              <w:left w:val="nil"/>
              <w:bottom w:val="single" w:sz="4" w:space="0" w:color="auto"/>
              <w:right w:val="single" w:sz="4" w:space="0" w:color="auto"/>
            </w:tcBorders>
            <w:shd w:val="clear" w:color="000000" w:fill="FFFFFF"/>
            <w:vAlign w:val="center"/>
            <w:hideMark/>
          </w:tcPr>
          <w:p w14:paraId="5FEF1B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113,400</w:t>
            </w:r>
          </w:p>
        </w:tc>
        <w:tc>
          <w:tcPr>
            <w:tcW w:w="306" w:type="dxa"/>
            <w:tcBorders>
              <w:top w:val="nil"/>
              <w:left w:val="nil"/>
              <w:bottom w:val="single" w:sz="4" w:space="0" w:color="auto"/>
              <w:right w:val="single" w:sz="4" w:space="0" w:color="auto"/>
            </w:tcBorders>
            <w:shd w:val="clear" w:color="000000" w:fill="FFFFFF"/>
            <w:vAlign w:val="center"/>
            <w:hideMark/>
          </w:tcPr>
          <w:p w14:paraId="5FEF1B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113,400</w:t>
            </w:r>
          </w:p>
        </w:tc>
        <w:tc>
          <w:tcPr>
            <w:tcW w:w="245" w:type="dxa"/>
            <w:tcBorders>
              <w:top w:val="nil"/>
              <w:left w:val="nil"/>
              <w:bottom w:val="single" w:sz="4" w:space="0" w:color="auto"/>
              <w:right w:val="single" w:sz="4" w:space="0" w:color="auto"/>
            </w:tcBorders>
            <w:shd w:val="clear" w:color="000000" w:fill="FFFFFF"/>
            <w:vAlign w:val="center"/>
            <w:hideMark/>
          </w:tcPr>
          <w:p w14:paraId="5FEF1B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113,400</w:t>
            </w:r>
          </w:p>
        </w:tc>
        <w:tc>
          <w:tcPr>
            <w:tcW w:w="275" w:type="dxa"/>
            <w:tcBorders>
              <w:top w:val="nil"/>
              <w:left w:val="nil"/>
              <w:bottom w:val="single" w:sz="4" w:space="0" w:color="auto"/>
              <w:right w:val="single" w:sz="4" w:space="0" w:color="auto"/>
            </w:tcBorders>
            <w:shd w:val="clear" w:color="000000" w:fill="FFFFFF"/>
            <w:vAlign w:val="center"/>
            <w:hideMark/>
          </w:tcPr>
          <w:p w14:paraId="5FEF1B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B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B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3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B2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1.1.29</w:t>
            </w:r>
          </w:p>
        </w:tc>
        <w:tc>
          <w:tcPr>
            <w:tcW w:w="1301" w:type="dxa"/>
            <w:tcBorders>
              <w:top w:val="nil"/>
              <w:left w:val="nil"/>
              <w:bottom w:val="single" w:sz="4" w:space="0" w:color="auto"/>
              <w:right w:val="single" w:sz="4" w:space="0" w:color="auto"/>
            </w:tcBorders>
            <w:shd w:val="clear" w:color="auto" w:fill="auto"/>
            <w:hideMark/>
          </w:tcPr>
          <w:p w14:paraId="5FEF1B2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Analizë dhe vlerësim i kritereve të sigurisë dhe mbrojtjes së infrastrukturave kritike kundër rrezikut potencial të ekstremizmit të dhunshëm dhe </w:t>
            </w:r>
            <w:r w:rsidRPr="00795698">
              <w:rPr>
                <w:rFonts w:ascii="Arial" w:hAnsi="Arial" w:cs="Arial"/>
                <w:color w:val="000000"/>
                <w:sz w:val="6"/>
                <w:szCs w:val="6"/>
                <w:lang w:eastAsia="sq-AL"/>
              </w:rPr>
              <w:lastRenderedPageBreak/>
              <w:t>terrorizmit.</w:t>
            </w:r>
          </w:p>
        </w:tc>
        <w:tc>
          <w:tcPr>
            <w:tcW w:w="498" w:type="dxa"/>
            <w:tcBorders>
              <w:top w:val="nil"/>
              <w:left w:val="nil"/>
              <w:bottom w:val="single" w:sz="4" w:space="0" w:color="auto"/>
              <w:right w:val="single" w:sz="4" w:space="0" w:color="auto"/>
            </w:tcBorders>
            <w:shd w:val="clear" w:color="000000" w:fill="FFFFFF"/>
            <w:vAlign w:val="center"/>
            <w:hideMark/>
          </w:tcPr>
          <w:p w14:paraId="5FEF1B25" w14:textId="29D42C3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 xml:space="preserve">Programi Buxhetor "Planifikimi, Menaxhimi </w:t>
            </w:r>
            <w:r w:rsidRPr="00795698">
              <w:rPr>
                <w:rFonts w:ascii="Arial" w:hAnsi="Arial" w:cs="Arial"/>
                <w:color w:val="000000"/>
                <w:sz w:val="6"/>
                <w:szCs w:val="6"/>
                <w:lang w:eastAsia="sq-AL"/>
              </w:rPr>
              <w:lastRenderedPageBreak/>
              <w:t>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B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QKEDH</w:t>
            </w:r>
          </w:p>
        </w:tc>
        <w:tc>
          <w:tcPr>
            <w:tcW w:w="578" w:type="dxa"/>
            <w:tcBorders>
              <w:top w:val="nil"/>
              <w:left w:val="nil"/>
              <w:bottom w:val="single" w:sz="4" w:space="0" w:color="auto"/>
              <w:right w:val="single" w:sz="4" w:space="0" w:color="auto"/>
            </w:tcBorders>
            <w:shd w:val="clear" w:color="000000" w:fill="FFFFFF"/>
            <w:vAlign w:val="center"/>
            <w:hideMark/>
          </w:tcPr>
          <w:p w14:paraId="5FEF1B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Ministria e Infrastrukturës dhe Energjisë; Ministria e </w:t>
            </w:r>
            <w:r w:rsidRPr="00795698">
              <w:rPr>
                <w:rFonts w:ascii="Arial" w:hAnsi="Arial" w:cs="Arial"/>
                <w:color w:val="000000"/>
                <w:sz w:val="6"/>
                <w:szCs w:val="6"/>
                <w:lang w:eastAsia="sq-AL"/>
              </w:rPr>
              <w:lastRenderedPageBreak/>
              <w:t>Brendshme; Bashkitë, KESH; OST; OSHEE, Ndërmarrja Ujësjellës Kanalizime; Donatorë</w:t>
            </w:r>
          </w:p>
        </w:tc>
        <w:tc>
          <w:tcPr>
            <w:tcW w:w="207" w:type="dxa"/>
            <w:tcBorders>
              <w:top w:val="nil"/>
              <w:left w:val="nil"/>
              <w:bottom w:val="single" w:sz="4" w:space="0" w:color="auto"/>
              <w:right w:val="single" w:sz="4" w:space="0" w:color="auto"/>
            </w:tcBorders>
            <w:shd w:val="clear" w:color="auto" w:fill="auto"/>
            <w:vAlign w:val="center"/>
            <w:hideMark/>
          </w:tcPr>
          <w:p w14:paraId="5FEF1B2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lastRenderedPageBreak/>
              <w:t>2023</w:t>
            </w:r>
          </w:p>
        </w:tc>
        <w:tc>
          <w:tcPr>
            <w:tcW w:w="260" w:type="dxa"/>
            <w:tcBorders>
              <w:top w:val="nil"/>
              <w:left w:val="nil"/>
              <w:bottom w:val="single" w:sz="4" w:space="0" w:color="auto"/>
              <w:right w:val="single" w:sz="4" w:space="0" w:color="auto"/>
            </w:tcBorders>
            <w:shd w:val="clear" w:color="000000" w:fill="FFFFFF"/>
            <w:vAlign w:val="center"/>
            <w:hideMark/>
          </w:tcPr>
          <w:p w14:paraId="5FEF1B2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B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275" w:type="dxa"/>
            <w:tcBorders>
              <w:top w:val="nil"/>
              <w:left w:val="nil"/>
              <w:bottom w:val="single" w:sz="4" w:space="0" w:color="auto"/>
              <w:right w:val="single" w:sz="4" w:space="0" w:color="auto"/>
            </w:tcBorders>
            <w:shd w:val="clear" w:color="000000" w:fill="FFFFFF"/>
            <w:vAlign w:val="center"/>
            <w:hideMark/>
          </w:tcPr>
          <w:p w14:paraId="5FEF1B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306" w:type="dxa"/>
            <w:tcBorders>
              <w:top w:val="nil"/>
              <w:left w:val="nil"/>
              <w:bottom w:val="single" w:sz="4" w:space="0" w:color="auto"/>
              <w:right w:val="single" w:sz="4" w:space="0" w:color="auto"/>
            </w:tcBorders>
            <w:shd w:val="clear" w:color="000000" w:fill="FFFFFF"/>
            <w:vAlign w:val="center"/>
            <w:hideMark/>
          </w:tcPr>
          <w:p w14:paraId="5FEF1B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245" w:type="dxa"/>
            <w:tcBorders>
              <w:top w:val="nil"/>
              <w:left w:val="nil"/>
              <w:bottom w:val="single" w:sz="4" w:space="0" w:color="auto"/>
              <w:right w:val="single" w:sz="4" w:space="0" w:color="auto"/>
            </w:tcBorders>
            <w:shd w:val="clear" w:color="000000" w:fill="FFFFFF"/>
            <w:vAlign w:val="center"/>
            <w:hideMark/>
          </w:tcPr>
          <w:p w14:paraId="5FEF1B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306" w:type="dxa"/>
            <w:tcBorders>
              <w:top w:val="nil"/>
              <w:left w:val="nil"/>
              <w:bottom w:val="single" w:sz="4" w:space="0" w:color="auto"/>
              <w:right w:val="single" w:sz="4" w:space="0" w:color="auto"/>
            </w:tcBorders>
            <w:shd w:val="clear" w:color="000000" w:fill="FFFFFF"/>
            <w:vAlign w:val="center"/>
            <w:hideMark/>
          </w:tcPr>
          <w:p w14:paraId="5FEF1B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245" w:type="dxa"/>
            <w:tcBorders>
              <w:top w:val="nil"/>
              <w:left w:val="nil"/>
              <w:bottom w:val="single" w:sz="4" w:space="0" w:color="auto"/>
              <w:right w:val="single" w:sz="4" w:space="0" w:color="auto"/>
            </w:tcBorders>
            <w:shd w:val="clear" w:color="000000" w:fill="FFFFFF"/>
            <w:vAlign w:val="center"/>
            <w:hideMark/>
          </w:tcPr>
          <w:p w14:paraId="5FEF1B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306" w:type="dxa"/>
            <w:tcBorders>
              <w:top w:val="nil"/>
              <w:left w:val="nil"/>
              <w:bottom w:val="single" w:sz="4" w:space="0" w:color="auto"/>
              <w:right w:val="single" w:sz="4" w:space="0" w:color="auto"/>
            </w:tcBorders>
            <w:shd w:val="clear" w:color="000000" w:fill="FFFFFF"/>
            <w:vAlign w:val="center"/>
            <w:hideMark/>
          </w:tcPr>
          <w:p w14:paraId="5FEF1B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w:t>
            </w:r>
          </w:p>
        </w:tc>
        <w:tc>
          <w:tcPr>
            <w:tcW w:w="275" w:type="dxa"/>
            <w:tcBorders>
              <w:top w:val="nil"/>
              <w:left w:val="nil"/>
              <w:bottom w:val="single" w:sz="4" w:space="0" w:color="auto"/>
              <w:right w:val="single" w:sz="4" w:space="0" w:color="auto"/>
            </w:tcBorders>
            <w:shd w:val="clear" w:color="000000" w:fill="FFFFFF"/>
            <w:vAlign w:val="center"/>
            <w:hideMark/>
          </w:tcPr>
          <w:p w14:paraId="5FEF1B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w:t>
            </w:r>
          </w:p>
        </w:tc>
        <w:tc>
          <w:tcPr>
            <w:tcW w:w="306" w:type="dxa"/>
            <w:tcBorders>
              <w:top w:val="nil"/>
              <w:left w:val="nil"/>
              <w:bottom w:val="single" w:sz="4" w:space="0" w:color="auto"/>
              <w:right w:val="single" w:sz="4" w:space="0" w:color="auto"/>
            </w:tcBorders>
            <w:shd w:val="clear" w:color="000000" w:fill="FFFFFF"/>
            <w:vAlign w:val="center"/>
            <w:hideMark/>
          </w:tcPr>
          <w:p w14:paraId="5FEF1B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108,000</w:t>
            </w:r>
          </w:p>
        </w:tc>
        <w:tc>
          <w:tcPr>
            <w:tcW w:w="245" w:type="dxa"/>
            <w:tcBorders>
              <w:top w:val="nil"/>
              <w:left w:val="nil"/>
              <w:bottom w:val="single" w:sz="4" w:space="0" w:color="auto"/>
              <w:right w:val="single" w:sz="4" w:space="0" w:color="auto"/>
            </w:tcBorders>
            <w:shd w:val="clear" w:color="000000" w:fill="FFFFFF"/>
            <w:vAlign w:val="center"/>
            <w:hideMark/>
          </w:tcPr>
          <w:p w14:paraId="5FEF1B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108,000</w:t>
            </w:r>
          </w:p>
        </w:tc>
        <w:tc>
          <w:tcPr>
            <w:tcW w:w="275" w:type="dxa"/>
            <w:tcBorders>
              <w:top w:val="nil"/>
              <w:left w:val="nil"/>
              <w:bottom w:val="single" w:sz="4" w:space="0" w:color="auto"/>
              <w:right w:val="single" w:sz="4" w:space="0" w:color="auto"/>
            </w:tcBorders>
            <w:shd w:val="clear" w:color="000000" w:fill="FFFFFF"/>
            <w:vAlign w:val="center"/>
            <w:hideMark/>
          </w:tcPr>
          <w:p w14:paraId="5FEF1B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45" w:type="dxa"/>
            <w:tcBorders>
              <w:top w:val="nil"/>
              <w:left w:val="nil"/>
              <w:bottom w:val="single" w:sz="4" w:space="0" w:color="auto"/>
              <w:right w:val="single" w:sz="4" w:space="0" w:color="auto"/>
            </w:tcBorders>
            <w:shd w:val="clear" w:color="000000" w:fill="FFFFFF"/>
            <w:vAlign w:val="center"/>
            <w:hideMark/>
          </w:tcPr>
          <w:p w14:paraId="5FEF1B3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62" w:type="dxa"/>
            <w:tcBorders>
              <w:top w:val="nil"/>
              <w:left w:val="nil"/>
              <w:bottom w:val="single" w:sz="4" w:space="0" w:color="auto"/>
              <w:right w:val="single" w:sz="8" w:space="0" w:color="auto"/>
            </w:tcBorders>
            <w:shd w:val="clear" w:color="000000" w:fill="FFFFFF"/>
            <w:vAlign w:val="center"/>
            <w:hideMark/>
          </w:tcPr>
          <w:p w14:paraId="5FEF1B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5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B3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1.1.30</w:t>
            </w:r>
          </w:p>
        </w:tc>
        <w:tc>
          <w:tcPr>
            <w:tcW w:w="1301" w:type="dxa"/>
            <w:tcBorders>
              <w:top w:val="nil"/>
              <w:left w:val="nil"/>
              <w:bottom w:val="single" w:sz="4" w:space="0" w:color="auto"/>
              <w:right w:val="single" w:sz="4" w:space="0" w:color="auto"/>
            </w:tcBorders>
            <w:shd w:val="clear" w:color="auto" w:fill="auto"/>
            <w:hideMark/>
          </w:tcPr>
          <w:p w14:paraId="5FEF1B40"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Zhvillimi i kapaciteteve të rrjetit të koordinatorëve me qëllim parandalimin e radikalizmit bazuar në aktorët e përfshirë sipas hartës së azhornuar nga ana e strukturave të Ministrisë së Brendshme. </w:t>
            </w:r>
          </w:p>
        </w:tc>
        <w:tc>
          <w:tcPr>
            <w:tcW w:w="498" w:type="dxa"/>
            <w:tcBorders>
              <w:top w:val="nil"/>
              <w:left w:val="nil"/>
              <w:bottom w:val="single" w:sz="4" w:space="0" w:color="auto"/>
              <w:right w:val="single" w:sz="4" w:space="0" w:color="auto"/>
            </w:tcBorders>
            <w:shd w:val="clear" w:color="000000" w:fill="FFFFFF"/>
            <w:vAlign w:val="center"/>
            <w:hideMark/>
          </w:tcPr>
          <w:p w14:paraId="5FEF1B41" w14:textId="618645A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B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B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Brendshme; Ministria e Arsimit; Ministria e Drejtësisë; NJVV; Ministria e Shëndetësisë dhe Mbrojtjes Sociale; Prefekturat</w:t>
            </w:r>
          </w:p>
        </w:tc>
        <w:tc>
          <w:tcPr>
            <w:tcW w:w="207" w:type="dxa"/>
            <w:tcBorders>
              <w:top w:val="nil"/>
              <w:left w:val="nil"/>
              <w:bottom w:val="single" w:sz="4" w:space="0" w:color="auto"/>
              <w:right w:val="single" w:sz="4" w:space="0" w:color="auto"/>
            </w:tcBorders>
            <w:shd w:val="clear" w:color="auto" w:fill="auto"/>
            <w:vAlign w:val="center"/>
            <w:hideMark/>
          </w:tcPr>
          <w:p w14:paraId="5FEF1B4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000000" w:fill="FFFFFF"/>
            <w:vAlign w:val="center"/>
            <w:hideMark/>
          </w:tcPr>
          <w:p w14:paraId="5FEF1B4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B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275" w:type="dxa"/>
            <w:tcBorders>
              <w:top w:val="nil"/>
              <w:left w:val="nil"/>
              <w:bottom w:val="single" w:sz="4" w:space="0" w:color="auto"/>
              <w:right w:val="single" w:sz="4" w:space="0" w:color="auto"/>
            </w:tcBorders>
            <w:shd w:val="clear" w:color="000000" w:fill="FFFFFF"/>
            <w:vAlign w:val="center"/>
            <w:hideMark/>
          </w:tcPr>
          <w:p w14:paraId="5FEF1B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306" w:type="dxa"/>
            <w:tcBorders>
              <w:top w:val="nil"/>
              <w:left w:val="nil"/>
              <w:bottom w:val="single" w:sz="4" w:space="0" w:color="auto"/>
              <w:right w:val="single" w:sz="4" w:space="0" w:color="auto"/>
            </w:tcBorders>
            <w:shd w:val="clear" w:color="000000" w:fill="FFFFFF"/>
            <w:vAlign w:val="center"/>
            <w:hideMark/>
          </w:tcPr>
          <w:p w14:paraId="5FEF1B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245" w:type="dxa"/>
            <w:tcBorders>
              <w:top w:val="nil"/>
              <w:left w:val="nil"/>
              <w:bottom w:val="single" w:sz="4" w:space="0" w:color="auto"/>
              <w:right w:val="single" w:sz="4" w:space="0" w:color="auto"/>
            </w:tcBorders>
            <w:shd w:val="clear" w:color="000000" w:fill="FFFFFF"/>
            <w:vAlign w:val="center"/>
            <w:hideMark/>
          </w:tcPr>
          <w:p w14:paraId="5FEF1B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306" w:type="dxa"/>
            <w:tcBorders>
              <w:top w:val="nil"/>
              <w:left w:val="nil"/>
              <w:bottom w:val="single" w:sz="4" w:space="0" w:color="auto"/>
              <w:right w:val="single" w:sz="4" w:space="0" w:color="auto"/>
            </w:tcBorders>
            <w:shd w:val="clear" w:color="000000" w:fill="FFFFFF"/>
            <w:vAlign w:val="center"/>
            <w:hideMark/>
          </w:tcPr>
          <w:p w14:paraId="5FEF1B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245" w:type="dxa"/>
            <w:tcBorders>
              <w:top w:val="nil"/>
              <w:left w:val="nil"/>
              <w:bottom w:val="single" w:sz="4" w:space="0" w:color="auto"/>
              <w:right w:val="single" w:sz="4" w:space="0" w:color="auto"/>
            </w:tcBorders>
            <w:shd w:val="clear" w:color="000000" w:fill="FFFFFF"/>
            <w:vAlign w:val="center"/>
            <w:hideMark/>
          </w:tcPr>
          <w:p w14:paraId="5FEF1B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w:t>
            </w:r>
          </w:p>
        </w:tc>
        <w:tc>
          <w:tcPr>
            <w:tcW w:w="306" w:type="dxa"/>
            <w:tcBorders>
              <w:top w:val="nil"/>
              <w:left w:val="nil"/>
              <w:bottom w:val="single" w:sz="4" w:space="0" w:color="auto"/>
              <w:right w:val="single" w:sz="4" w:space="0" w:color="auto"/>
            </w:tcBorders>
            <w:shd w:val="clear" w:color="000000" w:fill="FFFFFF"/>
            <w:vAlign w:val="center"/>
            <w:hideMark/>
          </w:tcPr>
          <w:p w14:paraId="5FEF1B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75" w:type="dxa"/>
            <w:tcBorders>
              <w:top w:val="nil"/>
              <w:left w:val="nil"/>
              <w:bottom w:val="single" w:sz="4" w:space="0" w:color="auto"/>
              <w:right w:val="single" w:sz="4" w:space="0" w:color="auto"/>
            </w:tcBorders>
            <w:shd w:val="clear" w:color="000000" w:fill="FFFFFF"/>
            <w:vAlign w:val="center"/>
            <w:hideMark/>
          </w:tcPr>
          <w:p w14:paraId="5FEF1B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306" w:type="dxa"/>
            <w:tcBorders>
              <w:top w:val="nil"/>
              <w:left w:val="nil"/>
              <w:bottom w:val="single" w:sz="4" w:space="0" w:color="auto"/>
              <w:right w:val="single" w:sz="4" w:space="0" w:color="auto"/>
            </w:tcBorders>
            <w:shd w:val="clear" w:color="000000" w:fill="FFFFFF"/>
            <w:vAlign w:val="center"/>
            <w:hideMark/>
          </w:tcPr>
          <w:p w14:paraId="5FEF1B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45" w:type="dxa"/>
            <w:tcBorders>
              <w:top w:val="nil"/>
              <w:left w:val="nil"/>
              <w:bottom w:val="single" w:sz="4" w:space="0" w:color="auto"/>
              <w:right w:val="single" w:sz="4" w:space="0" w:color="auto"/>
            </w:tcBorders>
            <w:shd w:val="clear" w:color="000000" w:fill="FFFFFF"/>
            <w:vAlign w:val="center"/>
            <w:hideMark/>
          </w:tcPr>
          <w:p w14:paraId="5FEF1B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75" w:type="dxa"/>
            <w:tcBorders>
              <w:top w:val="nil"/>
              <w:left w:val="nil"/>
              <w:bottom w:val="single" w:sz="4" w:space="0" w:color="auto"/>
              <w:right w:val="single" w:sz="4" w:space="0" w:color="auto"/>
            </w:tcBorders>
            <w:shd w:val="clear" w:color="000000" w:fill="FFFFFF"/>
            <w:vAlign w:val="center"/>
            <w:hideMark/>
          </w:tcPr>
          <w:p w14:paraId="5FEF1B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B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B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7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B5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1.1.31</w:t>
            </w:r>
          </w:p>
        </w:tc>
        <w:tc>
          <w:tcPr>
            <w:tcW w:w="1301" w:type="dxa"/>
            <w:tcBorders>
              <w:top w:val="nil"/>
              <w:left w:val="nil"/>
              <w:bottom w:val="single" w:sz="4" w:space="0" w:color="auto"/>
              <w:right w:val="single" w:sz="4" w:space="0" w:color="auto"/>
            </w:tcBorders>
            <w:shd w:val="clear" w:color="auto" w:fill="auto"/>
            <w:hideMark/>
          </w:tcPr>
          <w:p w14:paraId="5FEF1B5C"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Vlerësime, analiza dhe ngritje e kapaciteteve për identifikimin e rreziqeve të financimit të aktiviteteve të propagandës, radikalizmit, nxitjes së ekstremizmit të dhunshëm nga subjekte të ndryshme. </w:t>
            </w:r>
          </w:p>
        </w:tc>
        <w:tc>
          <w:tcPr>
            <w:tcW w:w="498" w:type="dxa"/>
            <w:tcBorders>
              <w:top w:val="nil"/>
              <w:left w:val="nil"/>
              <w:bottom w:val="single" w:sz="4" w:space="0" w:color="auto"/>
              <w:right w:val="single" w:sz="4" w:space="0" w:color="auto"/>
            </w:tcBorders>
            <w:shd w:val="clear" w:color="000000" w:fill="FFFFFF"/>
            <w:vAlign w:val="center"/>
            <w:hideMark/>
          </w:tcPr>
          <w:p w14:paraId="5FEF1B5D" w14:textId="46828E42"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B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B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Ekonomisë dhe Financave; Drejtoria e Përgjithshme e Pastrimit të Parave; Donatorë</w:t>
            </w:r>
          </w:p>
        </w:tc>
        <w:tc>
          <w:tcPr>
            <w:tcW w:w="207" w:type="dxa"/>
            <w:tcBorders>
              <w:top w:val="nil"/>
              <w:left w:val="nil"/>
              <w:bottom w:val="single" w:sz="4" w:space="0" w:color="auto"/>
              <w:right w:val="single" w:sz="4" w:space="0" w:color="auto"/>
            </w:tcBorders>
            <w:shd w:val="clear" w:color="auto" w:fill="auto"/>
            <w:vAlign w:val="center"/>
            <w:hideMark/>
          </w:tcPr>
          <w:p w14:paraId="5FEF1B6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000000" w:fill="FFFFFF"/>
            <w:vAlign w:val="center"/>
            <w:hideMark/>
          </w:tcPr>
          <w:p w14:paraId="5FEF1B6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B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125,000</w:t>
            </w:r>
          </w:p>
        </w:tc>
        <w:tc>
          <w:tcPr>
            <w:tcW w:w="275" w:type="dxa"/>
            <w:tcBorders>
              <w:top w:val="nil"/>
              <w:left w:val="nil"/>
              <w:bottom w:val="single" w:sz="4" w:space="0" w:color="auto"/>
              <w:right w:val="single" w:sz="4" w:space="0" w:color="auto"/>
            </w:tcBorders>
            <w:shd w:val="clear" w:color="000000" w:fill="FFFFFF"/>
            <w:vAlign w:val="center"/>
            <w:hideMark/>
          </w:tcPr>
          <w:p w14:paraId="5FEF1B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125,000</w:t>
            </w:r>
          </w:p>
        </w:tc>
        <w:tc>
          <w:tcPr>
            <w:tcW w:w="306" w:type="dxa"/>
            <w:tcBorders>
              <w:top w:val="nil"/>
              <w:left w:val="nil"/>
              <w:bottom w:val="single" w:sz="4" w:space="0" w:color="auto"/>
              <w:right w:val="single" w:sz="4" w:space="0" w:color="auto"/>
            </w:tcBorders>
            <w:shd w:val="clear" w:color="000000" w:fill="FFFFFF"/>
            <w:vAlign w:val="center"/>
            <w:hideMark/>
          </w:tcPr>
          <w:p w14:paraId="5FEF1B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125,000</w:t>
            </w:r>
          </w:p>
        </w:tc>
        <w:tc>
          <w:tcPr>
            <w:tcW w:w="245" w:type="dxa"/>
            <w:tcBorders>
              <w:top w:val="nil"/>
              <w:left w:val="nil"/>
              <w:bottom w:val="single" w:sz="4" w:space="0" w:color="auto"/>
              <w:right w:val="single" w:sz="4" w:space="0" w:color="auto"/>
            </w:tcBorders>
            <w:shd w:val="clear" w:color="000000" w:fill="FFFFFF"/>
            <w:vAlign w:val="center"/>
            <w:hideMark/>
          </w:tcPr>
          <w:p w14:paraId="5FEF1B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125,000</w:t>
            </w:r>
          </w:p>
        </w:tc>
        <w:tc>
          <w:tcPr>
            <w:tcW w:w="306" w:type="dxa"/>
            <w:tcBorders>
              <w:top w:val="nil"/>
              <w:left w:val="nil"/>
              <w:bottom w:val="single" w:sz="4" w:space="0" w:color="auto"/>
              <w:right w:val="single" w:sz="4" w:space="0" w:color="auto"/>
            </w:tcBorders>
            <w:shd w:val="clear" w:color="000000" w:fill="FFFFFF"/>
            <w:vAlign w:val="center"/>
            <w:hideMark/>
          </w:tcPr>
          <w:p w14:paraId="5FEF1B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125,000</w:t>
            </w:r>
          </w:p>
        </w:tc>
        <w:tc>
          <w:tcPr>
            <w:tcW w:w="245" w:type="dxa"/>
            <w:tcBorders>
              <w:top w:val="nil"/>
              <w:left w:val="nil"/>
              <w:bottom w:val="single" w:sz="4" w:space="0" w:color="auto"/>
              <w:right w:val="single" w:sz="4" w:space="0" w:color="auto"/>
            </w:tcBorders>
            <w:shd w:val="clear" w:color="000000" w:fill="FFFFFF"/>
            <w:vAlign w:val="center"/>
            <w:hideMark/>
          </w:tcPr>
          <w:p w14:paraId="5FEF1B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125,000</w:t>
            </w:r>
          </w:p>
        </w:tc>
        <w:tc>
          <w:tcPr>
            <w:tcW w:w="306" w:type="dxa"/>
            <w:tcBorders>
              <w:top w:val="nil"/>
              <w:left w:val="nil"/>
              <w:bottom w:val="single" w:sz="4" w:space="0" w:color="auto"/>
              <w:right w:val="single" w:sz="4" w:space="0" w:color="auto"/>
            </w:tcBorders>
            <w:shd w:val="clear" w:color="000000" w:fill="FFFFFF"/>
            <w:vAlign w:val="center"/>
            <w:hideMark/>
          </w:tcPr>
          <w:p w14:paraId="5FEF1B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375,000</w:t>
            </w:r>
          </w:p>
        </w:tc>
        <w:tc>
          <w:tcPr>
            <w:tcW w:w="275" w:type="dxa"/>
            <w:tcBorders>
              <w:top w:val="nil"/>
              <w:left w:val="nil"/>
              <w:bottom w:val="single" w:sz="4" w:space="0" w:color="auto"/>
              <w:right w:val="single" w:sz="4" w:space="0" w:color="auto"/>
            </w:tcBorders>
            <w:shd w:val="clear" w:color="000000" w:fill="FFFFFF"/>
            <w:vAlign w:val="center"/>
            <w:hideMark/>
          </w:tcPr>
          <w:p w14:paraId="5FEF1B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375,000</w:t>
            </w:r>
          </w:p>
        </w:tc>
        <w:tc>
          <w:tcPr>
            <w:tcW w:w="306" w:type="dxa"/>
            <w:tcBorders>
              <w:top w:val="nil"/>
              <w:left w:val="nil"/>
              <w:bottom w:val="single" w:sz="4" w:space="0" w:color="auto"/>
              <w:right w:val="single" w:sz="4" w:space="0" w:color="auto"/>
            </w:tcBorders>
            <w:shd w:val="clear" w:color="000000" w:fill="FFFFFF"/>
            <w:vAlign w:val="center"/>
            <w:hideMark/>
          </w:tcPr>
          <w:p w14:paraId="5FEF1B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45" w:type="dxa"/>
            <w:tcBorders>
              <w:top w:val="nil"/>
              <w:left w:val="nil"/>
              <w:bottom w:val="single" w:sz="4" w:space="0" w:color="auto"/>
              <w:right w:val="single" w:sz="4" w:space="0" w:color="auto"/>
            </w:tcBorders>
            <w:shd w:val="clear" w:color="000000" w:fill="FFFFFF"/>
            <w:vAlign w:val="center"/>
            <w:hideMark/>
          </w:tcPr>
          <w:p w14:paraId="5FEF1B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75" w:type="dxa"/>
            <w:tcBorders>
              <w:top w:val="nil"/>
              <w:left w:val="nil"/>
              <w:bottom w:val="single" w:sz="4" w:space="0" w:color="auto"/>
              <w:right w:val="single" w:sz="4" w:space="0" w:color="auto"/>
            </w:tcBorders>
            <w:shd w:val="clear" w:color="000000" w:fill="FFFFFF"/>
            <w:vAlign w:val="center"/>
            <w:hideMark/>
          </w:tcPr>
          <w:p w14:paraId="5FEF1B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75,000</w:t>
            </w:r>
          </w:p>
        </w:tc>
        <w:tc>
          <w:tcPr>
            <w:tcW w:w="245" w:type="dxa"/>
            <w:tcBorders>
              <w:top w:val="nil"/>
              <w:left w:val="nil"/>
              <w:bottom w:val="single" w:sz="4" w:space="0" w:color="auto"/>
              <w:right w:val="single" w:sz="4" w:space="0" w:color="auto"/>
            </w:tcBorders>
            <w:shd w:val="clear" w:color="000000" w:fill="FFFFFF"/>
            <w:vAlign w:val="center"/>
            <w:hideMark/>
          </w:tcPr>
          <w:p w14:paraId="5FEF1B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75,000</w:t>
            </w:r>
          </w:p>
        </w:tc>
        <w:tc>
          <w:tcPr>
            <w:tcW w:w="262" w:type="dxa"/>
            <w:tcBorders>
              <w:top w:val="nil"/>
              <w:left w:val="nil"/>
              <w:bottom w:val="single" w:sz="4" w:space="0" w:color="auto"/>
              <w:right w:val="single" w:sz="8" w:space="0" w:color="auto"/>
            </w:tcBorders>
            <w:shd w:val="clear" w:color="000000" w:fill="FFFFFF"/>
            <w:vAlign w:val="center"/>
            <w:hideMark/>
          </w:tcPr>
          <w:p w14:paraId="5FEF1B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9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B7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1.1.32</w:t>
            </w:r>
          </w:p>
        </w:tc>
        <w:tc>
          <w:tcPr>
            <w:tcW w:w="1301" w:type="dxa"/>
            <w:tcBorders>
              <w:top w:val="nil"/>
              <w:left w:val="nil"/>
              <w:bottom w:val="single" w:sz="4" w:space="0" w:color="auto"/>
              <w:right w:val="single" w:sz="4" w:space="0" w:color="auto"/>
            </w:tcBorders>
            <w:shd w:val="clear" w:color="auto" w:fill="auto"/>
            <w:hideMark/>
          </w:tcPr>
          <w:p w14:paraId="5FEF1B7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Ngritja dhe fuqizimi i pozicionit dhe kapaciteteve identifikuese dhe monitoruese të koordinatorëve, për çështje të ekstremizmit të dhunshëm, financimit të terrorizmit dhe proceseve RRR në DVP, Prefektura, NJVV, DPPP, IEVP, Bashkitë dhe në të gjithë territorin. </w:t>
            </w:r>
          </w:p>
        </w:tc>
        <w:tc>
          <w:tcPr>
            <w:tcW w:w="498" w:type="dxa"/>
            <w:tcBorders>
              <w:top w:val="nil"/>
              <w:left w:val="nil"/>
              <w:bottom w:val="single" w:sz="4" w:space="0" w:color="auto"/>
              <w:right w:val="single" w:sz="4" w:space="0" w:color="auto"/>
            </w:tcBorders>
            <w:shd w:val="clear" w:color="000000" w:fill="FFFFFF"/>
            <w:vAlign w:val="center"/>
            <w:hideMark/>
          </w:tcPr>
          <w:p w14:paraId="5FEF1B79" w14:textId="05ABB564"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B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B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MB/PSH/DVP; Bashkitë; Prefekturat; AMVV/NJVV; DPPP; IEVP; Donatorë</w:t>
            </w:r>
          </w:p>
        </w:tc>
        <w:tc>
          <w:tcPr>
            <w:tcW w:w="207" w:type="dxa"/>
            <w:tcBorders>
              <w:top w:val="nil"/>
              <w:left w:val="nil"/>
              <w:bottom w:val="single" w:sz="4" w:space="0" w:color="auto"/>
              <w:right w:val="single" w:sz="4" w:space="0" w:color="auto"/>
            </w:tcBorders>
            <w:shd w:val="clear" w:color="auto" w:fill="auto"/>
            <w:vAlign w:val="center"/>
            <w:hideMark/>
          </w:tcPr>
          <w:p w14:paraId="5FEF1B7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000000" w:fill="FFFFFF"/>
            <w:vAlign w:val="center"/>
            <w:hideMark/>
          </w:tcPr>
          <w:p w14:paraId="5FEF1B7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B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560,000</w:t>
            </w:r>
          </w:p>
        </w:tc>
        <w:tc>
          <w:tcPr>
            <w:tcW w:w="275" w:type="dxa"/>
            <w:tcBorders>
              <w:top w:val="nil"/>
              <w:left w:val="nil"/>
              <w:bottom w:val="single" w:sz="4" w:space="0" w:color="auto"/>
              <w:right w:val="single" w:sz="4" w:space="0" w:color="auto"/>
            </w:tcBorders>
            <w:shd w:val="clear" w:color="000000" w:fill="FFFFFF"/>
            <w:vAlign w:val="center"/>
            <w:hideMark/>
          </w:tcPr>
          <w:p w14:paraId="5FEF1B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560,000</w:t>
            </w:r>
          </w:p>
        </w:tc>
        <w:tc>
          <w:tcPr>
            <w:tcW w:w="306" w:type="dxa"/>
            <w:tcBorders>
              <w:top w:val="nil"/>
              <w:left w:val="nil"/>
              <w:bottom w:val="single" w:sz="4" w:space="0" w:color="auto"/>
              <w:right w:val="single" w:sz="4" w:space="0" w:color="auto"/>
            </w:tcBorders>
            <w:shd w:val="clear" w:color="000000" w:fill="FFFFFF"/>
            <w:vAlign w:val="center"/>
            <w:hideMark/>
          </w:tcPr>
          <w:p w14:paraId="5FEF1B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560,000</w:t>
            </w:r>
          </w:p>
        </w:tc>
        <w:tc>
          <w:tcPr>
            <w:tcW w:w="245" w:type="dxa"/>
            <w:tcBorders>
              <w:top w:val="nil"/>
              <w:left w:val="nil"/>
              <w:bottom w:val="single" w:sz="4" w:space="0" w:color="auto"/>
              <w:right w:val="single" w:sz="4" w:space="0" w:color="auto"/>
            </w:tcBorders>
            <w:shd w:val="clear" w:color="000000" w:fill="FFFFFF"/>
            <w:vAlign w:val="center"/>
            <w:hideMark/>
          </w:tcPr>
          <w:p w14:paraId="5FEF1B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560,000</w:t>
            </w:r>
          </w:p>
        </w:tc>
        <w:tc>
          <w:tcPr>
            <w:tcW w:w="306" w:type="dxa"/>
            <w:tcBorders>
              <w:top w:val="nil"/>
              <w:left w:val="nil"/>
              <w:bottom w:val="single" w:sz="4" w:space="0" w:color="auto"/>
              <w:right w:val="single" w:sz="4" w:space="0" w:color="auto"/>
            </w:tcBorders>
            <w:shd w:val="clear" w:color="000000" w:fill="FFFFFF"/>
            <w:vAlign w:val="center"/>
            <w:hideMark/>
          </w:tcPr>
          <w:p w14:paraId="5FEF1B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560,000</w:t>
            </w:r>
          </w:p>
        </w:tc>
        <w:tc>
          <w:tcPr>
            <w:tcW w:w="245" w:type="dxa"/>
            <w:tcBorders>
              <w:top w:val="nil"/>
              <w:left w:val="nil"/>
              <w:bottom w:val="single" w:sz="4" w:space="0" w:color="auto"/>
              <w:right w:val="single" w:sz="4" w:space="0" w:color="auto"/>
            </w:tcBorders>
            <w:shd w:val="clear" w:color="000000" w:fill="FFFFFF"/>
            <w:vAlign w:val="center"/>
            <w:hideMark/>
          </w:tcPr>
          <w:p w14:paraId="5FEF1B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560,000</w:t>
            </w:r>
          </w:p>
        </w:tc>
        <w:tc>
          <w:tcPr>
            <w:tcW w:w="306" w:type="dxa"/>
            <w:tcBorders>
              <w:top w:val="nil"/>
              <w:left w:val="nil"/>
              <w:bottom w:val="single" w:sz="4" w:space="0" w:color="auto"/>
              <w:right w:val="single" w:sz="4" w:space="0" w:color="auto"/>
            </w:tcBorders>
            <w:shd w:val="clear" w:color="000000" w:fill="FFFFFF"/>
            <w:vAlign w:val="center"/>
            <w:hideMark/>
          </w:tcPr>
          <w:p w14:paraId="5FEF1B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1,680,000</w:t>
            </w:r>
          </w:p>
        </w:tc>
        <w:tc>
          <w:tcPr>
            <w:tcW w:w="275" w:type="dxa"/>
            <w:tcBorders>
              <w:top w:val="nil"/>
              <w:left w:val="nil"/>
              <w:bottom w:val="single" w:sz="4" w:space="0" w:color="auto"/>
              <w:right w:val="single" w:sz="4" w:space="0" w:color="auto"/>
            </w:tcBorders>
            <w:shd w:val="clear" w:color="000000" w:fill="FFFFFF"/>
            <w:vAlign w:val="center"/>
            <w:hideMark/>
          </w:tcPr>
          <w:p w14:paraId="5FEF1B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1,680,000</w:t>
            </w:r>
          </w:p>
        </w:tc>
        <w:tc>
          <w:tcPr>
            <w:tcW w:w="306" w:type="dxa"/>
            <w:tcBorders>
              <w:top w:val="nil"/>
              <w:left w:val="nil"/>
              <w:bottom w:val="single" w:sz="4" w:space="0" w:color="auto"/>
              <w:right w:val="single" w:sz="4" w:space="0" w:color="auto"/>
            </w:tcBorders>
            <w:shd w:val="clear" w:color="000000" w:fill="FFFFFF"/>
            <w:vAlign w:val="center"/>
            <w:hideMark/>
          </w:tcPr>
          <w:p w14:paraId="5FEF1B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45" w:type="dxa"/>
            <w:tcBorders>
              <w:top w:val="nil"/>
              <w:left w:val="nil"/>
              <w:bottom w:val="single" w:sz="4" w:space="0" w:color="auto"/>
              <w:right w:val="single" w:sz="4" w:space="0" w:color="auto"/>
            </w:tcBorders>
            <w:shd w:val="clear" w:color="000000" w:fill="FFFFFF"/>
            <w:vAlign w:val="center"/>
            <w:hideMark/>
          </w:tcPr>
          <w:p w14:paraId="5FEF1B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1,500,000</w:t>
            </w:r>
          </w:p>
        </w:tc>
        <w:tc>
          <w:tcPr>
            <w:tcW w:w="275" w:type="dxa"/>
            <w:tcBorders>
              <w:top w:val="nil"/>
              <w:left w:val="nil"/>
              <w:bottom w:val="single" w:sz="4" w:space="0" w:color="auto"/>
              <w:right w:val="single" w:sz="4" w:space="0" w:color="auto"/>
            </w:tcBorders>
            <w:shd w:val="clear" w:color="000000" w:fill="FFFFFF"/>
            <w:vAlign w:val="center"/>
            <w:hideMark/>
          </w:tcPr>
          <w:p w14:paraId="5FEF1B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45" w:type="dxa"/>
            <w:tcBorders>
              <w:top w:val="nil"/>
              <w:left w:val="nil"/>
              <w:bottom w:val="single" w:sz="4" w:space="0" w:color="auto"/>
              <w:right w:val="single" w:sz="4" w:space="0" w:color="auto"/>
            </w:tcBorders>
            <w:shd w:val="clear" w:color="000000" w:fill="FFFFFF"/>
            <w:vAlign w:val="center"/>
            <w:hideMark/>
          </w:tcPr>
          <w:p w14:paraId="5FEF1B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62" w:type="dxa"/>
            <w:tcBorders>
              <w:top w:val="nil"/>
              <w:left w:val="nil"/>
              <w:bottom w:val="single" w:sz="4" w:space="0" w:color="auto"/>
              <w:right w:val="single" w:sz="8" w:space="0" w:color="auto"/>
            </w:tcBorders>
            <w:shd w:val="clear" w:color="000000" w:fill="FFFFFF"/>
            <w:vAlign w:val="center"/>
            <w:hideMark/>
          </w:tcPr>
          <w:p w14:paraId="5FEF1B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BA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1B9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1B94"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1.1.</w:t>
            </w:r>
          </w:p>
        </w:tc>
        <w:tc>
          <w:tcPr>
            <w:tcW w:w="498" w:type="dxa"/>
            <w:tcBorders>
              <w:top w:val="nil"/>
              <w:left w:val="nil"/>
              <w:bottom w:val="single" w:sz="4" w:space="0" w:color="auto"/>
              <w:right w:val="single" w:sz="4" w:space="0" w:color="auto"/>
            </w:tcBorders>
            <w:shd w:val="clear" w:color="000000" w:fill="D9D9D9"/>
            <w:vAlign w:val="center"/>
            <w:hideMark/>
          </w:tcPr>
          <w:p w14:paraId="5FEF1B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1B9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1B9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1B9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1B9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1B9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4,234,640</w:t>
            </w:r>
          </w:p>
        </w:tc>
        <w:tc>
          <w:tcPr>
            <w:tcW w:w="275" w:type="dxa"/>
            <w:tcBorders>
              <w:top w:val="nil"/>
              <w:left w:val="nil"/>
              <w:bottom w:val="single" w:sz="4" w:space="0" w:color="auto"/>
              <w:right w:val="single" w:sz="4" w:space="0" w:color="auto"/>
            </w:tcBorders>
            <w:shd w:val="clear" w:color="000000" w:fill="D9D9D9"/>
            <w:vAlign w:val="center"/>
            <w:hideMark/>
          </w:tcPr>
          <w:p w14:paraId="5FEF1B9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B9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4,234,640</w:t>
            </w:r>
          </w:p>
        </w:tc>
        <w:tc>
          <w:tcPr>
            <w:tcW w:w="306" w:type="dxa"/>
            <w:tcBorders>
              <w:top w:val="nil"/>
              <w:left w:val="nil"/>
              <w:bottom w:val="single" w:sz="4" w:space="0" w:color="auto"/>
              <w:right w:val="single" w:sz="4" w:space="0" w:color="auto"/>
            </w:tcBorders>
            <w:shd w:val="clear" w:color="000000" w:fill="D9D9D9"/>
            <w:vAlign w:val="center"/>
            <w:hideMark/>
          </w:tcPr>
          <w:p w14:paraId="5FEF1B9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4,177,720</w:t>
            </w:r>
          </w:p>
        </w:tc>
        <w:tc>
          <w:tcPr>
            <w:tcW w:w="245" w:type="dxa"/>
            <w:tcBorders>
              <w:top w:val="nil"/>
              <w:left w:val="nil"/>
              <w:bottom w:val="single" w:sz="4" w:space="0" w:color="auto"/>
              <w:right w:val="single" w:sz="4" w:space="0" w:color="auto"/>
            </w:tcBorders>
            <w:shd w:val="clear" w:color="000000" w:fill="D9D9D9"/>
            <w:vAlign w:val="center"/>
            <w:hideMark/>
          </w:tcPr>
          <w:p w14:paraId="5FEF1B9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B9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4,177,720</w:t>
            </w:r>
          </w:p>
        </w:tc>
        <w:tc>
          <w:tcPr>
            <w:tcW w:w="306" w:type="dxa"/>
            <w:tcBorders>
              <w:top w:val="nil"/>
              <w:left w:val="nil"/>
              <w:bottom w:val="single" w:sz="4" w:space="0" w:color="auto"/>
              <w:right w:val="single" w:sz="4" w:space="0" w:color="auto"/>
            </w:tcBorders>
            <w:shd w:val="clear" w:color="000000" w:fill="D9D9D9"/>
            <w:vAlign w:val="center"/>
            <w:hideMark/>
          </w:tcPr>
          <w:p w14:paraId="5FEF1BA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4,177,720</w:t>
            </w:r>
          </w:p>
        </w:tc>
        <w:tc>
          <w:tcPr>
            <w:tcW w:w="245" w:type="dxa"/>
            <w:tcBorders>
              <w:top w:val="nil"/>
              <w:left w:val="nil"/>
              <w:bottom w:val="single" w:sz="4" w:space="0" w:color="auto"/>
              <w:right w:val="single" w:sz="4" w:space="0" w:color="auto"/>
            </w:tcBorders>
            <w:shd w:val="clear" w:color="000000" w:fill="D9D9D9"/>
            <w:vAlign w:val="center"/>
            <w:hideMark/>
          </w:tcPr>
          <w:p w14:paraId="5FEF1BA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BA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4,177,720</w:t>
            </w:r>
          </w:p>
        </w:tc>
        <w:tc>
          <w:tcPr>
            <w:tcW w:w="306" w:type="dxa"/>
            <w:tcBorders>
              <w:top w:val="nil"/>
              <w:left w:val="nil"/>
              <w:bottom w:val="single" w:sz="4" w:space="0" w:color="auto"/>
              <w:right w:val="single" w:sz="4" w:space="0" w:color="auto"/>
            </w:tcBorders>
            <w:shd w:val="clear" w:color="000000" w:fill="D9D9D9"/>
            <w:vAlign w:val="center"/>
            <w:hideMark/>
          </w:tcPr>
          <w:p w14:paraId="5FEF1BA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12,590,081</w:t>
            </w:r>
          </w:p>
        </w:tc>
        <w:tc>
          <w:tcPr>
            <w:tcW w:w="275" w:type="dxa"/>
            <w:tcBorders>
              <w:top w:val="nil"/>
              <w:left w:val="nil"/>
              <w:bottom w:val="single" w:sz="4" w:space="0" w:color="auto"/>
              <w:right w:val="single" w:sz="4" w:space="0" w:color="auto"/>
            </w:tcBorders>
            <w:shd w:val="clear" w:color="000000" w:fill="D9D9D9"/>
            <w:vAlign w:val="center"/>
            <w:hideMark/>
          </w:tcPr>
          <w:p w14:paraId="5FEF1BA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BA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12,590,081</w:t>
            </w:r>
          </w:p>
        </w:tc>
        <w:tc>
          <w:tcPr>
            <w:tcW w:w="306" w:type="dxa"/>
            <w:tcBorders>
              <w:top w:val="nil"/>
              <w:left w:val="nil"/>
              <w:bottom w:val="single" w:sz="4" w:space="0" w:color="auto"/>
              <w:right w:val="single" w:sz="4" w:space="0" w:color="auto"/>
            </w:tcBorders>
            <w:shd w:val="clear" w:color="000000" w:fill="D9D9D9"/>
            <w:vAlign w:val="center"/>
            <w:hideMark/>
          </w:tcPr>
          <w:p w14:paraId="5FEF1BA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11,971,741</w:t>
            </w:r>
          </w:p>
        </w:tc>
        <w:tc>
          <w:tcPr>
            <w:tcW w:w="245" w:type="dxa"/>
            <w:tcBorders>
              <w:top w:val="nil"/>
              <w:left w:val="nil"/>
              <w:bottom w:val="single" w:sz="4" w:space="0" w:color="auto"/>
              <w:right w:val="single" w:sz="4" w:space="0" w:color="auto"/>
            </w:tcBorders>
            <w:shd w:val="clear" w:color="000000" w:fill="D9D9D9"/>
            <w:vAlign w:val="center"/>
            <w:hideMark/>
          </w:tcPr>
          <w:p w14:paraId="5FEF1BA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BA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11,971,741</w:t>
            </w:r>
          </w:p>
        </w:tc>
        <w:tc>
          <w:tcPr>
            <w:tcW w:w="275" w:type="dxa"/>
            <w:tcBorders>
              <w:top w:val="nil"/>
              <w:left w:val="nil"/>
              <w:bottom w:val="single" w:sz="4" w:space="0" w:color="auto"/>
              <w:right w:val="single" w:sz="4" w:space="0" w:color="auto"/>
            </w:tcBorders>
            <w:shd w:val="clear" w:color="000000" w:fill="D9D9D9"/>
            <w:vAlign w:val="center"/>
            <w:hideMark/>
          </w:tcPr>
          <w:p w14:paraId="5FEF1BA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618,340</w:t>
            </w:r>
          </w:p>
        </w:tc>
        <w:tc>
          <w:tcPr>
            <w:tcW w:w="245" w:type="dxa"/>
            <w:tcBorders>
              <w:top w:val="nil"/>
              <w:left w:val="nil"/>
              <w:bottom w:val="single" w:sz="4" w:space="0" w:color="auto"/>
              <w:right w:val="single" w:sz="4" w:space="0" w:color="auto"/>
            </w:tcBorders>
            <w:shd w:val="clear" w:color="000000" w:fill="D9D9D9"/>
            <w:vAlign w:val="center"/>
            <w:hideMark/>
          </w:tcPr>
          <w:p w14:paraId="5FEF1BA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1BA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1BA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618,340</w:t>
            </w:r>
          </w:p>
        </w:tc>
        <w:tc>
          <w:tcPr>
            <w:tcW w:w="262" w:type="dxa"/>
            <w:tcBorders>
              <w:top w:val="nil"/>
              <w:left w:val="nil"/>
              <w:bottom w:val="single" w:sz="4" w:space="0" w:color="auto"/>
              <w:right w:val="single" w:sz="4" w:space="0" w:color="auto"/>
            </w:tcBorders>
            <w:shd w:val="clear" w:color="000000" w:fill="D9D9D9"/>
            <w:vAlign w:val="center"/>
            <w:hideMark/>
          </w:tcPr>
          <w:p w14:paraId="5FEF1BA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1BC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BA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w:t>
            </w:r>
          </w:p>
        </w:tc>
        <w:tc>
          <w:tcPr>
            <w:tcW w:w="1301" w:type="dxa"/>
            <w:tcBorders>
              <w:top w:val="single" w:sz="8" w:space="0" w:color="auto"/>
              <w:left w:val="single" w:sz="8" w:space="0" w:color="auto"/>
              <w:bottom w:val="nil"/>
              <w:right w:val="single" w:sz="8" w:space="0" w:color="auto"/>
            </w:tcBorders>
            <w:shd w:val="clear" w:color="auto" w:fill="auto"/>
            <w:vAlign w:val="center"/>
            <w:hideMark/>
          </w:tcPr>
          <w:p w14:paraId="5FEF1BB0" w14:textId="291138B3" w:rsidR="002117FE" w:rsidRPr="00795698" w:rsidRDefault="002117FE" w:rsidP="002117FE">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 Analizimi dhe adresimi i faktorëve nxitës për individët që janë në rrezik për t</w:t>
            </w:r>
            <w:r w:rsidR="0041767D" w:rsidRPr="00795698">
              <w:rPr>
                <w:rFonts w:ascii="Arial" w:hAnsi="Arial" w:cs="Arial"/>
                <w:b/>
                <w:bCs/>
                <w:color w:val="000000"/>
                <w:sz w:val="6"/>
                <w:szCs w:val="6"/>
                <w:lang w:eastAsia="sq-AL"/>
              </w:rPr>
              <w:t>’</w:t>
            </w:r>
            <w:r w:rsidRPr="00795698">
              <w:rPr>
                <w:rFonts w:ascii="Arial" w:hAnsi="Arial" w:cs="Arial"/>
                <w:b/>
                <w:bCs/>
                <w:color w:val="000000"/>
                <w:sz w:val="6"/>
                <w:szCs w:val="6"/>
                <w:lang w:eastAsia="sq-AL"/>
              </w:rPr>
              <w:t>u radikalizuar apo përfshirë në ekstremizëm të dhunshëm dhe forcimi i komuniteteve vulnerabël përmes përfshirjes së tyre në shoqëri dhe tregun e punës</w:t>
            </w:r>
          </w:p>
        </w:tc>
        <w:tc>
          <w:tcPr>
            <w:tcW w:w="498" w:type="dxa"/>
            <w:tcBorders>
              <w:top w:val="nil"/>
              <w:left w:val="single" w:sz="4" w:space="0" w:color="auto"/>
              <w:bottom w:val="single" w:sz="4" w:space="0" w:color="auto"/>
              <w:right w:val="single" w:sz="4" w:space="0" w:color="auto"/>
            </w:tcBorders>
            <w:shd w:val="clear" w:color="000000" w:fill="FFFFFF"/>
            <w:vAlign w:val="center"/>
            <w:hideMark/>
          </w:tcPr>
          <w:p w14:paraId="5FEF1B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FFFFFF"/>
            <w:vAlign w:val="center"/>
            <w:hideMark/>
          </w:tcPr>
          <w:p w14:paraId="5FEF1B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000000" w:fill="FFFFFF"/>
            <w:vAlign w:val="center"/>
            <w:hideMark/>
          </w:tcPr>
          <w:p w14:paraId="5FEF1B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vAlign w:val="center"/>
            <w:hideMark/>
          </w:tcPr>
          <w:p w14:paraId="5FEF1BB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vAlign w:val="center"/>
            <w:hideMark/>
          </w:tcPr>
          <w:p w14:paraId="5FEF1BB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B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w:t>
            </w:r>
          </w:p>
        </w:tc>
        <w:tc>
          <w:tcPr>
            <w:tcW w:w="306" w:type="dxa"/>
            <w:tcBorders>
              <w:top w:val="nil"/>
              <w:left w:val="nil"/>
              <w:bottom w:val="single" w:sz="4" w:space="0" w:color="auto"/>
              <w:right w:val="single" w:sz="4" w:space="0" w:color="auto"/>
            </w:tcBorders>
            <w:shd w:val="clear" w:color="000000" w:fill="FFFFFF"/>
            <w:vAlign w:val="center"/>
            <w:hideMark/>
          </w:tcPr>
          <w:p w14:paraId="5FEF1B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B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B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1B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000000" w:fill="FFFFFF"/>
            <w:vAlign w:val="center"/>
            <w:hideMark/>
          </w:tcPr>
          <w:p w14:paraId="5FEF1B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000000" w:fill="FFFFFF"/>
            <w:vAlign w:val="center"/>
            <w:hideMark/>
          </w:tcPr>
          <w:p w14:paraId="5FEF1B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000000" w:fill="FFFFFF"/>
            <w:vAlign w:val="center"/>
            <w:hideMark/>
          </w:tcPr>
          <w:p w14:paraId="5FEF1B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1BE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BC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1.2.1</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14:paraId="5FEF1BCC" w14:textId="19C3FBB0"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Zbatimi i programit kombëtar të daljes nga skema e ndihmës ekonomike për përfituesit e ndihmës ekonomike me prioritet në zonat me rrezikshmëri më të lartë ndaj fenomenit të radikalizimit dhe ekstremizmit të dhunshëm; (http://qeverisjavendore.gov.al/keshillikonsultativ/ëp-content/uploads/2021/01/16.-Programi-Kombetar-per-daljen-nga-skema-e-ndihmes-ekonomike.pdf (</w:t>
            </w:r>
            <w:r w:rsidR="00623407" w:rsidRPr="00795698">
              <w:rPr>
                <w:rFonts w:ascii="Arial" w:hAnsi="Arial" w:cs="Arial"/>
                <w:color w:val="000000"/>
                <w:sz w:val="6"/>
                <w:szCs w:val="6"/>
                <w:lang w:eastAsia="sq-AL"/>
              </w:rPr>
              <w:t>2020–</w:t>
            </w:r>
            <w:r w:rsidRPr="00795698">
              <w:rPr>
                <w:rFonts w:ascii="Arial" w:hAnsi="Arial" w:cs="Arial"/>
                <w:color w:val="000000"/>
                <w:sz w:val="6"/>
                <w:szCs w:val="6"/>
                <w:lang w:eastAsia="sq-AL"/>
              </w:rPr>
              <w:t>2022 dhe sipas rinovimit të këtij plani)</w:t>
            </w:r>
          </w:p>
        </w:tc>
        <w:tc>
          <w:tcPr>
            <w:tcW w:w="498" w:type="dxa"/>
            <w:tcBorders>
              <w:top w:val="nil"/>
              <w:left w:val="nil"/>
              <w:bottom w:val="single" w:sz="4" w:space="0" w:color="auto"/>
              <w:right w:val="single" w:sz="4" w:space="0" w:color="auto"/>
            </w:tcBorders>
            <w:shd w:val="clear" w:color="000000" w:fill="FFFFFF"/>
            <w:vAlign w:val="center"/>
            <w:hideMark/>
          </w:tcPr>
          <w:p w14:paraId="5FEF1BCD" w14:textId="4264D4C1"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10430 "Kujdesi Social"</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Kodi i Produktit 91307AA</w:t>
            </w:r>
          </w:p>
        </w:tc>
        <w:tc>
          <w:tcPr>
            <w:tcW w:w="498" w:type="dxa"/>
            <w:tcBorders>
              <w:top w:val="nil"/>
              <w:left w:val="nil"/>
              <w:bottom w:val="single" w:sz="4" w:space="0" w:color="auto"/>
              <w:right w:val="single" w:sz="4" w:space="0" w:color="auto"/>
            </w:tcBorders>
            <w:shd w:val="clear" w:color="000000" w:fill="FFFFFF"/>
            <w:vAlign w:val="center"/>
            <w:hideMark/>
          </w:tcPr>
          <w:p w14:paraId="5FEF1B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w:t>
            </w:r>
          </w:p>
        </w:tc>
        <w:tc>
          <w:tcPr>
            <w:tcW w:w="578" w:type="dxa"/>
            <w:tcBorders>
              <w:top w:val="nil"/>
              <w:left w:val="nil"/>
              <w:bottom w:val="single" w:sz="4" w:space="0" w:color="auto"/>
              <w:right w:val="single" w:sz="4" w:space="0" w:color="auto"/>
            </w:tcBorders>
            <w:shd w:val="clear" w:color="000000" w:fill="FFFFFF"/>
            <w:vAlign w:val="center"/>
            <w:hideMark/>
          </w:tcPr>
          <w:p w14:paraId="5FEF1B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MFE; NJVV (Zyra për Shërbimet Sociale në Bashki); Shërbimi Social Shtetëror; AKPA; AMVV;</w:t>
            </w:r>
            <w:r w:rsidRPr="00795698">
              <w:rPr>
                <w:rFonts w:ascii="Arial" w:hAnsi="Arial" w:cs="Arial"/>
                <w:color w:val="000000"/>
                <w:sz w:val="6"/>
                <w:szCs w:val="6"/>
                <w:lang w:eastAsia="sq-AL"/>
              </w:rPr>
              <w:br/>
              <w:t xml:space="preserve">QKEDH; </w:t>
            </w:r>
          </w:p>
        </w:tc>
        <w:tc>
          <w:tcPr>
            <w:tcW w:w="207" w:type="dxa"/>
            <w:tcBorders>
              <w:top w:val="nil"/>
              <w:left w:val="nil"/>
              <w:bottom w:val="single" w:sz="4" w:space="0" w:color="auto"/>
              <w:right w:val="single" w:sz="4" w:space="0" w:color="auto"/>
            </w:tcBorders>
            <w:shd w:val="clear" w:color="auto" w:fill="auto"/>
            <w:vAlign w:val="center"/>
            <w:hideMark/>
          </w:tcPr>
          <w:p w14:paraId="5FEF1BD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BD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B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159,300</w:t>
            </w:r>
          </w:p>
        </w:tc>
        <w:tc>
          <w:tcPr>
            <w:tcW w:w="275" w:type="dxa"/>
            <w:tcBorders>
              <w:top w:val="nil"/>
              <w:left w:val="nil"/>
              <w:bottom w:val="single" w:sz="4" w:space="0" w:color="auto"/>
              <w:right w:val="single" w:sz="4" w:space="0" w:color="auto"/>
            </w:tcBorders>
            <w:shd w:val="clear" w:color="000000" w:fill="FFFFFF"/>
            <w:vAlign w:val="center"/>
            <w:hideMark/>
          </w:tcPr>
          <w:p w14:paraId="5FEF1B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159,300</w:t>
            </w:r>
          </w:p>
        </w:tc>
        <w:tc>
          <w:tcPr>
            <w:tcW w:w="306" w:type="dxa"/>
            <w:tcBorders>
              <w:top w:val="nil"/>
              <w:left w:val="nil"/>
              <w:bottom w:val="single" w:sz="4" w:space="0" w:color="auto"/>
              <w:right w:val="single" w:sz="4" w:space="0" w:color="auto"/>
            </w:tcBorders>
            <w:shd w:val="clear" w:color="000000" w:fill="FFFFFF"/>
            <w:vAlign w:val="center"/>
            <w:hideMark/>
          </w:tcPr>
          <w:p w14:paraId="5FEF1B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159,300</w:t>
            </w:r>
          </w:p>
        </w:tc>
        <w:tc>
          <w:tcPr>
            <w:tcW w:w="245" w:type="dxa"/>
            <w:tcBorders>
              <w:top w:val="nil"/>
              <w:left w:val="nil"/>
              <w:bottom w:val="single" w:sz="4" w:space="0" w:color="auto"/>
              <w:right w:val="single" w:sz="4" w:space="0" w:color="auto"/>
            </w:tcBorders>
            <w:shd w:val="clear" w:color="000000" w:fill="FFFFFF"/>
            <w:vAlign w:val="center"/>
            <w:hideMark/>
          </w:tcPr>
          <w:p w14:paraId="5FEF1B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159,300</w:t>
            </w:r>
          </w:p>
        </w:tc>
        <w:tc>
          <w:tcPr>
            <w:tcW w:w="306" w:type="dxa"/>
            <w:tcBorders>
              <w:top w:val="nil"/>
              <w:left w:val="nil"/>
              <w:bottom w:val="single" w:sz="4" w:space="0" w:color="auto"/>
              <w:right w:val="single" w:sz="4" w:space="0" w:color="auto"/>
            </w:tcBorders>
            <w:shd w:val="clear" w:color="000000" w:fill="FFFFFF"/>
            <w:vAlign w:val="center"/>
            <w:hideMark/>
          </w:tcPr>
          <w:p w14:paraId="5FEF1B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159,300</w:t>
            </w:r>
          </w:p>
        </w:tc>
        <w:tc>
          <w:tcPr>
            <w:tcW w:w="245" w:type="dxa"/>
            <w:tcBorders>
              <w:top w:val="nil"/>
              <w:left w:val="nil"/>
              <w:bottom w:val="single" w:sz="4" w:space="0" w:color="auto"/>
              <w:right w:val="single" w:sz="4" w:space="0" w:color="auto"/>
            </w:tcBorders>
            <w:shd w:val="clear" w:color="000000" w:fill="FFFFFF"/>
            <w:vAlign w:val="center"/>
            <w:hideMark/>
          </w:tcPr>
          <w:p w14:paraId="5FEF1B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159,300</w:t>
            </w:r>
          </w:p>
        </w:tc>
        <w:tc>
          <w:tcPr>
            <w:tcW w:w="306" w:type="dxa"/>
            <w:tcBorders>
              <w:top w:val="nil"/>
              <w:left w:val="nil"/>
              <w:bottom w:val="single" w:sz="4" w:space="0" w:color="auto"/>
              <w:right w:val="single" w:sz="4" w:space="0" w:color="auto"/>
            </w:tcBorders>
            <w:shd w:val="clear" w:color="000000" w:fill="FFFFFF"/>
            <w:vAlign w:val="center"/>
            <w:hideMark/>
          </w:tcPr>
          <w:p w14:paraId="5FEF1B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477,900</w:t>
            </w:r>
          </w:p>
        </w:tc>
        <w:tc>
          <w:tcPr>
            <w:tcW w:w="275" w:type="dxa"/>
            <w:tcBorders>
              <w:top w:val="nil"/>
              <w:left w:val="nil"/>
              <w:bottom w:val="single" w:sz="4" w:space="0" w:color="auto"/>
              <w:right w:val="single" w:sz="4" w:space="0" w:color="auto"/>
            </w:tcBorders>
            <w:shd w:val="clear" w:color="000000" w:fill="FFFFFF"/>
            <w:vAlign w:val="center"/>
            <w:hideMark/>
          </w:tcPr>
          <w:p w14:paraId="5FEF1B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477,900</w:t>
            </w:r>
          </w:p>
        </w:tc>
        <w:tc>
          <w:tcPr>
            <w:tcW w:w="306" w:type="dxa"/>
            <w:tcBorders>
              <w:top w:val="nil"/>
              <w:left w:val="nil"/>
              <w:bottom w:val="single" w:sz="4" w:space="0" w:color="auto"/>
              <w:right w:val="single" w:sz="4" w:space="0" w:color="auto"/>
            </w:tcBorders>
            <w:shd w:val="clear" w:color="000000" w:fill="FFFFFF"/>
            <w:vAlign w:val="center"/>
            <w:hideMark/>
          </w:tcPr>
          <w:p w14:paraId="5FEF1B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477,900</w:t>
            </w:r>
          </w:p>
        </w:tc>
        <w:tc>
          <w:tcPr>
            <w:tcW w:w="245" w:type="dxa"/>
            <w:tcBorders>
              <w:top w:val="nil"/>
              <w:left w:val="nil"/>
              <w:bottom w:val="single" w:sz="4" w:space="0" w:color="auto"/>
              <w:right w:val="single" w:sz="4" w:space="0" w:color="auto"/>
            </w:tcBorders>
            <w:shd w:val="clear" w:color="000000" w:fill="FFFFFF"/>
            <w:vAlign w:val="center"/>
            <w:hideMark/>
          </w:tcPr>
          <w:p w14:paraId="5FEF1B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477,900</w:t>
            </w:r>
          </w:p>
        </w:tc>
        <w:tc>
          <w:tcPr>
            <w:tcW w:w="275" w:type="dxa"/>
            <w:tcBorders>
              <w:top w:val="nil"/>
              <w:left w:val="nil"/>
              <w:bottom w:val="single" w:sz="4" w:space="0" w:color="auto"/>
              <w:right w:val="single" w:sz="4" w:space="0" w:color="auto"/>
            </w:tcBorders>
            <w:shd w:val="clear" w:color="000000" w:fill="FFFFFF"/>
            <w:vAlign w:val="center"/>
            <w:hideMark/>
          </w:tcPr>
          <w:p w14:paraId="5FEF1B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B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B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B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0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BE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1.2.2</w:t>
            </w:r>
          </w:p>
        </w:tc>
        <w:tc>
          <w:tcPr>
            <w:tcW w:w="1301" w:type="dxa"/>
            <w:tcBorders>
              <w:top w:val="nil"/>
              <w:left w:val="nil"/>
              <w:bottom w:val="single" w:sz="4" w:space="0" w:color="auto"/>
              <w:right w:val="single" w:sz="4" w:space="0" w:color="auto"/>
            </w:tcBorders>
            <w:shd w:val="clear" w:color="auto" w:fill="auto"/>
            <w:vAlign w:val="center"/>
            <w:hideMark/>
          </w:tcPr>
          <w:p w14:paraId="5FEF1BE8" w14:textId="1A67E098"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 xml:space="preserve">Sensibilizimi i bizneseve dhe komunitetit në tërësi me qëllim që të jenë më të hapur dhe </w:t>
            </w:r>
            <w:r w:rsidR="00B4110E" w:rsidRPr="00795698">
              <w:rPr>
                <w:rFonts w:ascii="Arial" w:hAnsi="Arial" w:cs="Arial"/>
                <w:color w:val="000000"/>
                <w:sz w:val="6"/>
                <w:szCs w:val="6"/>
                <w:lang w:eastAsia="sq-AL"/>
              </w:rPr>
              <w:t>jo</w:t>
            </w:r>
            <w:r w:rsidRPr="00795698">
              <w:rPr>
                <w:rFonts w:ascii="Arial" w:hAnsi="Arial" w:cs="Arial"/>
                <w:color w:val="000000"/>
                <w:sz w:val="6"/>
                <w:szCs w:val="6"/>
                <w:lang w:eastAsia="sq-AL"/>
              </w:rPr>
              <w:t>paragjykues ndaj</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personave të radikalizuar dhe individëve të kthyer nga vendet e luftës në lidhje me çështje të punësimit. </w:t>
            </w:r>
          </w:p>
        </w:tc>
        <w:tc>
          <w:tcPr>
            <w:tcW w:w="498" w:type="dxa"/>
            <w:tcBorders>
              <w:top w:val="nil"/>
              <w:left w:val="nil"/>
              <w:bottom w:val="single" w:sz="4" w:space="0" w:color="auto"/>
              <w:right w:val="single" w:sz="4" w:space="0" w:color="auto"/>
            </w:tcBorders>
            <w:shd w:val="clear" w:color="000000" w:fill="FFFFFF"/>
            <w:vAlign w:val="center"/>
            <w:hideMark/>
          </w:tcPr>
          <w:p w14:paraId="5FEF1B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Buxhetor 01110</w:t>
            </w:r>
          </w:p>
        </w:tc>
        <w:tc>
          <w:tcPr>
            <w:tcW w:w="498" w:type="dxa"/>
            <w:tcBorders>
              <w:top w:val="nil"/>
              <w:left w:val="nil"/>
              <w:bottom w:val="single" w:sz="4" w:space="0" w:color="auto"/>
              <w:right w:val="single" w:sz="4" w:space="0" w:color="auto"/>
            </w:tcBorders>
            <w:shd w:val="clear" w:color="000000" w:fill="FFFFFF"/>
            <w:vAlign w:val="center"/>
            <w:hideMark/>
          </w:tcPr>
          <w:p w14:paraId="5FEF1B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MFE </w:t>
            </w:r>
          </w:p>
        </w:tc>
        <w:tc>
          <w:tcPr>
            <w:tcW w:w="578" w:type="dxa"/>
            <w:tcBorders>
              <w:top w:val="nil"/>
              <w:left w:val="nil"/>
              <w:bottom w:val="single" w:sz="4" w:space="0" w:color="auto"/>
              <w:right w:val="single" w:sz="4" w:space="0" w:color="auto"/>
            </w:tcBorders>
            <w:shd w:val="clear" w:color="000000" w:fill="FFFFFF"/>
            <w:vAlign w:val="center"/>
            <w:hideMark/>
          </w:tcPr>
          <w:p w14:paraId="5FEF1B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Dhomat e Tregtisë; AIDA; NJVV; QKEDH</w:t>
            </w:r>
          </w:p>
        </w:tc>
        <w:tc>
          <w:tcPr>
            <w:tcW w:w="207" w:type="dxa"/>
            <w:tcBorders>
              <w:top w:val="nil"/>
              <w:left w:val="nil"/>
              <w:bottom w:val="single" w:sz="4" w:space="0" w:color="auto"/>
              <w:right w:val="single" w:sz="4" w:space="0" w:color="auto"/>
            </w:tcBorders>
            <w:shd w:val="clear" w:color="auto" w:fill="auto"/>
            <w:vAlign w:val="center"/>
            <w:hideMark/>
          </w:tcPr>
          <w:p w14:paraId="5FEF1BE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260" w:type="dxa"/>
            <w:tcBorders>
              <w:top w:val="nil"/>
              <w:left w:val="nil"/>
              <w:bottom w:val="single" w:sz="4" w:space="0" w:color="auto"/>
              <w:right w:val="single" w:sz="4" w:space="0" w:color="auto"/>
            </w:tcBorders>
            <w:shd w:val="clear" w:color="auto" w:fill="auto"/>
            <w:vAlign w:val="center"/>
            <w:hideMark/>
          </w:tcPr>
          <w:p w14:paraId="5FEF1BE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B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37,050</w:t>
            </w:r>
          </w:p>
        </w:tc>
        <w:tc>
          <w:tcPr>
            <w:tcW w:w="275" w:type="dxa"/>
            <w:tcBorders>
              <w:top w:val="nil"/>
              <w:left w:val="nil"/>
              <w:bottom w:val="single" w:sz="4" w:space="0" w:color="auto"/>
              <w:right w:val="single" w:sz="4" w:space="0" w:color="auto"/>
            </w:tcBorders>
            <w:shd w:val="clear" w:color="000000" w:fill="FFFFFF"/>
            <w:vAlign w:val="center"/>
            <w:hideMark/>
          </w:tcPr>
          <w:p w14:paraId="5FEF1B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37,050</w:t>
            </w:r>
          </w:p>
        </w:tc>
        <w:tc>
          <w:tcPr>
            <w:tcW w:w="306" w:type="dxa"/>
            <w:tcBorders>
              <w:top w:val="nil"/>
              <w:left w:val="nil"/>
              <w:bottom w:val="single" w:sz="4" w:space="0" w:color="auto"/>
              <w:right w:val="single" w:sz="4" w:space="0" w:color="auto"/>
            </w:tcBorders>
            <w:shd w:val="clear" w:color="000000" w:fill="FFFFFF"/>
            <w:vAlign w:val="center"/>
            <w:hideMark/>
          </w:tcPr>
          <w:p w14:paraId="5FEF1B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37,050</w:t>
            </w:r>
          </w:p>
        </w:tc>
        <w:tc>
          <w:tcPr>
            <w:tcW w:w="245" w:type="dxa"/>
            <w:tcBorders>
              <w:top w:val="nil"/>
              <w:left w:val="nil"/>
              <w:bottom w:val="single" w:sz="4" w:space="0" w:color="auto"/>
              <w:right w:val="single" w:sz="4" w:space="0" w:color="auto"/>
            </w:tcBorders>
            <w:shd w:val="clear" w:color="000000" w:fill="FFFFFF"/>
            <w:vAlign w:val="center"/>
            <w:hideMark/>
          </w:tcPr>
          <w:p w14:paraId="5FEF1B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37,050</w:t>
            </w:r>
          </w:p>
        </w:tc>
        <w:tc>
          <w:tcPr>
            <w:tcW w:w="306" w:type="dxa"/>
            <w:tcBorders>
              <w:top w:val="nil"/>
              <w:left w:val="nil"/>
              <w:bottom w:val="single" w:sz="4" w:space="0" w:color="auto"/>
              <w:right w:val="single" w:sz="4" w:space="0" w:color="auto"/>
            </w:tcBorders>
            <w:shd w:val="clear" w:color="000000" w:fill="FFFFFF"/>
            <w:vAlign w:val="center"/>
            <w:hideMark/>
          </w:tcPr>
          <w:p w14:paraId="5FEF1B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37,050</w:t>
            </w:r>
          </w:p>
        </w:tc>
        <w:tc>
          <w:tcPr>
            <w:tcW w:w="245" w:type="dxa"/>
            <w:tcBorders>
              <w:top w:val="nil"/>
              <w:left w:val="nil"/>
              <w:bottom w:val="single" w:sz="4" w:space="0" w:color="auto"/>
              <w:right w:val="single" w:sz="4" w:space="0" w:color="auto"/>
            </w:tcBorders>
            <w:shd w:val="clear" w:color="000000" w:fill="FFFFFF"/>
            <w:vAlign w:val="center"/>
            <w:hideMark/>
          </w:tcPr>
          <w:p w14:paraId="5FEF1B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37,050</w:t>
            </w:r>
          </w:p>
        </w:tc>
        <w:tc>
          <w:tcPr>
            <w:tcW w:w="306" w:type="dxa"/>
            <w:tcBorders>
              <w:top w:val="nil"/>
              <w:left w:val="nil"/>
              <w:bottom w:val="single" w:sz="4" w:space="0" w:color="auto"/>
              <w:right w:val="single" w:sz="4" w:space="0" w:color="auto"/>
            </w:tcBorders>
            <w:shd w:val="clear" w:color="000000" w:fill="FFFFFF"/>
            <w:vAlign w:val="center"/>
            <w:hideMark/>
          </w:tcPr>
          <w:p w14:paraId="5FEF1B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111,150</w:t>
            </w:r>
          </w:p>
        </w:tc>
        <w:tc>
          <w:tcPr>
            <w:tcW w:w="275" w:type="dxa"/>
            <w:tcBorders>
              <w:top w:val="nil"/>
              <w:left w:val="nil"/>
              <w:bottom w:val="single" w:sz="4" w:space="0" w:color="auto"/>
              <w:right w:val="single" w:sz="4" w:space="0" w:color="auto"/>
            </w:tcBorders>
            <w:shd w:val="clear" w:color="000000" w:fill="FFFFFF"/>
            <w:vAlign w:val="center"/>
            <w:hideMark/>
          </w:tcPr>
          <w:p w14:paraId="5FEF1B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111,150</w:t>
            </w:r>
          </w:p>
        </w:tc>
        <w:tc>
          <w:tcPr>
            <w:tcW w:w="306" w:type="dxa"/>
            <w:tcBorders>
              <w:top w:val="nil"/>
              <w:left w:val="nil"/>
              <w:bottom w:val="single" w:sz="4" w:space="0" w:color="auto"/>
              <w:right w:val="single" w:sz="4" w:space="0" w:color="auto"/>
            </w:tcBorders>
            <w:shd w:val="clear" w:color="000000" w:fill="FFFFFF"/>
            <w:vAlign w:val="center"/>
            <w:hideMark/>
          </w:tcPr>
          <w:p w14:paraId="5FEF1B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111,150</w:t>
            </w:r>
          </w:p>
        </w:tc>
        <w:tc>
          <w:tcPr>
            <w:tcW w:w="245" w:type="dxa"/>
            <w:tcBorders>
              <w:top w:val="nil"/>
              <w:left w:val="nil"/>
              <w:bottom w:val="single" w:sz="4" w:space="0" w:color="auto"/>
              <w:right w:val="single" w:sz="4" w:space="0" w:color="auto"/>
            </w:tcBorders>
            <w:shd w:val="clear" w:color="000000" w:fill="FFFFFF"/>
            <w:vAlign w:val="center"/>
            <w:hideMark/>
          </w:tcPr>
          <w:p w14:paraId="5FEF1B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B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111,150</w:t>
            </w:r>
          </w:p>
        </w:tc>
        <w:tc>
          <w:tcPr>
            <w:tcW w:w="275" w:type="dxa"/>
            <w:tcBorders>
              <w:top w:val="nil"/>
              <w:left w:val="nil"/>
              <w:bottom w:val="single" w:sz="4" w:space="0" w:color="auto"/>
              <w:right w:val="single" w:sz="4" w:space="0" w:color="auto"/>
            </w:tcBorders>
            <w:shd w:val="clear" w:color="000000" w:fill="FFFFFF"/>
            <w:vAlign w:val="center"/>
            <w:hideMark/>
          </w:tcPr>
          <w:p w14:paraId="5FEF1B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B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B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C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C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1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C0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1.2.3</w:t>
            </w:r>
          </w:p>
        </w:tc>
        <w:tc>
          <w:tcPr>
            <w:tcW w:w="1301" w:type="dxa"/>
            <w:tcBorders>
              <w:top w:val="nil"/>
              <w:left w:val="nil"/>
              <w:bottom w:val="single" w:sz="4" w:space="0" w:color="auto"/>
              <w:right w:val="single" w:sz="4" w:space="0" w:color="auto"/>
            </w:tcBorders>
            <w:shd w:val="clear" w:color="auto" w:fill="auto"/>
            <w:vAlign w:val="center"/>
            <w:hideMark/>
          </w:tcPr>
          <w:p w14:paraId="5FEF1C04"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Ngritja e kapaciteteve për identifikimin, vlerësimin, analizën dhe shkëmbimin e informacionit për faktorët ideologjikë politikë edhe me ndikim të huaj mbi rrezikun e radikalizmit që çon në ekstremizëm të dhunshëm dhe terrorizëm.</w:t>
            </w:r>
          </w:p>
        </w:tc>
        <w:tc>
          <w:tcPr>
            <w:tcW w:w="498" w:type="dxa"/>
            <w:tcBorders>
              <w:top w:val="nil"/>
              <w:left w:val="nil"/>
              <w:bottom w:val="single" w:sz="4" w:space="0" w:color="auto"/>
              <w:right w:val="single" w:sz="4" w:space="0" w:color="auto"/>
            </w:tcBorders>
            <w:shd w:val="clear" w:color="000000" w:fill="FFFFFF"/>
            <w:vAlign w:val="center"/>
            <w:hideMark/>
          </w:tcPr>
          <w:p w14:paraId="5FEF1C05" w14:textId="7503E57A"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C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C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C0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C0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C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43,800</w:t>
            </w:r>
          </w:p>
        </w:tc>
        <w:tc>
          <w:tcPr>
            <w:tcW w:w="275" w:type="dxa"/>
            <w:tcBorders>
              <w:top w:val="nil"/>
              <w:left w:val="nil"/>
              <w:bottom w:val="single" w:sz="4" w:space="0" w:color="auto"/>
              <w:right w:val="single" w:sz="4" w:space="0" w:color="auto"/>
            </w:tcBorders>
            <w:shd w:val="clear" w:color="000000" w:fill="FFFFFF"/>
            <w:vAlign w:val="center"/>
            <w:hideMark/>
          </w:tcPr>
          <w:p w14:paraId="5FEF1C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43,800</w:t>
            </w:r>
          </w:p>
        </w:tc>
        <w:tc>
          <w:tcPr>
            <w:tcW w:w="306" w:type="dxa"/>
            <w:tcBorders>
              <w:top w:val="nil"/>
              <w:left w:val="nil"/>
              <w:bottom w:val="single" w:sz="4" w:space="0" w:color="auto"/>
              <w:right w:val="single" w:sz="4" w:space="0" w:color="auto"/>
            </w:tcBorders>
            <w:shd w:val="clear" w:color="000000" w:fill="FFFFFF"/>
            <w:vAlign w:val="center"/>
            <w:hideMark/>
          </w:tcPr>
          <w:p w14:paraId="5FEF1C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43,800</w:t>
            </w:r>
          </w:p>
        </w:tc>
        <w:tc>
          <w:tcPr>
            <w:tcW w:w="245" w:type="dxa"/>
            <w:tcBorders>
              <w:top w:val="nil"/>
              <w:left w:val="nil"/>
              <w:bottom w:val="single" w:sz="4" w:space="0" w:color="auto"/>
              <w:right w:val="single" w:sz="4" w:space="0" w:color="auto"/>
            </w:tcBorders>
            <w:shd w:val="clear" w:color="000000" w:fill="FFFFFF"/>
            <w:vAlign w:val="center"/>
            <w:hideMark/>
          </w:tcPr>
          <w:p w14:paraId="5FEF1C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43,800</w:t>
            </w:r>
          </w:p>
        </w:tc>
        <w:tc>
          <w:tcPr>
            <w:tcW w:w="306" w:type="dxa"/>
            <w:tcBorders>
              <w:top w:val="nil"/>
              <w:left w:val="nil"/>
              <w:bottom w:val="single" w:sz="4" w:space="0" w:color="auto"/>
              <w:right w:val="single" w:sz="4" w:space="0" w:color="auto"/>
            </w:tcBorders>
            <w:shd w:val="clear" w:color="000000" w:fill="FFFFFF"/>
            <w:vAlign w:val="center"/>
            <w:hideMark/>
          </w:tcPr>
          <w:p w14:paraId="5FEF1C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43,800</w:t>
            </w:r>
          </w:p>
        </w:tc>
        <w:tc>
          <w:tcPr>
            <w:tcW w:w="245" w:type="dxa"/>
            <w:tcBorders>
              <w:top w:val="nil"/>
              <w:left w:val="nil"/>
              <w:bottom w:val="single" w:sz="4" w:space="0" w:color="auto"/>
              <w:right w:val="single" w:sz="4" w:space="0" w:color="auto"/>
            </w:tcBorders>
            <w:shd w:val="clear" w:color="000000" w:fill="FFFFFF"/>
            <w:vAlign w:val="center"/>
            <w:hideMark/>
          </w:tcPr>
          <w:p w14:paraId="5FEF1C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43,800</w:t>
            </w:r>
          </w:p>
        </w:tc>
        <w:tc>
          <w:tcPr>
            <w:tcW w:w="306" w:type="dxa"/>
            <w:tcBorders>
              <w:top w:val="nil"/>
              <w:left w:val="nil"/>
              <w:bottom w:val="single" w:sz="4" w:space="0" w:color="auto"/>
              <w:right w:val="single" w:sz="4" w:space="0" w:color="auto"/>
            </w:tcBorders>
            <w:shd w:val="clear" w:color="000000" w:fill="FFFFFF"/>
            <w:vAlign w:val="center"/>
            <w:hideMark/>
          </w:tcPr>
          <w:p w14:paraId="5FEF1C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131,400</w:t>
            </w:r>
          </w:p>
        </w:tc>
        <w:tc>
          <w:tcPr>
            <w:tcW w:w="275" w:type="dxa"/>
            <w:tcBorders>
              <w:top w:val="nil"/>
              <w:left w:val="nil"/>
              <w:bottom w:val="single" w:sz="4" w:space="0" w:color="auto"/>
              <w:right w:val="single" w:sz="4" w:space="0" w:color="auto"/>
            </w:tcBorders>
            <w:shd w:val="clear" w:color="000000" w:fill="FFFFFF"/>
            <w:vAlign w:val="center"/>
            <w:hideMark/>
          </w:tcPr>
          <w:p w14:paraId="5FEF1C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131,400</w:t>
            </w:r>
          </w:p>
        </w:tc>
        <w:tc>
          <w:tcPr>
            <w:tcW w:w="306" w:type="dxa"/>
            <w:tcBorders>
              <w:top w:val="nil"/>
              <w:left w:val="nil"/>
              <w:bottom w:val="single" w:sz="4" w:space="0" w:color="auto"/>
              <w:right w:val="single" w:sz="4" w:space="0" w:color="auto"/>
            </w:tcBorders>
            <w:shd w:val="clear" w:color="000000" w:fill="FFFFFF"/>
            <w:vAlign w:val="center"/>
            <w:hideMark/>
          </w:tcPr>
          <w:p w14:paraId="5FEF1C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45" w:type="dxa"/>
            <w:tcBorders>
              <w:top w:val="nil"/>
              <w:left w:val="nil"/>
              <w:bottom w:val="single" w:sz="4" w:space="0" w:color="auto"/>
              <w:right w:val="single" w:sz="4" w:space="0" w:color="auto"/>
            </w:tcBorders>
            <w:shd w:val="clear" w:color="000000" w:fill="FFFFFF"/>
            <w:vAlign w:val="center"/>
            <w:hideMark/>
          </w:tcPr>
          <w:p w14:paraId="5FEF1C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75" w:type="dxa"/>
            <w:tcBorders>
              <w:top w:val="nil"/>
              <w:left w:val="nil"/>
              <w:bottom w:val="single" w:sz="4" w:space="0" w:color="auto"/>
              <w:right w:val="single" w:sz="4" w:space="0" w:color="auto"/>
            </w:tcBorders>
            <w:shd w:val="clear" w:color="000000" w:fill="FFFFFF"/>
            <w:vAlign w:val="center"/>
            <w:hideMark/>
          </w:tcPr>
          <w:p w14:paraId="5FEF1C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71,400</w:t>
            </w:r>
          </w:p>
        </w:tc>
        <w:tc>
          <w:tcPr>
            <w:tcW w:w="245" w:type="dxa"/>
            <w:tcBorders>
              <w:top w:val="nil"/>
              <w:left w:val="nil"/>
              <w:bottom w:val="single" w:sz="4" w:space="0" w:color="auto"/>
              <w:right w:val="single" w:sz="4" w:space="0" w:color="auto"/>
            </w:tcBorders>
            <w:shd w:val="clear" w:color="000000" w:fill="FFFFFF"/>
            <w:vAlign w:val="center"/>
            <w:hideMark/>
          </w:tcPr>
          <w:p w14:paraId="5FEF1C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C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C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71,400</w:t>
            </w:r>
          </w:p>
        </w:tc>
        <w:tc>
          <w:tcPr>
            <w:tcW w:w="262" w:type="dxa"/>
            <w:tcBorders>
              <w:top w:val="nil"/>
              <w:left w:val="nil"/>
              <w:bottom w:val="single" w:sz="4" w:space="0" w:color="auto"/>
              <w:right w:val="single" w:sz="8" w:space="0" w:color="auto"/>
            </w:tcBorders>
            <w:shd w:val="clear" w:color="000000" w:fill="FFFFFF"/>
            <w:vAlign w:val="center"/>
            <w:hideMark/>
          </w:tcPr>
          <w:p w14:paraId="5FEF1C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3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C1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1.2.4</w:t>
            </w:r>
          </w:p>
        </w:tc>
        <w:tc>
          <w:tcPr>
            <w:tcW w:w="1301" w:type="dxa"/>
            <w:tcBorders>
              <w:top w:val="nil"/>
              <w:left w:val="nil"/>
              <w:bottom w:val="single" w:sz="4" w:space="0" w:color="auto"/>
              <w:right w:val="single" w:sz="4" w:space="0" w:color="auto"/>
            </w:tcBorders>
            <w:shd w:val="clear" w:color="auto" w:fill="auto"/>
            <w:vAlign w:val="center"/>
            <w:hideMark/>
          </w:tcPr>
          <w:p w14:paraId="5FEF1C20"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Ngritja e kapaciteteve për identifikimin, vlerësimin, analizën dhe shkëmbimin e informacionit për faktorët nxitës të radikalizmit dhe ekstremizmit të dhunshëm të ngritura mbi stereotipe me bazë religjoni që çon në terrorizëm.</w:t>
            </w:r>
          </w:p>
        </w:tc>
        <w:tc>
          <w:tcPr>
            <w:tcW w:w="498" w:type="dxa"/>
            <w:tcBorders>
              <w:top w:val="nil"/>
              <w:left w:val="nil"/>
              <w:bottom w:val="single" w:sz="4" w:space="0" w:color="auto"/>
              <w:right w:val="single" w:sz="4" w:space="0" w:color="auto"/>
            </w:tcBorders>
            <w:shd w:val="clear" w:color="000000" w:fill="FFFFFF"/>
            <w:vAlign w:val="center"/>
            <w:hideMark/>
          </w:tcPr>
          <w:p w14:paraId="5FEF1C21" w14:textId="352E3CC6"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C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C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C2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C2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C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55,000</w:t>
            </w:r>
          </w:p>
        </w:tc>
        <w:tc>
          <w:tcPr>
            <w:tcW w:w="275" w:type="dxa"/>
            <w:tcBorders>
              <w:top w:val="nil"/>
              <w:left w:val="nil"/>
              <w:bottom w:val="single" w:sz="4" w:space="0" w:color="auto"/>
              <w:right w:val="single" w:sz="4" w:space="0" w:color="auto"/>
            </w:tcBorders>
            <w:shd w:val="clear" w:color="000000" w:fill="FFFFFF"/>
            <w:vAlign w:val="center"/>
            <w:hideMark/>
          </w:tcPr>
          <w:p w14:paraId="5FEF1C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55,000</w:t>
            </w:r>
          </w:p>
        </w:tc>
        <w:tc>
          <w:tcPr>
            <w:tcW w:w="306" w:type="dxa"/>
            <w:tcBorders>
              <w:top w:val="nil"/>
              <w:left w:val="nil"/>
              <w:bottom w:val="single" w:sz="4" w:space="0" w:color="auto"/>
              <w:right w:val="single" w:sz="4" w:space="0" w:color="auto"/>
            </w:tcBorders>
            <w:shd w:val="clear" w:color="000000" w:fill="FFFFFF"/>
            <w:vAlign w:val="center"/>
            <w:hideMark/>
          </w:tcPr>
          <w:p w14:paraId="5FEF1C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55,000</w:t>
            </w:r>
          </w:p>
        </w:tc>
        <w:tc>
          <w:tcPr>
            <w:tcW w:w="245" w:type="dxa"/>
            <w:tcBorders>
              <w:top w:val="nil"/>
              <w:left w:val="nil"/>
              <w:bottom w:val="single" w:sz="4" w:space="0" w:color="auto"/>
              <w:right w:val="single" w:sz="4" w:space="0" w:color="auto"/>
            </w:tcBorders>
            <w:shd w:val="clear" w:color="000000" w:fill="FFFFFF"/>
            <w:vAlign w:val="center"/>
            <w:hideMark/>
          </w:tcPr>
          <w:p w14:paraId="5FEF1C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55,000</w:t>
            </w:r>
          </w:p>
        </w:tc>
        <w:tc>
          <w:tcPr>
            <w:tcW w:w="306" w:type="dxa"/>
            <w:tcBorders>
              <w:top w:val="nil"/>
              <w:left w:val="nil"/>
              <w:bottom w:val="single" w:sz="4" w:space="0" w:color="auto"/>
              <w:right w:val="single" w:sz="4" w:space="0" w:color="auto"/>
            </w:tcBorders>
            <w:shd w:val="clear" w:color="000000" w:fill="FFFFFF"/>
            <w:vAlign w:val="center"/>
            <w:hideMark/>
          </w:tcPr>
          <w:p w14:paraId="5FEF1C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55,000</w:t>
            </w:r>
          </w:p>
        </w:tc>
        <w:tc>
          <w:tcPr>
            <w:tcW w:w="245" w:type="dxa"/>
            <w:tcBorders>
              <w:top w:val="nil"/>
              <w:left w:val="nil"/>
              <w:bottom w:val="single" w:sz="4" w:space="0" w:color="auto"/>
              <w:right w:val="single" w:sz="4" w:space="0" w:color="auto"/>
            </w:tcBorders>
            <w:shd w:val="clear" w:color="000000" w:fill="FFFFFF"/>
            <w:vAlign w:val="center"/>
            <w:hideMark/>
          </w:tcPr>
          <w:p w14:paraId="5FEF1C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55,000</w:t>
            </w:r>
          </w:p>
        </w:tc>
        <w:tc>
          <w:tcPr>
            <w:tcW w:w="306" w:type="dxa"/>
            <w:tcBorders>
              <w:top w:val="nil"/>
              <w:left w:val="nil"/>
              <w:bottom w:val="single" w:sz="4" w:space="0" w:color="auto"/>
              <w:right w:val="single" w:sz="4" w:space="0" w:color="auto"/>
            </w:tcBorders>
            <w:shd w:val="clear" w:color="000000" w:fill="FFFFFF"/>
            <w:vAlign w:val="center"/>
            <w:hideMark/>
          </w:tcPr>
          <w:p w14:paraId="5FEF1C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165,000</w:t>
            </w:r>
          </w:p>
        </w:tc>
        <w:tc>
          <w:tcPr>
            <w:tcW w:w="275" w:type="dxa"/>
            <w:tcBorders>
              <w:top w:val="nil"/>
              <w:left w:val="nil"/>
              <w:bottom w:val="single" w:sz="4" w:space="0" w:color="auto"/>
              <w:right w:val="single" w:sz="4" w:space="0" w:color="auto"/>
            </w:tcBorders>
            <w:shd w:val="clear" w:color="000000" w:fill="FFFFFF"/>
            <w:vAlign w:val="center"/>
            <w:hideMark/>
          </w:tcPr>
          <w:p w14:paraId="5FEF1C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165,000</w:t>
            </w:r>
          </w:p>
        </w:tc>
        <w:tc>
          <w:tcPr>
            <w:tcW w:w="306" w:type="dxa"/>
            <w:tcBorders>
              <w:top w:val="nil"/>
              <w:left w:val="nil"/>
              <w:bottom w:val="single" w:sz="4" w:space="0" w:color="auto"/>
              <w:right w:val="single" w:sz="4" w:space="0" w:color="auto"/>
            </w:tcBorders>
            <w:shd w:val="clear" w:color="000000" w:fill="FFFFFF"/>
            <w:vAlign w:val="center"/>
            <w:hideMark/>
          </w:tcPr>
          <w:p w14:paraId="5FEF1C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120,000</w:t>
            </w:r>
          </w:p>
        </w:tc>
        <w:tc>
          <w:tcPr>
            <w:tcW w:w="245" w:type="dxa"/>
            <w:tcBorders>
              <w:top w:val="nil"/>
              <w:left w:val="nil"/>
              <w:bottom w:val="single" w:sz="4" w:space="0" w:color="auto"/>
              <w:right w:val="single" w:sz="4" w:space="0" w:color="auto"/>
            </w:tcBorders>
            <w:shd w:val="clear" w:color="000000" w:fill="FFFFFF"/>
            <w:vAlign w:val="center"/>
            <w:hideMark/>
          </w:tcPr>
          <w:p w14:paraId="5FEF1C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120,000</w:t>
            </w:r>
          </w:p>
        </w:tc>
        <w:tc>
          <w:tcPr>
            <w:tcW w:w="275" w:type="dxa"/>
            <w:tcBorders>
              <w:top w:val="nil"/>
              <w:left w:val="nil"/>
              <w:bottom w:val="single" w:sz="4" w:space="0" w:color="auto"/>
              <w:right w:val="single" w:sz="4" w:space="0" w:color="auto"/>
            </w:tcBorders>
            <w:shd w:val="clear" w:color="000000" w:fill="FFFFFF"/>
            <w:vAlign w:val="center"/>
            <w:hideMark/>
          </w:tcPr>
          <w:p w14:paraId="5FEF1C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w:t>
            </w:r>
          </w:p>
        </w:tc>
        <w:tc>
          <w:tcPr>
            <w:tcW w:w="245" w:type="dxa"/>
            <w:tcBorders>
              <w:top w:val="nil"/>
              <w:left w:val="nil"/>
              <w:bottom w:val="single" w:sz="4" w:space="0" w:color="auto"/>
              <w:right w:val="single" w:sz="4" w:space="0" w:color="auto"/>
            </w:tcBorders>
            <w:shd w:val="clear" w:color="000000" w:fill="FFFFFF"/>
            <w:vAlign w:val="center"/>
            <w:hideMark/>
          </w:tcPr>
          <w:p w14:paraId="5FEF1C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C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C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w:t>
            </w:r>
          </w:p>
        </w:tc>
        <w:tc>
          <w:tcPr>
            <w:tcW w:w="262" w:type="dxa"/>
            <w:tcBorders>
              <w:top w:val="nil"/>
              <w:left w:val="nil"/>
              <w:bottom w:val="single" w:sz="4" w:space="0" w:color="auto"/>
              <w:right w:val="single" w:sz="8" w:space="0" w:color="auto"/>
            </w:tcBorders>
            <w:shd w:val="clear" w:color="000000" w:fill="FFFFFF"/>
            <w:vAlign w:val="center"/>
            <w:hideMark/>
          </w:tcPr>
          <w:p w14:paraId="5FEF1C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5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C3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1.2.5</w:t>
            </w:r>
          </w:p>
        </w:tc>
        <w:tc>
          <w:tcPr>
            <w:tcW w:w="1301" w:type="dxa"/>
            <w:tcBorders>
              <w:top w:val="nil"/>
              <w:left w:val="nil"/>
              <w:bottom w:val="single" w:sz="4" w:space="0" w:color="auto"/>
              <w:right w:val="single" w:sz="4" w:space="0" w:color="auto"/>
            </w:tcBorders>
            <w:shd w:val="clear" w:color="auto" w:fill="auto"/>
            <w:vAlign w:val="center"/>
            <w:hideMark/>
          </w:tcPr>
          <w:p w14:paraId="5FEF1C3C"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Ngritja e kapaciteteve për identifikimin, vlerësimin, analizën dhe shkëmbimin e informacionit për faktorët socio-ekonomike nxitës të radikalizmit dhe ekstremizmit të dhunshëm që çon në terrorizëm.</w:t>
            </w:r>
          </w:p>
        </w:tc>
        <w:tc>
          <w:tcPr>
            <w:tcW w:w="498" w:type="dxa"/>
            <w:tcBorders>
              <w:top w:val="nil"/>
              <w:left w:val="nil"/>
              <w:bottom w:val="single" w:sz="4" w:space="0" w:color="auto"/>
              <w:right w:val="single" w:sz="4" w:space="0" w:color="auto"/>
            </w:tcBorders>
            <w:shd w:val="clear" w:color="000000" w:fill="FFFFFF"/>
            <w:vAlign w:val="center"/>
            <w:hideMark/>
          </w:tcPr>
          <w:p w14:paraId="5FEF1C3D" w14:textId="71EDD8FC"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C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C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C4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C4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C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68,000</w:t>
            </w:r>
          </w:p>
        </w:tc>
        <w:tc>
          <w:tcPr>
            <w:tcW w:w="275" w:type="dxa"/>
            <w:tcBorders>
              <w:top w:val="nil"/>
              <w:left w:val="nil"/>
              <w:bottom w:val="single" w:sz="4" w:space="0" w:color="auto"/>
              <w:right w:val="single" w:sz="4" w:space="0" w:color="auto"/>
            </w:tcBorders>
            <w:shd w:val="clear" w:color="000000" w:fill="FFFFFF"/>
            <w:vAlign w:val="center"/>
            <w:hideMark/>
          </w:tcPr>
          <w:p w14:paraId="5FEF1C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68,000</w:t>
            </w:r>
          </w:p>
        </w:tc>
        <w:tc>
          <w:tcPr>
            <w:tcW w:w="306" w:type="dxa"/>
            <w:tcBorders>
              <w:top w:val="nil"/>
              <w:left w:val="nil"/>
              <w:bottom w:val="single" w:sz="4" w:space="0" w:color="auto"/>
              <w:right w:val="single" w:sz="4" w:space="0" w:color="auto"/>
            </w:tcBorders>
            <w:shd w:val="clear" w:color="000000" w:fill="FFFFFF"/>
            <w:vAlign w:val="center"/>
            <w:hideMark/>
          </w:tcPr>
          <w:p w14:paraId="5FEF1C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68,000</w:t>
            </w:r>
          </w:p>
        </w:tc>
        <w:tc>
          <w:tcPr>
            <w:tcW w:w="245" w:type="dxa"/>
            <w:tcBorders>
              <w:top w:val="nil"/>
              <w:left w:val="nil"/>
              <w:bottom w:val="single" w:sz="4" w:space="0" w:color="auto"/>
              <w:right w:val="single" w:sz="4" w:space="0" w:color="auto"/>
            </w:tcBorders>
            <w:shd w:val="clear" w:color="000000" w:fill="FFFFFF"/>
            <w:vAlign w:val="center"/>
            <w:hideMark/>
          </w:tcPr>
          <w:p w14:paraId="5FEF1C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68,000</w:t>
            </w:r>
          </w:p>
        </w:tc>
        <w:tc>
          <w:tcPr>
            <w:tcW w:w="306" w:type="dxa"/>
            <w:tcBorders>
              <w:top w:val="nil"/>
              <w:left w:val="nil"/>
              <w:bottom w:val="single" w:sz="4" w:space="0" w:color="auto"/>
              <w:right w:val="single" w:sz="4" w:space="0" w:color="auto"/>
            </w:tcBorders>
            <w:shd w:val="clear" w:color="000000" w:fill="FFFFFF"/>
            <w:vAlign w:val="center"/>
            <w:hideMark/>
          </w:tcPr>
          <w:p w14:paraId="5FEF1C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68,000</w:t>
            </w:r>
          </w:p>
        </w:tc>
        <w:tc>
          <w:tcPr>
            <w:tcW w:w="245" w:type="dxa"/>
            <w:tcBorders>
              <w:top w:val="nil"/>
              <w:left w:val="nil"/>
              <w:bottom w:val="single" w:sz="4" w:space="0" w:color="auto"/>
              <w:right w:val="single" w:sz="4" w:space="0" w:color="auto"/>
            </w:tcBorders>
            <w:shd w:val="clear" w:color="000000" w:fill="FFFFFF"/>
            <w:vAlign w:val="center"/>
            <w:hideMark/>
          </w:tcPr>
          <w:p w14:paraId="5FEF1C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68,000</w:t>
            </w:r>
          </w:p>
        </w:tc>
        <w:tc>
          <w:tcPr>
            <w:tcW w:w="306" w:type="dxa"/>
            <w:tcBorders>
              <w:top w:val="nil"/>
              <w:left w:val="nil"/>
              <w:bottom w:val="single" w:sz="4" w:space="0" w:color="auto"/>
              <w:right w:val="single" w:sz="4" w:space="0" w:color="auto"/>
            </w:tcBorders>
            <w:shd w:val="clear" w:color="000000" w:fill="FFFFFF"/>
            <w:vAlign w:val="center"/>
            <w:hideMark/>
          </w:tcPr>
          <w:p w14:paraId="5FEF1C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204,000</w:t>
            </w:r>
          </w:p>
        </w:tc>
        <w:tc>
          <w:tcPr>
            <w:tcW w:w="275" w:type="dxa"/>
            <w:tcBorders>
              <w:top w:val="nil"/>
              <w:left w:val="nil"/>
              <w:bottom w:val="single" w:sz="4" w:space="0" w:color="auto"/>
              <w:right w:val="single" w:sz="4" w:space="0" w:color="auto"/>
            </w:tcBorders>
            <w:shd w:val="clear" w:color="000000" w:fill="FFFFFF"/>
            <w:vAlign w:val="center"/>
            <w:hideMark/>
          </w:tcPr>
          <w:p w14:paraId="5FEF1C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204,000</w:t>
            </w:r>
          </w:p>
        </w:tc>
        <w:tc>
          <w:tcPr>
            <w:tcW w:w="306" w:type="dxa"/>
            <w:tcBorders>
              <w:top w:val="nil"/>
              <w:left w:val="nil"/>
              <w:bottom w:val="single" w:sz="4" w:space="0" w:color="auto"/>
              <w:right w:val="single" w:sz="4" w:space="0" w:color="auto"/>
            </w:tcBorders>
            <w:shd w:val="clear" w:color="000000" w:fill="FFFFFF"/>
            <w:vAlign w:val="center"/>
            <w:hideMark/>
          </w:tcPr>
          <w:p w14:paraId="5FEF1C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120,000</w:t>
            </w:r>
          </w:p>
        </w:tc>
        <w:tc>
          <w:tcPr>
            <w:tcW w:w="245" w:type="dxa"/>
            <w:tcBorders>
              <w:top w:val="nil"/>
              <w:left w:val="nil"/>
              <w:bottom w:val="single" w:sz="4" w:space="0" w:color="auto"/>
              <w:right w:val="single" w:sz="4" w:space="0" w:color="auto"/>
            </w:tcBorders>
            <w:shd w:val="clear" w:color="000000" w:fill="FFFFFF"/>
            <w:vAlign w:val="center"/>
            <w:hideMark/>
          </w:tcPr>
          <w:p w14:paraId="5FEF1C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120,000</w:t>
            </w:r>
          </w:p>
        </w:tc>
        <w:tc>
          <w:tcPr>
            <w:tcW w:w="275" w:type="dxa"/>
            <w:tcBorders>
              <w:top w:val="nil"/>
              <w:left w:val="nil"/>
              <w:bottom w:val="single" w:sz="4" w:space="0" w:color="auto"/>
              <w:right w:val="single" w:sz="4" w:space="0" w:color="auto"/>
            </w:tcBorders>
            <w:shd w:val="clear" w:color="000000" w:fill="FFFFFF"/>
            <w:vAlign w:val="center"/>
            <w:hideMark/>
          </w:tcPr>
          <w:p w14:paraId="5FEF1C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84,000</w:t>
            </w:r>
          </w:p>
        </w:tc>
        <w:tc>
          <w:tcPr>
            <w:tcW w:w="245" w:type="dxa"/>
            <w:tcBorders>
              <w:top w:val="nil"/>
              <w:left w:val="nil"/>
              <w:bottom w:val="single" w:sz="4" w:space="0" w:color="auto"/>
              <w:right w:val="single" w:sz="4" w:space="0" w:color="auto"/>
            </w:tcBorders>
            <w:shd w:val="clear" w:color="000000" w:fill="FFFFFF"/>
            <w:vAlign w:val="center"/>
            <w:hideMark/>
          </w:tcPr>
          <w:p w14:paraId="5FEF1C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C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C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84,000</w:t>
            </w:r>
          </w:p>
        </w:tc>
        <w:tc>
          <w:tcPr>
            <w:tcW w:w="262" w:type="dxa"/>
            <w:tcBorders>
              <w:top w:val="nil"/>
              <w:left w:val="nil"/>
              <w:bottom w:val="single" w:sz="4" w:space="0" w:color="auto"/>
              <w:right w:val="single" w:sz="8" w:space="0" w:color="auto"/>
            </w:tcBorders>
            <w:shd w:val="clear" w:color="000000" w:fill="FFFFFF"/>
            <w:vAlign w:val="center"/>
            <w:hideMark/>
          </w:tcPr>
          <w:p w14:paraId="5FEF1C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72"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1C5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1.2.6</w:t>
            </w:r>
          </w:p>
        </w:tc>
        <w:tc>
          <w:tcPr>
            <w:tcW w:w="1301" w:type="dxa"/>
            <w:tcBorders>
              <w:top w:val="nil"/>
              <w:left w:val="nil"/>
              <w:bottom w:val="single" w:sz="4" w:space="0" w:color="auto"/>
              <w:right w:val="single" w:sz="4" w:space="0" w:color="auto"/>
            </w:tcBorders>
            <w:shd w:val="clear" w:color="auto" w:fill="auto"/>
            <w:vAlign w:val="center"/>
            <w:hideMark/>
          </w:tcPr>
          <w:p w14:paraId="5FEF1C58"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Fuqizimi i kapaciteteve të anëtarëve të mekanizmit referues të Këshillave Vendorë të Sigurisë Publike mbi radikalizmin dhe ekstremizmin e dhunshëm.</w:t>
            </w:r>
          </w:p>
        </w:tc>
        <w:tc>
          <w:tcPr>
            <w:tcW w:w="498" w:type="dxa"/>
            <w:tcBorders>
              <w:top w:val="nil"/>
              <w:left w:val="nil"/>
              <w:bottom w:val="single" w:sz="4" w:space="0" w:color="auto"/>
              <w:right w:val="single" w:sz="4" w:space="0" w:color="auto"/>
            </w:tcBorders>
            <w:shd w:val="clear" w:color="000000" w:fill="FFFFFF"/>
            <w:vAlign w:val="center"/>
            <w:hideMark/>
          </w:tcPr>
          <w:p w14:paraId="5FEF1C59" w14:textId="37B4FE1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C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C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C5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C5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C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85,000</w:t>
            </w:r>
          </w:p>
        </w:tc>
        <w:tc>
          <w:tcPr>
            <w:tcW w:w="275" w:type="dxa"/>
            <w:tcBorders>
              <w:top w:val="nil"/>
              <w:left w:val="nil"/>
              <w:bottom w:val="single" w:sz="4" w:space="0" w:color="auto"/>
              <w:right w:val="single" w:sz="4" w:space="0" w:color="auto"/>
            </w:tcBorders>
            <w:shd w:val="clear" w:color="000000" w:fill="FFFFFF"/>
            <w:vAlign w:val="center"/>
            <w:hideMark/>
          </w:tcPr>
          <w:p w14:paraId="5FEF1C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85,000</w:t>
            </w:r>
          </w:p>
        </w:tc>
        <w:tc>
          <w:tcPr>
            <w:tcW w:w="306" w:type="dxa"/>
            <w:tcBorders>
              <w:top w:val="nil"/>
              <w:left w:val="nil"/>
              <w:bottom w:val="single" w:sz="4" w:space="0" w:color="auto"/>
              <w:right w:val="single" w:sz="4" w:space="0" w:color="auto"/>
            </w:tcBorders>
            <w:shd w:val="clear" w:color="000000" w:fill="FFFFFF"/>
            <w:vAlign w:val="center"/>
            <w:hideMark/>
          </w:tcPr>
          <w:p w14:paraId="5FEF1C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85,000</w:t>
            </w:r>
          </w:p>
        </w:tc>
        <w:tc>
          <w:tcPr>
            <w:tcW w:w="245" w:type="dxa"/>
            <w:tcBorders>
              <w:top w:val="nil"/>
              <w:left w:val="nil"/>
              <w:bottom w:val="single" w:sz="4" w:space="0" w:color="auto"/>
              <w:right w:val="single" w:sz="4" w:space="0" w:color="auto"/>
            </w:tcBorders>
            <w:shd w:val="clear" w:color="000000" w:fill="FFFFFF"/>
            <w:vAlign w:val="center"/>
            <w:hideMark/>
          </w:tcPr>
          <w:p w14:paraId="5FEF1C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85,000</w:t>
            </w:r>
          </w:p>
        </w:tc>
        <w:tc>
          <w:tcPr>
            <w:tcW w:w="306" w:type="dxa"/>
            <w:tcBorders>
              <w:top w:val="nil"/>
              <w:left w:val="nil"/>
              <w:bottom w:val="single" w:sz="4" w:space="0" w:color="auto"/>
              <w:right w:val="single" w:sz="4" w:space="0" w:color="auto"/>
            </w:tcBorders>
            <w:shd w:val="clear" w:color="000000" w:fill="FFFFFF"/>
            <w:vAlign w:val="center"/>
            <w:hideMark/>
          </w:tcPr>
          <w:p w14:paraId="5FEF1C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85,000</w:t>
            </w:r>
          </w:p>
        </w:tc>
        <w:tc>
          <w:tcPr>
            <w:tcW w:w="245" w:type="dxa"/>
            <w:tcBorders>
              <w:top w:val="nil"/>
              <w:left w:val="nil"/>
              <w:bottom w:val="single" w:sz="4" w:space="0" w:color="auto"/>
              <w:right w:val="single" w:sz="4" w:space="0" w:color="auto"/>
            </w:tcBorders>
            <w:shd w:val="clear" w:color="000000" w:fill="FFFFFF"/>
            <w:vAlign w:val="center"/>
            <w:hideMark/>
          </w:tcPr>
          <w:p w14:paraId="5FEF1C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85,000</w:t>
            </w:r>
          </w:p>
        </w:tc>
        <w:tc>
          <w:tcPr>
            <w:tcW w:w="306" w:type="dxa"/>
            <w:tcBorders>
              <w:top w:val="nil"/>
              <w:left w:val="nil"/>
              <w:bottom w:val="single" w:sz="4" w:space="0" w:color="auto"/>
              <w:right w:val="single" w:sz="4" w:space="0" w:color="auto"/>
            </w:tcBorders>
            <w:shd w:val="clear" w:color="000000" w:fill="FFFFFF"/>
            <w:vAlign w:val="center"/>
            <w:hideMark/>
          </w:tcPr>
          <w:p w14:paraId="5FEF1C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255,000</w:t>
            </w:r>
          </w:p>
        </w:tc>
        <w:tc>
          <w:tcPr>
            <w:tcW w:w="275" w:type="dxa"/>
            <w:tcBorders>
              <w:top w:val="nil"/>
              <w:left w:val="nil"/>
              <w:bottom w:val="single" w:sz="4" w:space="0" w:color="auto"/>
              <w:right w:val="single" w:sz="4" w:space="0" w:color="auto"/>
            </w:tcBorders>
            <w:shd w:val="clear" w:color="000000" w:fill="FFFFFF"/>
            <w:vAlign w:val="center"/>
            <w:hideMark/>
          </w:tcPr>
          <w:p w14:paraId="5FEF1C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255,000</w:t>
            </w:r>
          </w:p>
        </w:tc>
        <w:tc>
          <w:tcPr>
            <w:tcW w:w="306" w:type="dxa"/>
            <w:tcBorders>
              <w:top w:val="nil"/>
              <w:left w:val="nil"/>
              <w:bottom w:val="single" w:sz="4" w:space="0" w:color="auto"/>
              <w:right w:val="single" w:sz="4" w:space="0" w:color="auto"/>
            </w:tcBorders>
            <w:shd w:val="clear" w:color="000000" w:fill="FFFFFF"/>
            <w:vAlign w:val="center"/>
            <w:hideMark/>
          </w:tcPr>
          <w:p w14:paraId="5FEF1C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45" w:type="dxa"/>
            <w:tcBorders>
              <w:top w:val="nil"/>
              <w:left w:val="nil"/>
              <w:bottom w:val="single" w:sz="4" w:space="0" w:color="auto"/>
              <w:right w:val="single" w:sz="4" w:space="0" w:color="auto"/>
            </w:tcBorders>
            <w:shd w:val="clear" w:color="000000" w:fill="FFFFFF"/>
            <w:vAlign w:val="center"/>
            <w:hideMark/>
          </w:tcPr>
          <w:p w14:paraId="5FEF1C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180,000</w:t>
            </w:r>
          </w:p>
        </w:tc>
        <w:tc>
          <w:tcPr>
            <w:tcW w:w="275" w:type="dxa"/>
            <w:tcBorders>
              <w:top w:val="nil"/>
              <w:left w:val="nil"/>
              <w:bottom w:val="single" w:sz="4" w:space="0" w:color="auto"/>
              <w:right w:val="single" w:sz="4" w:space="0" w:color="auto"/>
            </w:tcBorders>
            <w:shd w:val="clear" w:color="000000" w:fill="FFFFFF"/>
            <w:vAlign w:val="center"/>
            <w:hideMark/>
          </w:tcPr>
          <w:p w14:paraId="5FEF1C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75,000</w:t>
            </w:r>
          </w:p>
        </w:tc>
        <w:tc>
          <w:tcPr>
            <w:tcW w:w="245" w:type="dxa"/>
            <w:tcBorders>
              <w:top w:val="nil"/>
              <w:left w:val="nil"/>
              <w:bottom w:val="single" w:sz="4" w:space="0" w:color="auto"/>
              <w:right w:val="single" w:sz="4" w:space="0" w:color="auto"/>
            </w:tcBorders>
            <w:shd w:val="clear" w:color="000000" w:fill="FFFFFF"/>
            <w:vAlign w:val="center"/>
            <w:hideMark/>
          </w:tcPr>
          <w:p w14:paraId="5FEF1C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C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C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75,000</w:t>
            </w:r>
          </w:p>
        </w:tc>
        <w:tc>
          <w:tcPr>
            <w:tcW w:w="262" w:type="dxa"/>
            <w:tcBorders>
              <w:top w:val="nil"/>
              <w:left w:val="nil"/>
              <w:bottom w:val="single" w:sz="4" w:space="0" w:color="auto"/>
              <w:right w:val="single" w:sz="8" w:space="0" w:color="auto"/>
            </w:tcBorders>
            <w:shd w:val="clear" w:color="000000" w:fill="FFFFFF"/>
            <w:vAlign w:val="center"/>
            <w:hideMark/>
          </w:tcPr>
          <w:p w14:paraId="5FEF1C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8E"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C7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1.2.7</w:t>
            </w:r>
          </w:p>
        </w:tc>
        <w:tc>
          <w:tcPr>
            <w:tcW w:w="1301" w:type="dxa"/>
            <w:tcBorders>
              <w:top w:val="nil"/>
              <w:left w:val="nil"/>
              <w:bottom w:val="single" w:sz="4" w:space="0" w:color="auto"/>
              <w:right w:val="single" w:sz="4" w:space="0" w:color="auto"/>
            </w:tcBorders>
            <w:shd w:val="clear" w:color="auto" w:fill="auto"/>
            <w:hideMark/>
          </w:tcPr>
          <w:p w14:paraId="5FEF1C74" w14:textId="77777777" w:rsidR="002117FE" w:rsidRPr="00795698" w:rsidRDefault="002117FE" w:rsidP="002117FE">
            <w:pPr>
              <w:spacing w:after="240"/>
              <w:rPr>
                <w:rFonts w:ascii="Arial" w:hAnsi="Arial" w:cs="Arial"/>
                <w:color w:val="000000"/>
                <w:sz w:val="6"/>
                <w:szCs w:val="6"/>
                <w:lang w:eastAsia="sq-AL"/>
              </w:rPr>
            </w:pPr>
            <w:r w:rsidRPr="00795698">
              <w:rPr>
                <w:rFonts w:ascii="Arial" w:hAnsi="Arial" w:cs="Arial"/>
                <w:color w:val="000000"/>
                <w:sz w:val="6"/>
                <w:szCs w:val="6"/>
                <w:lang w:eastAsia="sq-AL"/>
              </w:rPr>
              <w:t>Hartimi i një Procedure Standarde Veprimi për fuqizimin e komuniteteve, riintegrimin dhe rehabilitimin e familjeve të kthyera ose të radikalizuara.</w:t>
            </w:r>
          </w:p>
        </w:tc>
        <w:tc>
          <w:tcPr>
            <w:tcW w:w="498" w:type="dxa"/>
            <w:tcBorders>
              <w:top w:val="nil"/>
              <w:left w:val="nil"/>
              <w:bottom w:val="single" w:sz="4" w:space="0" w:color="auto"/>
              <w:right w:val="single" w:sz="4" w:space="0" w:color="auto"/>
            </w:tcBorders>
            <w:shd w:val="clear" w:color="000000" w:fill="FFFFFF"/>
            <w:vAlign w:val="center"/>
            <w:hideMark/>
          </w:tcPr>
          <w:p w14:paraId="5FEF1C75" w14:textId="37E1113F"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 Menaxhimi"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1C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1C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Bashkitë; Zyrat e Shërbimit të Gjendjes Civile në Nivel Vendor</w:t>
            </w:r>
          </w:p>
        </w:tc>
        <w:tc>
          <w:tcPr>
            <w:tcW w:w="207" w:type="dxa"/>
            <w:tcBorders>
              <w:top w:val="nil"/>
              <w:left w:val="nil"/>
              <w:bottom w:val="single" w:sz="4" w:space="0" w:color="auto"/>
              <w:right w:val="single" w:sz="4" w:space="0" w:color="auto"/>
            </w:tcBorders>
            <w:shd w:val="clear" w:color="auto" w:fill="auto"/>
            <w:vAlign w:val="center"/>
            <w:hideMark/>
          </w:tcPr>
          <w:p w14:paraId="5FEF1C7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C7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C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227,690</w:t>
            </w:r>
          </w:p>
        </w:tc>
        <w:tc>
          <w:tcPr>
            <w:tcW w:w="275" w:type="dxa"/>
            <w:tcBorders>
              <w:top w:val="nil"/>
              <w:left w:val="nil"/>
              <w:bottom w:val="single" w:sz="4" w:space="0" w:color="auto"/>
              <w:right w:val="single" w:sz="4" w:space="0" w:color="auto"/>
            </w:tcBorders>
            <w:shd w:val="clear" w:color="000000" w:fill="FFFFFF"/>
            <w:vAlign w:val="center"/>
            <w:hideMark/>
          </w:tcPr>
          <w:p w14:paraId="5FEF1C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227,690</w:t>
            </w:r>
          </w:p>
        </w:tc>
        <w:tc>
          <w:tcPr>
            <w:tcW w:w="306" w:type="dxa"/>
            <w:tcBorders>
              <w:top w:val="nil"/>
              <w:left w:val="nil"/>
              <w:bottom w:val="single" w:sz="4" w:space="0" w:color="auto"/>
              <w:right w:val="single" w:sz="4" w:space="0" w:color="auto"/>
            </w:tcBorders>
            <w:shd w:val="clear" w:color="000000" w:fill="FFFFFF"/>
            <w:vAlign w:val="center"/>
            <w:hideMark/>
          </w:tcPr>
          <w:p w14:paraId="5FEF1C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227,690</w:t>
            </w:r>
          </w:p>
        </w:tc>
        <w:tc>
          <w:tcPr>
            <w:tcW w:w="245" w:type="dxa"/>
            <w:tcBorders>
              <w:top w:val="nil"/>
              <w:left w:val="nil"/>
              <w:bottom w:val="single" w:sz="4" w:space="0" w:color="auto"/>
              <w:right w:val="single" w:sz="4" w:space="0" w:color="auto"/>
            </w:tcBorders>
            <w:shd w:val="clear" w:color="000000" w:fill="FFFFFF"/>
            <w:vAlign w:val="center"/>
            <w:hideMark/>
          </w:tcPr>
          <w:p w14:paraId="5FEF1C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227,690</w:t>
            </w:r>
          </w:p>
        </w:tc>
        <w:tc>
          <w:tcPr>
            <w:tcW w:w="306" w:type="dxa"/>
            <w:tcBorders>
              <w:top w:val="nil"/>
              <w:left w:val="nil"/>
              <w:bottom w:val="single" w:sz="4" w:space="0" w:color="auto"/>
              <w:right w:val="single" w:sz="4" w:space="0" w:color="auto"/>
            </w:tcBorders>
            <w:shd w:val="clear" w:color="000000" w:fill="FFFFFF"/>
            <w:vAlign w:val="center"/>
            <w:hideMark/>
          </w:tcPr>
          <w:p w14:paraId="5FEF1C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227,690</w:t>
            </w:r>
          </w:p>
        </w:tc>
        <w:tc>
          <w:tcPr>
            <w:tcW w:w="245" w:type="dxa"/>
            <w:tcBorders>
              <w:top w:val="nil"/>
              <w:left w:val="nil"/>
              <w:bottom w:val="single" w:sz="4" w:space="0" w:color="auto"/>
              <w:right w:val="single" w:sz="4" w:space="0" w:color="auto"/>
            </w:tcBorders>
            <w:shd w:val="clear" w:color="000000" w:fill="FFFFFF"/>
            <w:vAlign w:val="center"/>
            <w:hideMark/>
          </w:tcPr>
          <w:p w14:paraId="5FEF1C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227,690</w:t>
            </w:r>
          </w:p>
        </w:tc>
        <w:tc>
          <w:tcPr>
            <w:tcW w:w="306" w:type="dxa"/>
            <w:tcBorders>
              <w:top w:val="nil"/>
              <w:left w:val="nil"/>
              <w:bottom w:val="single" w:sz="4" w:space="0" w:color="auto"/>
              <w:right w:val="single" w:sz="4" w:space="0" w:color="auto"/>
            </w:tcBorders>
            <w:shd w:val="clear" w:color="000000" w:fill="FFFFFF"/>
            <w:vAlign w:val="center"/>
            <w:hideMark/>
          </w:tcPr>
          <w:p w14:paraId="5FEF1C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683,070</w:t>
            </w:r>
          </w:p>
        </w:tc>
        <w:tc>
          <w:tcPr>
            <w:tcW w:w="275" w:type="dxa"/>
            <w:tcBorders>
              <w:top w:val="nil"/>
              <w:left w:val="nil"/>
              <w:bottom w:val="single" w:sz="4" w:space="0" w:color="auto"/>
              <w:right w:val="single" w:sz="4" w:space="0" w:color="auto"/>
            </w:tcBorders>
            <w:shd w:val="clear" w:color="000000" w:fill="FFFFFF"/>
            <w:vAlign w:val="center"/>
            <w:hideMark/>
          </w:tcPr>
          <w:p w14:paraId="5FEF1C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683,070</w:t>
            </w:r>
          </w:p>
        </w:tc>
        <w:tc>
          <w:tcPr>
            <w:tcW w:w="306" w:type="dxa"/>
            <w:tcBorders>
              <w:top w:val="nil"/>
              <w:left w:val="nil"/>
              <w:bottom w:val="single" w:sz="4" w:space="0" w:color="auto"/>
              <w:right w:val="single" w:sz="4" w:space="0" w:color="auto"/>
            </w:tcBorders>
            <w:shd w:val="clear" w:color="000000" w:fill="FFFFFF"/>
            <w:vAlign w:val="center"/>
            <w:hideMark/>
          </w:tcPr>
          <w:p w14:paraId="5FEF1C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683,070</w:t>
            </w:r>
          </w:p>
        </w:tc>
        <w:tc>
          <w:tcPr>
            <w:tcW w:w="245" w:type="dxa"/>
            <w:tcBorders>
              <w:top w:val="nil"/>
              <w:left w:val="nil"/>
              <w:bottom w:val="single" w:sz="4" w:space="0" w:color="auto"/>
              <w:right w:val="single" w:sz="4" w:space="0" w:color="auto"/>
            </w:tcBorders>
            <w:shd w:val="clear" w:color="000000" w:fill="FFFFFF"/>
            <w:vAlign w:val="center"/>
            <w:hideMark/>
          </w:tcPr>
          <w:p w14:paraId="5FEF1C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C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683,070</w:t>
            </w:r>
          </w:p>
        </w:tc>
        <w:tc>
          <w:tcPr>
            <w:tcW w:w="275" w:type="dxa"/>
            <w:tcBorders>
              <w:top w:val="nil"/>
              <w:left w:val="nil"/>
              <w:bottom w:val="single" w:sz="4" w:space="0" w:color="auto"/>
              <w:right w:val="single" w:sz="4" w:space="0" w:color="auto"/>
            </w:tcBorders>
            <w:shd w:val="clear" w:color="000000" w:fill="FFFFFF"/>
            <w:vAlign w:val="center"/>
            <w:hideMark/>
          </w:tcPr>
          <w:p w14:paraId="5FEF1C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C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C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C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C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CAA"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1C8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1C90"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1.2.</w:t>
            </w:r>
          </w:p>
        </w:tc>
        <w:tc>
          <w:tcPr>
            <w:tcW w:w="498" w:type="dxa"/>
            <w:tcBorders>
              <w:top w:val="nil"/>
              <w:left w:val="nil"/>
              <w:bottom w:val="single" w:sz="4" w:space="0" w:color="auto"/>
              <w:right w:val="single" w:sz="4" w:space="0" w:color="auto"/>
            </w:tcBorders>
            <w:shd w:val="clear" w:color="000000" w:fill="D9D9D9"/>
            <w:vAlign w:val="center"/>
            <w:hideMark/>
          </w:tcPr>
          <w:p w14:paraId="5FEF1C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1C9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1C9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1C9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1C9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1C9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675,840</w:t>
            </w:r>
          </w:p>
        </w:tc>
        <w:tc>
          <w:tcPr>
            <w:tcW w:w="275" w:type="dxa"/>
            <w:tcBorders>
              <w:top w:val="nil"/>
              <w:left w:val="nil"/>
              <w:bottom w:val="single" w:sz="4" w:space="0" w:color="auto"/>
              <w:right w:val="single" w:sz="4" w:space="0" w:color="auto"/>
            </w:tcBorders>
            <w:shd w:val="clear" w:color="000000" w:fill="D9D9D9"/>
            <w:vAlign w:val="center"/>
            <w:hideMark/>
          </w:tcPr>
          <w:p w14:paraId="5FEF1C9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9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675,840</w:t>
            </w:r>
          </w:p>
        </w:tc>
        <w:tc>
          <w:tcPr>
            <w:tcW w:w="306" w:type="dxa"/>
            <w:tcBorders>
              <w:top w:val="nil"/>
              <w:left w:val="nil"/>
              <w:bottom w:val="single" w:sz="4" w:space="0" w:color="auto"/>
              <w:right w:val="single" w:sz="4" w:space="0" w:color="auto"/>
            </w:tcBorders>
            <w:shd w:val="clear" w:color="000000" w:fill="D9D9D9"/>
            <w:vAlign w:val="center"/>
            <w:hideMark/>
          </w:tcPr>
          <w:p w14:paraId="5FEF1C9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675,840</w:t>
            </w:r>
          </w:p>
        </w:tc>
        <w:tc>
          <w:tcPr>
            <w:tcW w:w="245" w:type="dxa"/>
            <w:tcBorders>
              <w:top w:val="nil"/>
              <w:left w:val="nil"/>
              <w:bottom w:val="single" w:sz="4" w:space="0" w:color="auto"/>
              <w:right w:val="single" w:sz="4" w:space="0" w:color="auto"/>
            </w:tcBorders>
            <w:shd w:val="clear" w:color="000000" w:fill="D9D9D9"/>
            <w:vAlign w:val="center"/>
            <w:hideMark/>
          </w:tcPr>
          <w:p w14:paraId="5FEF1C9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9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675,840</w:t>
            </w:r>
          </w:p>
        </w:tc>
        <w:tc>
          <w:tcPr>
            <w:tcW w:w="306" w:type="dxa"/>
            <w:tcBorders>
              <w:top w:val="nil"/>
              <w:left w:val="nil"/>
              <w:bottom w:val="single" w:sz="4" w:space="0" w:color="auto"/>
              <w:right w:val="single" w:sz="4" w:space="0" w:color="auto"/>
            </w:tcBorders>
            <w:shd w:val="clear" w:color="000000" w:fill="D9D9D9"/>
            <w:vAlign w:val="center"/>
            <w:hideMark/>
          </w:tcPr>
          <w:p w14:paraId="5FEF1C9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675,840</w:t>
            </w:r>
          </w:p>
        </w:tc>
        <w:tc>
          <w:tcPr>
            <w:tcW w:w="245" w:type="dxa"/>
            <w:tcBorders>
              <w:top w:val="nil"/>
              <w:left w:val="nil"/>
              <w:bottom w:val="single" w:sz="4" w:space="0" w:color="auto"/>
              <w:right w:val="single" w:sz="4" w:space="0" w:color="auto"/>
            </w:tcBorders>
            <w:shd w:val="clear" w:color="000000" w:fill="D9D9D9"/>
            <w:vAlign w:val="center"/>
            <w:hideMark/>
          </w:tcPr>
          <w:p w14:paraId="5FEF1C9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9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675,840</w:t>
            </w:r>
          </w:p>
        </w:tc>
        <w:tc>
          <w:tcPr>
            <w:tcW w:w="306" w:type="dxa"/>
            <w:tcBorders>
              <w:top w:val="nil"/>
              <w:left w:val="nil"/>
              <w:bottom w:val="single" w:sz="4" w:space="0" w:color="auto"/>
              <w:right w:val="single" w:sz="4" w:space="0" w:color="auto"/>
            </w:tcBorders>
            <w:shd w:val="clear" w:color="000000" w:fill="D9D9D9"/>
            <w:vAlign w:val="center"/>
            <w:hideMark/>
          </w:tcPr>
          <w:p w14:paraId="5FEF1C9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2,027,520</w:t>
            </w:r>
          </w:p>
        </w:tc>
        <w:tc>
          <w:tcPr>
            <w:tcW w:w="275" w:type="dxa"/>
            <w:tcBorders>
              <w:top w:val="nil"/>
              <w:left w:val="nil"/>
              <w:bottom w:val="single" w:sz="4" w:space="0" w:color="auto"/>
              <w:right w:val="single" w:sz="4" w:space="0" w:color="auto"/>
            </w:tcBorders>
            <w:shd w:val="clear" w:color="000000" w:fill="D9D9D9"/>
            <w:vAlign w:val="center"/>
            <w:hideMark/>
          </w:tcPr>
          <w:p w14:paraId="5FEF1CA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A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2,027,520</w:t>
            </w:r>
          </w:p>
        </w:tc>
        <w:tc>
          <w:tcPr>
            <w:tcW w:w="306" w:type="dxa"/>
            <w:tcBorders>
              <w:top w:val="nil"/>
              <w:left w:val="nil"/>
              <w:bottom w:val="single" w:sz="4" w:space="0" w:color="auto"/>
              <w:right w:val="single" w:sz="4" w:space="0" w:color="auto"/>
            </w:tcBorders>
            <w:shd w:val="clear" w:color="000000" w:fill="D9D9D9"/>
            <w:vAlign w:val="center"/>
            <w:hideMark/>
          </w:tcPr>
          <w:p w14:paraId="5FEF1CA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1,752,120</w:t>
            </w:r>
          </w:p>
        </w:tc>
        <w:tc>
          <w:tcPr>
            <w:tcW w:w="245" w:type="dxa"/>
            <w:tcBorders>
              <w:top w:val="nil"/>
              <w:left w:val="nil"/>
              <w:bottom w:val="single" w:sz="4" w:space="0" w:color="auto"/>
              <w:right w:val="single" w:sz="4" w:space="0" w:color="auto"/>
            </w:tcBorders>
            <w:shd w:val="clear" w:color="000000" w:fill="D9D9D9"/>
            <w:vAlign w:val="center"/>
            <w:hideMark/>
          </w:tcPr>
          <w:p w14:paraId="5FEF1CA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A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1,752,120</w:t>
            </w:r>
          </w:p>
        </w:tc>
        <w:tc>
          <w:tcPr>
            <w:tcW w:w="275" w:type="dxa"/>
            <w:tcBorders>
              <w:top w:val="nil"/>
              <w:left w:val="nil"/>
              <w:bottom w:val="single" w:sz="4" w:space="0" w:color="auto"/>
              <w:right w:val="single" w:sz="4" w:space="0" w:color="auto"/>
            </w:tcBorders>
            <w:shd w:val="clear" w:color="000000" w:fill="D9D9D9"/>
            <w:vAlign w:val="center"/>
            <w:hideMark/>
          </w:tcPr>
          <w:p w14:paraId="5FEF1CA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275,400</w:t>
            </w:r>
          </w:p>
        </w:tc>
        <w:tc>
          <w:tcPr>
            <w:tcW w:w="245" w:type="dxa"/>
            <w:tcBorders>
              <w:top w:val="nil"/>
              <w:left w:val="nil"/>
              <w:bottom w:val="single" w:sz="4" w:space="0" w:color="auto"/>
              <w:right w:val="single" w:sz="4" w:space="0" w:color="auto"/>
            </w:tcBorders>
            <w:shd w:val="clear" w:color="000000" w:fill="D9D9D9"/>
            <w:vAlign w:val="center"/>
            <w:hideMark/>
          </w:tcPr>
          <w:p w14:paraId="5FEF1CA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1CA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1CA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275,400</w:t>
            </w:r>
          </w:p>
        </w:tc>
        <w:tc>
          <w:tcPr>
            <w:tcW w:w="262" w:type="dxa"/>
            <w:tcBorders>
              <w:top w:val="nil"/>
              <w:left w:val="nil"/>
              <w:bottom w:val="single" w:sz="4" w:space="0" w:color="auto"/>
              <w:right w:val="single" w:sz="4" w:space="0" w:color="auto"/>
            </w:tcBorders>
            <w:shd w:val="clear" w:color="000000" w:fill="D9D9D9"/>
            <w:vAlign w:val="center"/>
            <w:hideMark/>
          </w:tcPr>
          <w:p w14:paraId="5FEF1CA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1CC6"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1CA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1CAC"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1</w:t>
            </w:r>
          </w:p>
        </w:tc>
        <w:tc>
          <w:tcPr>
            <w:tcW w:w="498" w:type="dxa"/>
            <w:tcBorders>
              <w:top w:val="nil"/>
              <w:left w:val="nil"/>
              <w:bottom w:val="single" w:sz="4" w:space="0" w:color="auto"/>
              <w:right w:val="single" w:sz="4" w:space="0" w:color="auto"/>
            </w:tcBorders>
            <w:shd w:val="clear" w:color="000000" w:fill="D9D9D9"/>
            <w:vAlign w:val="center"/>
            <w:hideMark/>
          </w:tcPr>
          <w:p w14:paraId="5FEF1C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1CA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1CAF"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1CB0"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1CB1"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1CB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4,910,480</w:t>
            </w:r>
          </w:p>
        </w:tc>
        <w:tc>
          <w:tcPr>
            <w:tcW w:w="275" w:type="dxa"/>
            <w:tcBorders>
              <w:top w:val="nil"/>
              <w:left w:val="nil"/>
              <w:bottom w:val="single" w:sz="4" w:space="0" w:color="auto"/>
              <w:right w:val="single" w:sz="4" w:space="0" w:color="auto"/>
            </w:tcBorders>
            <w:shd w:val="clear" w:color="000000" w:fill="D9D9D9"/>
            <w:vAlign w:val="center"/>
            <w:hideMark/>
          </w:tcPr>
          <w:p w14:paraId="5FEF1CB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B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4,910,480</w:t>
            </w:r>
          </w:p>
        </w:tc>
        <w:tc>
          <w:tcPr>
            <w:tcW w:w="306" w:type="dxa"/>
            <w:tcBorders>
              <w:top w:val="nil"/>
              <w:left w:val="nil"/>
              <w:bottom w:val="single" w:sz="4" w:space="0" w:color="auto"/>
              <w:right w:val="single" w:sz="4" w:space="0" w:color="auto"/>
            </w:tcBorders>
            <w:shd w:val="clear" w:color="000000" w:fill="D9D9D9"/>
            <w:vAlign w:val="center"/>
            <w:hideMark/>
          </w:tcPr>
          <w:p w14:paraId="5FEF1CB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4,853,560</w:t>
            </w:r>
          </w:p>
        </w:tc>
        <w:tc>
          <w:tcPr>
            <w:tcW w:w="245" w:type="dxa"/>
            <w:tcBorders>
              <w:top w:val="nil"/>
              <w:left w:val="nil"/>
              <w:bottom w:val="single" w:sz="4" w:space="0" w:color="auto"/>
              <w:right w:val="single" w:sz="4" w:space="0" w:color="auto"/>
            </w:tcBorders>
            <w:shd w:val="clear" w:color="000000" w:fill="D9D9D9"/>
            <w:vAlign w:val="center"/>
            <w:hideMark/>
          </w:tcPr>
          <w:p w14:paraId="5FEF1CB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B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4,853,560</w:t>
            </w:r>
          </w:p>
        </w:tc>
        <w:tc>
          <w:tcPr>
            <w:tcW w:w="306" w:type="dxa"/>
            <w:tcBorders>
              <w:top w:val="nil"/>
              <w:left w:val="nil"/>
              <w:bottom w:val="single" w:sz="4" w:space="0" w:color="auto"/>
              <w:right w:val="single" w:sz="4" w:space="0" w:color="auto"/>
            </w:tcBorders>
            <w:shd w:val="clear" w:color="000000" w:fill="D9D9D9"/>
            <w:vAlign w:val="center"/>
            <w:hideMark/>
          </w:tcPr>
          <w:p w14:paraId="5FEF1CB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4,853,560</w:t>
            </w:r>
          </w:p>
        </w:tc>
        <w:tc>
          <w:tcPr>
            <w:tcW w:w="245" w:type="dxa"/>
            <w:tcBorders>
              <w:top w:val="nil"/>
              <w:left w:val="nil"/>
              <w:bottom w:val="single" w:sz="4" w:space="0" w:color="auto"/>
              <w:right w:val="single" w:sz="4" w:space="0" w:color="auto"/>
            </w:tcBorders>
            <w:shd w:val="clear" w:color="000000" w:fill="D9D9D9"/>
            <w:vAlign w:val="center"/>
            <w:hideMark/>
          </w:tcPr>
          <w:p w14:paraId="5FEF1CB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B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4,853,560</w:t>
            </w:r>
          </w:p>
        </w:tc>
        <w:tc>
          <w:tcPr>
            <w:tcW w:w="306" w:type="dxa"/>
            <w:tcBorders>
              <w:top w:val="nil"/>
              <w:left w:val="nil"/>
              <w:bottom w:val="single" w:sz="4" w:space="0" w:color="auto"/>
              <w:right w:val="single" w:sz="4" w:space="0" w:color="auto"/>
            </w:tcBorders>
            <w:shd w:val="clear" w:color="000000" w:fill="D9D9D9"/>
            <w:vAlign w:val="center"/>
            <w:hideMark/>
          </w:tcPr>
          <w:p w14:paraId="5FEF1CB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14,617,601</w:t>
            </w:r>
          </w:p>
        </w:tc>
        <w:tc>
          <w:tcPr>
            <w:tcW w:w="275" w:type="dxa"/>
            <w:tcBorders>
              <w:top w:val="nil"/>
              <w:left w:val="nil"/>
              <w:bottom w:val="single" w:sz="4" w:space="0" w:color="auto"/>
              <w:right w:val="single" w:sz="4" w:space="0" w:color="auto"/>
            </w:tcBorders>
            <w:shd w:val="clear" w:color="000000" w:fill="D9D9D9"/>
            <w:vAlign w:val="center"/>
            <w:hideMark/>
          </w:tcPr>
          <w:p w14:paraId="5FEF1CB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B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14,617,601</w:t>
            </w:r>
          </w:p>
        </w:tc>
        <w:tc>
          <w:tcPr>
            <w:tcW w:w="306" w:type="dxa"/>
            <w:tcBorders>
              <w:top w:val="nil"/>
              <w:left w:val="nil"/>
              <w:bottom w:val="single" w:sz="4" w:space="0" w:color="auto"/>
              <w:right w:val="single" w:sz="4" w:space="0" w:color="auto"/>
            </w:tcBorders>
            <w:shd w:val="clear" w:color="000000" w:fill="D9D9D9"/>
            <w:vAlign w:val="center"/>
            <w:hideMark/>
          </w:tcPr>
          <w:p w14:paraId="5FEF1CB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13,723,861</w:t>
            </w:r>
          </w:p>
        </w:tc>
        <w:tc>
          <w:tcPr>
            <w:tcW w:w="245" w:type="dxa"/>
            <w:tcBorders>
              <w:top w:val="nil"/>
              <w:left w:val="nil"/>
              <w:bottom w:val="single" w:sz="4" w:space="0" w:color="auto"/>
              <w:right w:val="single" w:sz="4" w:space="0" w:color="auto"/>
            </w:tcBorders>
            <w:shd w:val="clear" w:color="000000" w:fill="D9D9D9"/>
            <w:vAlign w:val="center"/>
            <w:hideMark/>
          </w:tcPr>
          <w:p w14:paraId="5FEF1CB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1CC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13,723,861</w:t>
            </w:r>
          </w:p>
        </w:tc>
        <w:tc>
          <w:tcPr>
            <w:tcW w:w="275" w:type="dxa"/>
            <w:tcBorders>
              <w:top w:val="nil"/>
              <w:left w:val="nil"/>
              <w:bottom w:val="single" w:sz="4" w:space="0" w:color="auto"/>
              <w:right w:val="single" w:sz="4" w:space="0" w:color="auto"/>
            </w:tcBorders>
            <w:shd w:val="clear" w:color="000000" w:fill="D9D9D9"/>
            <w:vAlign w:val="center"/>
            <w:hideMark/>
          </w:tcPr>
          <w:p w14:paraId="5FEF1CC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893,740</w:t>
            </w:r>
          </w:p>
        </w:tc>
        <w:tc>
          <w:tcPr>
            <w:tcW w:w="245" w:type="dxa"/>
            <w:tcBorders>
              <w:top w:val="nil"/>
              <w:left w:val="nil"/>
              <w:bottom w:val="single" w:sz="4" w:space="0" w:color="auto"/>
              <w:right w:val="single" w:sz="4" w:space="0" w:color="auto"/>
            </w:tcBorders>
            <w:shd w:val="clear" w:color="000000" w:fill="D9D9D9"/>
            <w:vAlign w:val="center"/>
            <w:hideMark/>
          </w:tcPr>
          <w:p w14:paraId="5FEF1CC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1CC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1CC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893,740</w:t>
            </w:r>
          </w:p>
        </w:tc>
        <w:tc>
          <w:tcPr>
            <w:tcW w:w="262" w:type="dxa"/>
            <w:tcBorders>
              <w:top w:val="nil"/>
              <w:left w:val="nil"/>
              <w:bottom w:val="single" w:sz="4" w:space="0" w:color="auto"/>
              <w:right w:val="single" w:sz="4" w:space="0" w:color="auto"/>
            </w:tcBorders>
            <w:shd w:val="clear" w:color="000000" w:fill="D9D9D9"/>
            <w:vAlign w:val="center"/>
            <w:hideMark/>
          </w:tcPr>
          <w:p w14:paraId="5FEF1CC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1CC8" w14:textId="77777777" w:rsidTr="002117FE">
        <w:trPr>
          <w:trHeight w:val="180"/>
          <w:jc w:val="center"/>
        </w:trPr>
        <w:tc>
          <w:tcPr>
            <w:tcW w:w="9390" w:type="dxa"/>
            <w:gridSpan w:val="27"/>
            <w:tcBorders>
              <w:top w:val="single" w:sz="8" w:space="0" w:color="auto"/>
              <w:left w:val="single" w:sz="8" w:space="0" w:color="auto"/>
              <w:bottom w:val="single" w:sz="8" w:space="0" w:color="auto"/>
              <w:right w:val="single" w:sz="8" w:space="0" w:color="000000"/>
            </w:tcBorders>
            <w:shd w:val="clear" w:color="000000" w:fill="F8CBAD"/>
            <w:vAlign w:val="center"/>
            <w:hideMark/>
          </w:tcPr>
          <w:p w14:paraId="5FEF1CC7"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lastRenderedPageBreak/>
              <w:t>I. QËLLIMI STRATEGJIK: LUFTA KUNDËR KRIMIT TË ORGANIZUAR, TERRORIZMIT DHE TRAFIKIMIT</w:t>
            </w:r>
          </w:p>
        </w:tc>
      </w:tr>
      <w:tr w:rsidR="002117FE" w:rsidRPr="00795698" w14:paraId="5FEF1CCA" w14:textId="77777777" w:rsidTr="002117FE">
        <w:trPr>
          <w:trHeight w:val="180"/>
          <w:jc w:val="center"/>
        </w:trPr>
        <w:tc>
          <w:tcPr>
            <w:tcW w:w="9390" w:type="dxa"/>
            <w:gridSpan w:val="27"/>
            <w:tcBorders>
              <w:top w:val="single" w:sz="8" w:space="0" w:color="auto"/>
              <w:left w:val="single" w:sz="8" w:space="0" w:color="auto"/>
              <w:bottom w:val="nil"/>
              <w:right w:val="single" w:sz="8" w:space="0" w:color="000000"/>
            </w:tcBorders>
            <w:shd w:val="clear" w:color="000000" w:fill="E7E6E6"/>
            <w:vAlign w:val="center"/>
            <w:hideMark/>
          </w:tcPr>
          <w:p w14:paraId="5FEF1CC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II. QËLLIMI I POLITIKËS II: Zhvillimi i Komunikimit Strategjik</w:t>
            </w:r>
          </w:p>
        </w:tc>
      </w:tr>
      <w:tr w:rsidR="002117FE" w:rsidRPr="00795698" w14:paraId="5FEF1CCC" w14:textId="77777777" w:rsidTr="002117FE">
        <w:trPr>
          <w:trHeight w:val="180"/>
          <w:jc w:val="center"/>
        </w:trPr>
        <w:tc>
          <w:tcPr>
            <w:tcW w:w="9390" w:type="dxa"/>
            <w:gridSpan w:val="27"/>
            <w:tcBorders>
              <w:top w:val="single" w:sz="8" w:space="0" w:color="auto"/>
              <w:left w:val="single" w:sz="8" w:space="0" w:color="auto"/>
              <w:bottom w:val="single" w:sz="8" w:space="0" w:color="auto"/>
              <w:right w:val="single" w:sz="8" w:space="0" w:color="000000"/>
            </w:tcBorders>
            <w:shd w:val="clear" w:color="000000" w:fill="FFFF00"/>
            <w:vAlign w:val="center"/>
            <w:hideMark/>
          </w:tcPr>
          <w:p w14:paraId="5FEF1CCB" w14:textId="0C652A36"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III. PROGRAMI/ET BUXHETORE:Programi Buxhetor "Planifikim Menaxhimi" Kodi i programit 01110; Programi Buxhetor "Arsimi Ushtarak" Kodi i Programit Buxhetor 09430; Programi Buxhetor " Arsimi Bazë", Kodi i Progamit Buxhetor 09120; Programi Buxhetor</w:t>
            </w:r>
            <w:r w:rsidR="007C064A" w:rsidRPr="00795698">
              <w:rPr>
                <w:rFonts w:ascii="Arial" w:hAnsi="Arial" w:cs="Arial"/>
                <w:b/>
                <w:bCs/>
                <w:sz w:val="6"/>
                <w:szCs w:val="6"/>
                <w:lang w:eastAsia="sq-AL"/>
              </w:rPr>
              <w:t xml:space="preserve"> </w:t>
            </w:r>
            <w:r w:rsidRPr="00795698">
              <w:rPr>
                <w:rFonts w:ascii="Arial" w:hAnsi="Arial" w:cs="Arial"/>
                <w:b/>
                <w:bCs/>
                <w:sz w:val="6"/>
                <w:szCs w:val="6"/>
                <w:lang w:eastAsia="sq-AL"/>
              </w:rPr>
              <w:t>"Kujdesi Social", Kodi i Programit Buxhetor</w:t>
            </w:r>
            <w:r w:rsidR="007C064A" w:rsidRPr="00795698">
              <w:rPr>
                <w:rFonts w:ascii="Arial" w:hAnsi="Arial" w:cs="Arial"/>
                <w:b/>
                <w:bCs/>
                <w:sz w:val="6"/>
                <w:szCs w:val="6"/>
                <w:lang w:eastAsia="sq-AL"/>
              </w:rPr>
              <w:t xml:space="preserve"> </w:t>
            </w:r>
            <w:r w:rsidRPr="00795698">
              <w:rPr>
                <w:rFonts w:ascii="Arial" w:hAnsi="Arial" w:cs="Arial"/>
                <w:b/>
                <w:bCs/>
                <w:sz w:val="6"/>
                <w:szCs w:val="6"/>
                <w:lang w:eastAsia="sq-AL"/>
              </w:rPr>
              <w:t>10430</w:t>
            </w:r>
            <w:r w:rsidR="007C064A" w:rsidRPr="00795698">
              <w:rPr>
                <w:rFonts w:ascii="Arial" w:hAnsi="Arial" w:cs="Arial"/>
                <w:b/>
                <w:bCs/>
                <w:sz w:val="6"/>
                <w:szCs w:val="6"/>
                <w:lang w:eastAsia="sq-AL"/>
              </w:rPr>
              <w:t xml:space="preserve"> </w:t>
            </w:r>
          </w:p>
        </w:tc>
      </w:tr>
      <w:tr w:rsidR="002117FE" w:rsidRPr="00795698" w14:paraId="5FEF1CE8" w14:textId="77777777" w:rsidTr="002117FE">
        <w:trPr>
          <w:trHeight w:val="180"/>
          <w:jc w:val="center"/>
        </w:trPr>
        <w:tc>
          <w:tcPr>
            <w:tcW w:w="18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FEF1CC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2.1</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14:paraId="5FEF1CCE" w14:textId="3BCEC28C" w:rsidR="002117FE" w:rsidRPr="00795698" w:rsidRDefault="002117FE" w:rsidP="002117FE">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OBJEKTIVI SPECIFIK: Komunikimi strategjik dhe </w:t>
            </w:r>
            <w:r w:rsidR="00C62D65" w:rsidRPr="00795698">
              <w:rPr>
                <w:rFonts w:ascii="Arial" w:hAnsi="Arial" w:cs="Arial"/>
                <w:b/>
                <w:bCs/>
                <w:color w:val="000000"/>
                <w:sz w:val="6"/>
                <w:szCs w:val="6"/>
                <w:lang w:eastAsia="sq-AL"/>
              </w:rPr>
              <w:t>kundër</w:t>
            </w:r>
            <w:r w:rsidRPr="00795698">
              <w:rPr>
                <w:rFonts w:ascii="Arial" w:hAnsi="Arial" w:cs="Arial"/>
                <w:b/>
                <w:bCs/>
                <w:color w:val="000000"/>
                <w:sz w:val="6"/>
                <w:szCs w:val="6"/>
                <w:lang w:eastAsia="sq-AL"/>
              </w:rPr>
              <w:t>narrativa online e ekstremizmit të dhunshëm</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dhe radikalizmit</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1C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1C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single" w:sz="4" w:space="0" w:color="auto"/>
              <w:left w:val="nil"/>
              <w:bottom w:val="single" w:sz="4" w:space="0" w:color="auto"/>
              <w:right w:val="single" w:sz="4" w:space="0" w:color="auto"/>
            </w:tcBorders>
            <w:shd w:val="clear" w:color="auto" w:fill="auto"/>
            <w:vAlign w:val="center"/>
            <w:hideMark/>
          </w:tcPr>
          <w:p w14:paraId="5FEF1C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single" w:sz="4" w:space="0" w:color="auto"/>
              <w:left w:val="nil"/>
              <w:bottom w:val="single" w:sz="4" w:space="0" w:color="auto"/>
              <w:right w:val="single" w:sz="4" w:space="0" w:color="auto"/>
            </w:tcBorders>
            <w:shd w:val="clear" w:color="auto" w:fill="auto"/>
            <w:vAlign w:val="center"/>
            <w:hideMark/>
          </w:tcPr>
          <w:p w14:paraId="5FEF1C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single" w:sz="4" w:space="0" w:color="auto"/>
              <w:left w:val="nil"/>
              <w:bottom w:val="single" w:sz="4" w:space="0" w:color="auto"/>
              <w:right w:val="single" w:sz="4" w:space="0" w:color="auto"/>
            </w:tcBorders>
            <w:shd w:val="clear" w:color="auto" w:fill="auto"/>
            <w:vAlign w:val="center"/>
            <w:hideMark/>
          </w:tcPr>
          <w:p w14:paraId="5FEF1C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C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C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C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C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C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1C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C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1C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single" w:sz="4" w:space="0" w:color="auto"/>
              <w:left w:val="nil"/>
              <w:bottom w:val="single" w:sz="4" w:space="0" w:color="auto"/>
              <w:right w:val="single" w:sz="4" w:space="0" w:color="auto"/>
            </w:tcBorders>
            <w:shd w:val="clear" w:color="auto" w:fill="auto"/>
            <w:vAlign w:val="center"/>
            <w:hideMark/>
          </w:tcPr>
          <w:p w14:paraId="5FEF1C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1C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single" w:sz="4" w:space="0" w:color="auto"/>
              <w:left w:val="nil"/>
              <w:bottom w:val="single" w:sz="4" w:space="0" w:color="auto"/>
              <w:right w:val="single" w:sz="8" w:space="0" w:color="auto"/>
            </w:tcBorders>
            <w:shd w:val="clear" w:color="000000" w:fill="FFFFFF"/>
            <w:vAlign w:val="center"/>
            <w:hideMark/>
          </w:tcPr>
          <w:p w14:paraId="5FEF1C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1D0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CE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auto" w:fill="auto"/>
            <w:vAlign w:val="center"/>
            <w:hideMark/>
          </w:tcPr>
          <w:p w14:paraId="5FEF1CEA" w14:textId="29A04C76" w:rsidR="002117FE" w:rsidRPr="00795698" w:rsidRDefault="002117FE" w:rsidP="002117FE">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r w:rsidR="007C064A" w:rsidRPr="00795698">
              <w:rPr>
                <w:rFonts w:ascii="Arial" w:hAnsi="Arial" w:cs="Arial"/>
                <w:b/>
                <w:bCs/>
                <w:i/>
                <w:iCs/>
                <w:color w:val="0066CC"/>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C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vAlign w:val="center"/>
            <w:hideMark/>
          </w:tcPr>
          <w:p w14:paraId="5FEF1C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vAlign w:val="center"/>
            <w:hideMark/>
          </w:tcPr>
          <w:p w14:paraId="5FEF1C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vAlign w:val="center"/>
            <w:hideMark/>
          </w:tcPr>
          <w:p w14:paraId="5FEF1CE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vAlign w:val="center"/>
            <w:hideMark/>
          </w:tcPr>
          <w:p w14:paraId="5FEF1CE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1C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1C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1C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1C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1C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1C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1C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1D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auto" w:fill="auto"/>
            <w:vAlign w:val="center"/>
            <w:hideMark/>
          </w:tcPr>
          <w:p w14:paraId="5FEF1D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1D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000000" w:fill="FFFFFF"/>
            <w:vAlign w:val="center"/>
            <w:hideMark/>
          </w:tcPr>
          <w:p w14:paraId="5FEF1D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1D2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0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w:t>
            </w:r>
          </w:p>
        </w:tc>
        <w:tc>
          <w:tcPr>
            <w:tcW w:w="1301" w:type="dxa"/>
            <w:tcBorders>
              <w:top w:val="nil"/>
              <w:left w:val="nil"/>
              <w:bottom w:val="single" w:sz="4" w:space="0" w:color="auto"/>
              <w:right w:val="single" w:sz="4" w:space="0" w:color="auto"/>
            </w:tcBorders>
            <w:shd w:val="clear" w:color="auto" w:fill="auto"/>
            <w:vAlign w:val="center"/>
            <w:hideMark/>
          </w:tcPr>
          <w:p w14:paraId="5FEF1D0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anketimeve, mbledhja dhe shkëmbimi i të dhënave nga QKEDH për identifikimin e faktorëve të përhapjes së fenomenit radikalizmit dhe ekstremizmit të dhunshëm online në bashkëpunim me organizatat e shoqërisë civile.</w:t>
            </w:r>
          </w:p>
        </w:tc>
        <w:tc>
          <w:tcPr>
            <w:tcW w:w="498" w:type="dxa"/>
            <w:tcBorders>
              <w:top w:val="nil"/>
              <w:left w:val="nil"/>
              <w:bottom w:val="single" w:sz="4" w:space="0" w:color="auto"/>
              <w:right w:val="single" w:sz="4" w:space="0" w:color="auto"/>
            </w:tcBorders>
            <w:shd w:val="clear" w:color="000000" w:fill="FFFFFF"/>
            <w:vAlign w:val="center"/>
            <w:hideMark/>
          </w:tcPr>
          <w:p w14:paraId="5FEF1D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D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D0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0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153,710</w:t>
            </w:r>
          </w:p>
        </w:tc>
        <w:tc>
          <w:tcPr>
            <w:tcW w:w="275" w:type="dxa"/>
            <w:tcBorders>
              <w:top w:val="nil"/>
              <w:left w:val="nil"/>
              <w:bottom w:val="single" w:sz="4" w:space="0" w:color="auto"/>
              <w:right w:val="single" w:sz="4" w:space="0" w:color="auto"/>
            </w:tcBorders>
            <w:shd w:val="clear" w:color="000000" w:fill="FFFFFF"/>
            <w:vAlign w:val="center"/>
            <w:hideMark/>
          </w:tcPr>
          <w:p w14:paraId="5FEF1D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153,710</w:t>
            </w:r>
          </w:p>
        </w:tc>
        <w:tc>
          <w:tcPr>
            <w:tcW w:w="306" w:type="dxa"/>
            <w:tcBorders>
              <w:top w:val="nil"/>
              <w:left w:val="nil"/>
              <w:bottom w:val="single" w:sz="4" w:space="0" w:color="auto"/>
              <w:right w:val="single" w:sz="4" w:space="0" w:color="auto"/>
            </w:tcBorders>
            <w:shd w:val="clear" w:color="000000" w:fill="FFFFFF"/>
            <w:vAlign w:val="center"/>
            <w:hideMark/>
          </w:tcPr>
          <w:p w14:paraId="5FEF1D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153,710</w:t>
            </w:r>
          </w:p>
        </w:tc>
        <w:tc>
          <w:tcPr>
            <w:tcW w:w="245" w:type="dxa"/>
            <w:tcBorders>
              <w:top w:val="nil"/>
              <w:left w:val="nil"/>
              <w:bottom w:val="single" w:sz="4" w:space="0" w:color="auto"/>
              <w:right w:val="single" w:sz="4" w:space="0" w:color="auto"/>
            </w:tcBorders>
            <w:shd w:val="clear" w:color="000000" w:fill="FFFFFF"/>
            <w:vAlign w:val="center"/>
            <w:hideMark/>
          </w:tcPr>
          <w:p w14:paraId="5FEF1D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153,710</w:t>
            </w:r>
          </w:p>
        </w:tc>
        <w:tc>
          <w:tcPr>
            <w:tcW w:w="306" w:type="dxa"/>
            <w:tcBorders>
              <w:top w:val="nil"/>
              <w:left w:val="nil"/>
              <w:bottom w:val="single" w:sz="4" w:space="0" w:color="auto"/>
              <w:right w:val="single" w:sz="4" w:space="0" w:color="auto"/>
            </w:tcBorders>
            <w:shd w:val="clear" w:color="000000" w:fill="FFFFFF"/>
            <w:vAlign w:val="center"/>
            <w:hideMark/>
          </w:tcPr>
          <w:p w14:paraId="5FEF1D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153,710</w:t>
            </w:r>
          </w:p>
        </w:tc>
        <w:tc>
          <w:tcPr>
            <w:tcW w:w="245" w:type="dxa"/>
            <w:tcBorders>
              <w:top w:val="nil"/>
              <w:left w:val="nil"/>
              <w:bottom w:val="single" w:sz="4" w:space="0" w:color="auto"/>
              <w:right w:val="single" w:sz="4" w:space="0" w:color="auto"/>
            </w:tcBorders>
            <w:shd w:val="clear" w:color="000000" w:fill="FFFFFF"/>
            <w:vAlign w:val="center"/>
            <w:hideMark/>
          </w:tcPr>
          <w:p w14:paraId="5FEF1D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153,710</w:t>
            </w:r>
          </w:p>
        </w:tc>
        <w:tc>
          <w:tcPr>
            <w:tcW w:w="306" w:type="dxa"/>
            <w:tcBorders>
              <w:top w:val="nil"/>
              <w:left w:val="nil"/>
              <w:bottom w:val="single" w:sz="4" w:space="0" w:color="auto"/>
              <w:right w:val="single" w:sz="4" w:space="0" w:color="auto"/>
            </w:tcBorders>
            <w:shd w:val="clear" w:color="000000" w:fill="FFFFFF"/>
            <w:vAlign w:val="center"/>
            <w:hideMark/>
          </w:tcPr>
          <w:p w14:paraId="5FEF1D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461,130</w:t>
            </w:r>
          </w:p>
        </w:tc>
        <w:tc>
          <w:tcPr>
            <w:tcW w:w="275" w:type="dxa"/>
            <w:tcBorders>
              <w:top w:val="nil"/>
              <w:left w:val="nil"/>
              <w:bottom w:val="single" w:sz="4" w:space="0" w:color="auto"/>
              <w:right w:val="single" w:sz="4" w:space="0" w:color="auto"/>
            </w:tcBorders>
            <w:shd w:val="clear" w:color="000000" w:fill="FFFFFF"/>
            <w:vAlign w:val="center"/>
            <w:hideMark/>
          </w:tcPr>
          <w:p w14:paraId="5FEF1D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461,130</w:t>
            </w:r>
          </w:p>
        </w:tc>
        <w:tc>
          <w:tcPr>
            <w:tcW w:w="306" w:type="dxa"/>
            <w:tcBorders>
              <w:top w:val="nil"/>
              <w:left w:val="nil"/>
              <w:bottom w:val="single" w:sz="4" w:space="0" w:color="auto"/>
              <w:right w:val="single" w:sz="4" w:space="0" w:color="auto"/>
            </w:tcBorders>
            <w:shd w:val="clear" w:color="000000" w:fill="FFFFFF"/>
            <w:vAlign w:val="center"/>
            <w:hideMark/>
          </w:tcPr>
          <w:p w14:paraId="5FEF1D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261,130</w:t>
            </w:r>
          </w:p>
        </w:tc>
        <w:tc>
          <w:tcPr>
            <w:tcW w:w="245" w:type="dxa"/>
            <w:tcBorders>
              <w:top w:val="nil"/>
              <w:left w:val="nil"/>
              <w:bottom w:val="single" w:sz="4" w:space="0" w:color="auto"/>
              <w:right w:val="single" w:sz="4" w:space="0" w:color="auto"/>
            </w:tcBorders>
            <w:shd w:val="clear" w:color="000000" w:fill="FFFFFF"/>
            <w:vAlign w:val="center"/>
            <w:hideMark/>
          </w:tcPr>
          <w:p w14:paraId="5FEF1D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261,130</w:t>
            </w:r>
          </w:p>
        </w:tc>
        <w:tc>
          <w:tcPr>
            <w:tcW w:w="275" w:type="dxa"/>
            <w:tcBorders>
              <w:top w:val="nil"/>
              <w:left w:val="nil"/>
              <w:bottom w:val="single" w:sz="4" w:space="0" w:color="auto"/>
              <w:right w:val="single" w:sz="4" w:space="0" w:color="auto"/>
            </w:tcBorders>
            <w:shd w:val="clear" w:color="000000" w:fill="FFFFFF"/>
            <w:vAlign w:val="center"/>
            <w:hideMark/>
          </w:tcPr>
          <w:p w14:paraId="5FEF1D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45" w:type="dxa"/>
            <w:tcBorders>
              <w:top w:val="nil"/>
              <w:left w:val="nil"/>
              <w:bottom w:val="single" w:sz="4" w:space="0" w:color="auto"/>
              <w:right w:val="single" w:sz="4" w:space="0" w:color="auto"/>
            </w:tcBorders>
            <w:shd w:val="clear" w:color="000000" w:fill="FFFFFF"/>
            <w:vAlign w:val="center"/>
            <w:hideMark/>
          </w:tcPr>
          <w:p w14:paraId="5FEF1D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62" w:type="dxa"/>
            <w:tcBorders>
              <w:top w:val="nil"/>
              <w:left w:val="nil"/>
              <w:bottom w:val="single" w:sz="4" w:space="0" w:color="auto"/>
              <w:right w:val="single" w:sz="8" w:space="0" w:color="auto"/>
            </w:tcBorders>
            <w:shd w:val="clear" w:color="000000" w:fill="FFFFFF"/>
            <w:vAlign w:val="center"/>
            <w:hideMark/>
          </w:tcPr>
          <w:p w14:paraId="5FEF1D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3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2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w:t>
            </w:r>
          </w:p>
        </w:tc>
        <w:tc>
          <w:tcPr>
            <w:tcW w:w="1301" w:type="dxa"/>
            <w:tcBorders>
              <w:top w:val="nil"/>
              <w:left w:val="nil"/>
              <w:bottom w:val="single" w:sz="4" w:space="0" w:color="auto"/>
              <w:right w:val="single" w:sz="4" w:space="0" w:color="auto"/>
            </w:tcBorders>
            <w:shd w:val="clear" w:color="auto" w:fill="auto"/>
            <w:vAlign w:val="center"/>
            <w:hideMark/>
          </w:tcPr>
          <w:p w14:paraId="5FEF1D22"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Publikime të raporteve vjetore në faqen zyrtare të QKEDH-së.</w:t>
            </w:r>
          </w:p>
        </w:tc>
        <w:tc>
          <w:tcPr>
            <w:tcW w:w="498" w:type="dxa"/>
            <w:tcBorders>
              <w:top w:val="nil"/>
              <w:left w:val="nil"/>
              <w:bottom w:val="single" w:sz="4" w:space="0" w:color="auto"/>
              <w:right w:val="single" w:sz="4" w:space="0" w:color="auto"/>
            </w:tcBorders>
            <w:shd w:val="clear" w:color="000000" w:fill="FFFFFF"/>
            <w:vAlign w:val="center"/>
            <w:hideMark/>
          </w:tcPr>
          <w:p w14:paraId="5FEF1D23" w14:textId="37DFEB81"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D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Donatorë</w:t>
            </w:r>
          </w:p>
        </w:tc>
        <w:tc>
          <w:tcPr>
            <w:tcW w:w="207" w:type="dxa"/>
            <w:tcBorders>
              <w:top w:val="nil"/>
              <w:left w:val="nil"/>
              <w:bottom w:val="single" w:sz="4" w:space="0" w:color="auto"/>
              <w:right w:val="single" w:sz="4" w:space="0" w:color="auto"/>
            </w:tcBorders>
            <w:shd w:val="clear" w:color="auto" w:fill="auto"/>
            <w:vAlign w:val="center"/>
            <w:hideMark/>
          </w:tcPr>
          <w:p w14:paraId="5FEF1D2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2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275" w:type="dxa"/>
            <w:tcBorders>
              <w:top w:val="nil"/>
              <w:left w:val="nil"/>
              <w:bottom w:val="single" w:sz="4" w:space="0" w:color="auto"/>
              <w:right w:val="single" w:sz="4" w:space="0" w:color="auto"/>
            </w:tcBorders>
            <w:shd w:val="clear" w:color="000000" w:fill="FFFFFF"/>
            <w:vAlign w:val="center"/>
            <w:hideMark/>
          </w:tcPr>
          <w:p w14:paraId="5FEF1D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306" w:type="dxa"/>
            <w:tcBorders>
              <w:top w:val="nil"/>
              <w:left w:val="nil"/>
              <w:bottom w:val="single" w:sz="4" w:space="0" w:color="auto"/>
              <w:right w:val="single" w:sz="4" w:space="0" w:color="auto"/>
            </w:tcBorders>
            <w:shd w:val="clear" w:color="000000" w:fill="FFFFFF"/>
            <w:vAlign w:val="center"/>
            <w:hideMark/>
          </w:tcPr>
          <w:p w14:paraId="5FEF1D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245" w:type="dxa"/>
            <w:tcBorders>
              <w:top w:val="nil"/>
              <w:left w:val="nil"/>
              <w:bottom w:val="single" w:sz="4" w:space="0" w:color="auto"/>
              <w:right w:val="single" w:sz="4" w:space="0" w:color="auto"/>
            </w:tcBorders>
            <w:shd w:val="clear" w:color="000000" w:fill="FFFFFF"/>
            <w:vAlign w:val="center"/>
            <w:hideMark/>
          </w:tcPr>
          <w:p w14:paraId="5FEF1D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306" w:type="dxa"/>
            <w:tcBorders>
              <w:top w:val="nil"/>
              <w:left w:val="nil"/>
              <w:bottom w:val="single" w:sz="4" w:space="0" w:color="auto"/>
              <w:right w:val="single" w:sz="4" w:space="0" w:color="auto"/>
            </w:tcBorders>
            <w:shd w:val="clear" w:color="000000" w:fill="FFFFFF"/>
            <w:vAlign w:val="center"/>
            <w:hideMark/>
          </w:tcPr>
          <w:p w14:paraId="5FEF1D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245" w:type="dxa"/>
            <w:tcBorders>
              <w:top w:val="nil"/>
              <w:left w:val="nil"/>
              <w:bottom w:val="single" w:sz="4" w:space="0" w:color="auto"/>
              <w:right w:val="single" w:sz="4" w:space="0" w:color="auto"/>
            </w:tcBorders>
            <w:shd w:val="clear" w:color="000000" w:fill="FFFFFF"/>
            <w:vAlign w:val="center"/>
            <w:hideMark/>
          </w:tcPr>
          <w:p w14:paraId="5FEF1D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306" w:type="dxa"/>
            <w:tcBorders>
              <w:top w:val="nil"/>
              <w:left w:val="nil"/>
              <w:bottom w:val="single" w:sz="4" w:space="0" w:color="auto"/>
              <w:right w:val="single" w:sz="4" w:space="0" w:color="auto"/>
            </w:tcBorders>
            <w:shd w:val="clear" w:color="000000" w:fill="FFFFFF"/>
            <w:vAlign w:val="center"/>
            <w:hideMark/>
          </w:tcPr>
          <w:p w14:paraId="5FEF1D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275" w:type="dxa"/>
            <w:tcBorders>
              <w:top w:val="nil"/>
              <w:left w:val="nil"/>
              <w:bottom w:val="single" w:sz="4" w:space="0" w:color="auto"/>
              <w:right w:val="single" w:sz="4" w:space="0" w:color="auto"/>
            </w:tcBorders>
            <w:shd w:val="clear" w:color="000000" w:fill="FFFFFF"/>
            <w:vAlign w:val="center"/>
            <w:hideMark/>
          </w:tcPr>
          <w:p w14:paraId="5FEF1D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306" w:type="dxa"/>
            <w:tcBorders>
              <w:top w:val="nil"/>
              <w:left w:val="nil"/>
              <w:bottom w:val="single" w:sz="4" w:space="0" w:color="auto"/>
              <w:right w:val="single" w:sz="4" w:space="0" w:color="auto"/>
            </w:tcBorders>
            <w:shd w:val="clear" w:color="000000" w:fill="FFFFFF"/>
            <w:vAlign w:val="center"/>
            <w:hideMark/>
          </w:tcPr>
          <w:p w14:paraId="5FEF1D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245" w:type="dxa"/>
            <w:tcBorders>
              <w:top w:val="nil"/>
              <w:left w:val="nil"/>
              <w:bottom w:val="single" w:sz="4" w:space="0" w:color="auto"/>
              <w:right w:val="single" w:sz="4" w:space="0" w:color="auto"/>
            </w:tcBorders>
            <w:shd w:val="clear" w:color="000000" w:fill="FFFFFF"/>
            <w:vAlign w:val="center"/>
            <w:hideMark/>
          </w:tcPr>
          <w:p w14:paraId="5FEF1D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275" w:type="dxa"/>
            <w:tcBorders>
              <w:top w:val="nil"/>
              <w:left w:val="nil"/>
              <w:bottom w:val="single" w:sz="4" w:space="0" w:color="auto"/>
              <w:right w:val="single" w:sz="4" w:space="0" w:color="auto"/>
            </w:tcBorders>
            <w:shd w:val="clear" w:color="000000" w:fill="FFFFFF"/>
            <w:vAlign w:val="center"/>
            <w:hideMark/>
          </w:tcPr>
          <w:p w14:paraId="5FEF1D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3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5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3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2.1.3</w:t>
            </w:r>
          </w:p>
        </w:tc>
        <w:tc>
          <w:tcPr>
            <w:tcW w:w="1301" w:type="dxa"/>
            <w:tcBorders>
              <w:top w:val="nil"/>
              <w:left w:val="nil"/>
              <w:bottom w:val="single" w:sz="4" w:space="0" w:color="auto"/>
              <w:right w:val="single" w:sz="4" w:space="0" w:color="auto"/>
            </w:tcBorders>
            <w:shd w:val="clear" w:color="auto" w:fill="auto"/>
            <w:vAlign w:val="center"/>
            <w:hideMark/>
          </w:tcPr>
          <w:p w14:paraId="5FEF1D3E"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Organizimi i seminareve, forumeve dhe konferencave.</w:t>
            </w:r>
          </w:p>
        </w:tc>
        <w:tc>
          <w:tcPr>
            <w:tcW w:w="498" w:type="dxa"/>
            <w:tcBorders>
              <w:top w:val="nil"/>
              <w:left w:val="nil"/>
              <w:bottom w:val="single" w:sz="4" w:space="0" w:color="auto"/>
              <w:right w:val="single" w:sz="4" w:space="0" w:color="auto"/>
            </w:tcBorders>
            <w:shd w:val="clear" w:color="000000" w:fill="FFFFFF"/>
            <w:vAlign w:val="center"/>
            <w:hideMark/>
          </w:tcPr>
          <w:p w14:paraId="5FEF1D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D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Këshilltarët për Media të Ministrive; Të gjitha ministritë e linjës</w:t>
            </w:r>
          </w:p>
        </w:tc>
        <w:tc>
          <w:tcPr>
            <w:tcW w:w="207" w:type="dxa"/>
            <w:tcBorders>
              <w:top w:val="nil"/>
              <w:left w:val="nil"/>
              <w:bottom w:val="single" w:sz="4" w:space="0" w:color="auto"/>
              <w:right w:val="single" w:sz="4" w:space="0" w:color="auto"/>
            </w:tcBorders>
            <w:shd w:val="clear" w:color="auto" w:fill="auto"/>
            <w:vAlign w:val="center"/>
            <w:hideMark/>
          </w:tcPr>
          <w:p w14:paraId="5FEF1D4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4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75" w:type="dxa"/>
            <w:tcBorders>
              <w:top w:val="nil"/>
              <w:left w:val="nil"/>
              <w:bottom w:val="single" w:sz="4" w:space="0" w:color="auto"/>
              <w:right w:val="single" w:sz="4" w:space="0" w:color="auto"/>
            </w:tcBorders>
            <w:shd w:val="clear" w:color="000000" w:fill="FFFFFF"/>
            <w:vAlign w:val="center"/>
            <w:hideMark/>
          </w:tcPr>
          <w:p w14:paraId="5FEF1D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306" w:type="dxa"/>
            <w:tcBorders>
              <w:top w:val="nil"/>
              <w:left w:val="nil"/>
              <w:bottom w:val="single" w:sz="4" w:space="0" w:color="auto"/>
              <w:right w:val="single" w:sz="4" w:space="0" w:color="auto"/>
            </w:tcBorders>
            <w:shd w:val="clear" w:color="000000" w:fill="FFFFFF"/>
            <w:vAlign w:val="center"/>
            <w:hideMark/>
          </w:tcPr>
          <w:p w14:paraId="5FEF1D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45" w:type="dxa"/>
            <w:tcBorders>
              <w:top w:val="nil"/>
              <w:left w:val="nil"/>
              <w:bottom w:val="single" w:sz="4" w:space="0" w:color="auto"/>
              <w:right w:val="single" w:sz="4" w:space="0" w:color="auto"/>
            </w:tcBorders>
            <w:shd w:val="clear" w:color="000000" w:fill="FFFFFF"/>
            <w:vAlign w:val="center"/>
            <w:hideMark/>
          </w:tcPr>
          <w:p w14:paraId="5FEF1D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306" w:type="dxa"/>
            <w:tcBorders>
              <w:top w:val="nil"/>
              <w:left w:val="nil"/>
              <w:bottom w:val="single" w:sz="4" w:space="0" w:color="auto"/>
              <w:right w:val="single" w:sz="4" w:space="0" w:color="auto"/>
            </w:tcBorders>
            <w:shd w:val="clear" w:color="000000" w:fill="FFFFFF"/>
            <w:vAlign w:val="center"/>
            <w:hideMark/>
          </w:tcPr>
          <w:p w14:paraId="5FEF1D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45" w:type="dxa"/>
            <w:tcBorders>
              <w:top w:val="nil"/>
              <w:left w:val="nil"/>
              <w:bottom w:val="single" w:sz="4" w:space="0" w:color="auto"/>
              <w:right w:val="single" w:sz="4" w:space="0" w:color="auto"/>
            </w:tcBorders>
            <w:shd w:val="clear" w:color="000000" w:fill="FFFFFF"/>
            <w:vAlign w:val="center"/>
            <w:hideMark/>
          </w:tcPr>
          <w:p w14:paraId="5FEF1D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306" w:type="dxa"/>
            <w:tcBorders>
              <w:top w:val="nil"/>
              <w:left w:val="nil"/>
              <w:bottom w:val="single" w:sz="4" w:space="0" w:color="auto"/>
              <w:right w:val="single" w:sz="4" w:space="0" w:color="auto"/>
            </w:tcBorders>
            <w:shd w:val="clear" w:color="000000" w:fill="FFFFFF"/>
            <w:vAlign w:val="center"/>
            <w:hideMark/>
          </w:tcPr>
          <w:p w14:paraId="5FEF1D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933,390</w:t>
            </w:r>
          </w:p>
        </w:tc>
        <w:tc>
          <w:tcPr>
            <w:tcW w:w="275" w:type="dxa"/>
            <w:tcBorders>
              <w:top w:val="nil"/>
              <w:left w:val="nil"/>
              <w:bottom w:val="single" w:sz="4" w:space="0" w:color="auto"/>
              <w:right w:val="single" w:sz="4" w:space="0" w:color="auto"/>
            </w:tcBorders>
            <w:shd w:val="clear" w:color="000000" w:fill="FFFFFF"/>
            <w:vAlign w:val="center"/>
            <w:hideMark/>
          </w:tcPr>
          <w:p w14:paraId="5FEF1D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933,390</w:t>
            </w:r>
          </w:p>
        </w:tc>
        <w:tc>
          <w:tcPr>
            <w:tcW w:w="306" w:type="dxa"/>
            <w:tcBorders>
              <w:top w:val="nil"/>
              <w:left w:val="nil"/>
              <w:bottom w:val="single" w:sz="4" w:space="0" w:color="auto"/>
              <w:right w:val="single" w:sz="4" w:space="0" w:color="auto"/>
            </w:tcBorders>
            <w:shd w:val="clear" w:color="000000" w:fill="FFFFFF"/>
            <w:vAlign w:val="center"/>
            <w:hideMark/>
          </w:tcPr>
          <w:p w14:paraId="5FEF1D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933,390</w:t>
            </w:r>
          </w:p>
        </w:tc>
        <w:tc>
          <w:tcPr>
            <w:tcW w:w="245" w:type="dxa"/>
            <w:tcBorders>
              <w:top w:val="nil"/>
              <w:left w:val="nil"/>
              <w:bottom w:val="single" w:sz="4" w:space="0" w:color="auto"/>
              <w:right w:val="single" w:sz="4" w:space="0" w:color="auto"/>
            </w:tcBorders>
            <w:shd w:val="clear" w:color="000000" w:fill="FFFFFF"/>
            <w:vAlign w:val="center"/>
            <w:hideMark/>
          </w:tcPr>
          <w:p w14:paraId="5FEF1D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933,390</w:t>
            </w:r>
          </w:p>
        </w:tc>
        <w:tc>
          <w:tcPr>
            <w:tcW w:w="275" w:type="dxa"/>
            <w:tcBorders>
              <w:top w:val="nil"/>
              <w:left w:val="nil"/>
              <w:bottom w:val="single" w:sz="4" w:space="0" w:color="auto"/>
              <w:right w:val="single" w:sz="4" w:space="0" w:color="auto"/>
            </w:tcBorders>
            <w:shd w:val="clear" w:color="000000" w:fill="FFFFFF"/>
            <w:vAlign w:val="center"/>
            <w:hideMark/>
          </w:tcPr>
          <w:p w14:paraId="5FEF1D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7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5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2.1.4</w:t>
            </w:r>
          </w:p>
        </w:tc>
        <w:tc>
          <w:tcPr>
            <w:tcW w:w="1301" w:type="dxa"/>
            <w:tcBorders>
              <w:top w:val="nil"/>
              <w:left w:val="nil"/>
              <w:bottom w:val="single" w:sz="4" w:space="0" w:color="auto"/>
              <w:right w:val="single" w:sz="4" w:space="0" w:color="auto"/>
            </w:tcBorders>
            <w:shd w:val="clear" w:color="auto" w:fill="auto"/>
            <w:vAlign w:val="center"/>
            <w:hideMark/>
          </w:tcPr>
          <w:p w14:paraId="5FEF1D5A"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 xml:space="preserve">Zhvillimi i trajnimeve me gazetarët. </w:t>
            </w:r>
          </w:p>
        </w:tc>
        <w:tc>
          <w:tcPr>
            <w:tcW w:w="498" w:type="dxa"/>
            <w:tcBorders>
              <w:top w:val="nil"/>
              <w:left w:val="nil"/>
              <w:bottom w:val="single" w:sz="4" w:space="0" w:color="auto"/>
              <w:right w:val="single" w:sz="4" w:space="0" w:color="auto"/>
            </w:tcBorders>
            <w:shd w:val="clear" w:color="000000" w:fill="FFFFFF"/>
            <w:vAlign w:val="center"/>
            <w:hideMark/>
          </w:tcPr>
          <w:p w14:paraId="5FEF1D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 Menaxhimi"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D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Donatorë; Këshilltarët për Media të Ministrive; </w:t>
            </w:r>
          </w:p>
        </w:tc>
        <w:tc>
          <w:tcPr>
            <w:tcW w:w="207" w:type="dxa"/>
            <w:tcBorders>
              <w:top w:val="nil"/>
              <w:left w:val="nil"/>
              <w:bottom w:val="single" w:sz="4" w:space="0" w:color="auto"/>
              <w:right w:val="single" w:sz="4" w:space="0" w:color="auto"/>
            </w:tcBorders>
            <w:shd w:val="clear" w:color="auto" w:fill="auto"/>
            <w:vAlign w:val="center"/>
            <w:hideMark/>
          </w:tcPr>
          <w:p w14:paraId="5FEF1D5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5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75" w:type="dxa"/>
            <w:tcBorders>
              <w:top w:val="nil"/>
              <w:left w:val="nil"/>
              <w:bottom w:val="single" w:sz="4" w:space="0" w:color="auto"/>
              <w:right w:val="single" w:sz="4" w:space="0" w:color="auto"/>
            </w:tcBorders>
            <w:shd w:val="clear" w:color="000000" w:fill="FFFFFF"/>
            <w:vAlign w:val="center"/>
            <w:hideMark/>
          </w:tcPr>
          <w:p w14:paraId="5FEF1D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D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D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D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D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D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D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306" w:type="dxa"/>
            <w:tcBorders>
              <w:top w:val="nil"/>
              <w:left w:val="nil"/>
              <w:bottom w:val="single" w:sz="4" w:space="0" w:color="auto"/>
              <w:right w:val="single" w:sz="4" w:space="0" w:color="auto"/>
            </w:tcBorders>
            <w:shd w:val="clear" w:color="000000" w:fill="FFFFFF"/>
            <w:vAlign w:val="center"/>
            <w:hideMark/>
          </w:tcPr>
          <w:p w14:paraId="5FEF1D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45" w:type="dxa"/>
            <w:tcBorders>
              <w:top w:val="nil"/>
              <w:left w:val="nil"/>
              <w:bottom w:val="single" w:sz="4" w:space="0" w:color="auto"/>
              <w:right w:val="single" w:sz="4" w:space="0" w:color="auto"/>
            </w:tcBorders>
            <w:shd w:val="clear" w:color="000000" w:fill="FFFFFF"/>
            <w:vAlign w:val="center"/>
            <w:hideMark/>
          </w:tcPr>
          <w:p w14:paraId="5FEF1D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D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9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7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2.1.5</w:t>
            </w:r>
          </w:p>
        </w:tc>
        <w:tc>
          <w:tcPr>
            <w:tcW w:w="1301" w:type="dxa"/>
            <w:tcBorders>
              <w:top w:val="nil"/>
              <w:left w:val="nil"/>
              <w:bottom w:val="single" w:sz="4" w:space="0" w:color="auto"/>
              <w:right w:val="single" w:sz="4" w:space="0" w:color="auto"/>
            </w:tcBorders>
            <w:shd w:val="clear" w:color="auto" w:fill="auto"/>
            <w:vAlign w:val="center"/>
            <w:hideMark/>
          </w:tcPr>
          <w:p w14:paraId="5FEF1D7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tryezave të rrumbullakta të diskutimit.</w:t>
            </w:r>
          </w:p>
        </w:tc>
        <w:tc>
          <w:tcPr>
            <w:tcW w:w="498" w:type="dxa"/>
            <w:tcBorders>
              <w:top w:val="nil"/>
              <w:left w:val="nil"/>
              <w:bottom w:val="single" w:sz="4" w:space="0" w:color="auto"/>
              <w:right w:val="single" w:sz="4" w:space="0" w:color="auto"/>
            </w:tcBorders>
            <w:shd w:val="clear" w:color="000000" w:fill="FFFFFF"/>
            <w:vAlign w:val="center"/>
            <w:hideMark/>
          </w:tcPr>
          <w:p w14:paraId="5FEF1D77" w14:textId="4131A19B"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 Menaxhimi"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D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Të gjitha ministritë e linjës</w:t>
            </w:r>
          </w:p>
        </w:tc>
        <w:tc>
          <w:tcPr>
            <w:tcW w:w="207" w:type="dxa"/>
            <w:tcBorders>
              <w:top w:val="nil"/>
              <w:left w:val="nil"/>
              <w:bottom w:val="single" w:sz="4" w:space="0" w:color="auto"/>
              <w:right w:val="single" w:sz="4" w:space="0" w:color="auto"/>
            </w:tcBorders>
            <w:shd w:val="clear" w:color="auto" w:fill="auto"/>
            <w:vAlign w:val="center"/>
            <w:hideMark/>
          </w:tcPr>
          <w:p w14:paraId="5FEF1D7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7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275" w:type="dxa"/>
            <w:tcBorders>
              <w:top w:val="nil"/>
              <w:left w:val="nil"/>
              <w:bottom w:val="single" w:sz="4" w:space="0" w:color="auto"/>
              <w:right w:val="single" w:sz="4" w:space="0" w:color="auto"/>
            </w:tcBorders>
            <w:shd w:val="clear" w:color="000000" w:fill="FFFFFF"/>
            <w:vAlign w:val="center"/>
            <w:hideMark/>
          </w:tcPr>
          <w:p w14:paraId="5FEF1D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306" w:type="dxa"/>
            <w:tcBorders>
              <w:top w:val="nil"/>
              <w:left w:val="nil"/>
              <w:bottom w:val="single" w:sz="4" w:space="0" w:color="auto"/>
              <w:right w:val="single" w:sz="4" w:space="0" w:color="auto"/>
            </w:tcBorders>
            <w:shd w:val="clear" w:color="000000" w:fill="FFFFFF"/>
            <w:vAlign w:val="center"/>
            <w:hideMark/>
          </w:tcPr>
          <w:p w14:paraId="5FEF1D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245" w:type="dxa"/>
            <w:tcBorders>
              <w:top w:val="nil"/>
              <w:left w:val="nil"/>
              <w:bottom w:val="single" w:sz="4" w:space="0" w:color="auto"/>
              <w:right w:val="single" w:sz="4" w:space="0" w:color="auto"/>
            </w:tcBorders>
            <w:shd w:val="clear" w:color="000000" w:fill="FFFFFF"/>
            <w:vAlign w:val="center"/>
            <w:hideMark/>
          </w:tcPr>
          <w:p w14:paraId="5FEF1D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306" w:type="dxa"/>
            <w:tcBorders>
              <w:top w:val="nil"/>
              <w:left w:val="nil"/>
              <w:bottom w:val="single" w:sz="4" w:space="0" w:color="auto"/>
              <w:right w:val="single" w:sz="4" w:space="0" w:color="auto"/>
            </w:tcBorders>
            <w:shd w:val="clear" w:color="000000" w:fill="FFFFFF"/>
            <w:vAlign w:val="center"/>
            <w:hideMark/>
          </w:tcPr>
          <w:p w14:paraId="5FEF1D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245" w:type="dxa"/>
            <w:tcBorders>
              <w:top w:val="nil"/>
              <w:left w:val="nil"/>
              <w:bottom w:val="single" w:sz="4" w:space="0" w:color="auto"/>
              <w:right w:val="single" w:sz="4" w:space="0" w:color="auto"/>
            </w:tcBorders>
            <w:shd w:val="clear" w:color="000000" w:fill="FFFFFF"/>
            <w:vAlign w:val="center"/>
            <w:hideMark/>
          </w:tcPr>
          <w:p w14:paraId="5FEF1D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306" w:type="dxa"/>
            <w:tcBorders>
              <w:top w:val="nil"/>
              <w:left w:val="nil"/>
              <w:bottom w:val="single" w:sz="4" w:space="0" w:color="auto"/>
              <w:right w:val="single" w:sz="4" w:space="0" w:color="auto"/>
            </w:tcBorders>
            <w:shd w:val="clear" w:color="000000" w:fill="FFFFFF"/>
            <w:vAlign w:val="center"/>
            <w:hideMark/>
          </w:tcPr>
          <w:p w14:paraId="5FEF1D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275" w:type="dxa"/>
            <w:tcBorders>
              <w:top w:val="nil"/>
              <w:left w:val="nil"/>
              <w:bottom w:val="single" w:sz="4" w:space="0" w:color="auto"/>
              <w:right w:val="single" w:sz="4" w:space="0" w:color="auto"/>
            </w:tcBorders>
            <w:shd w:val="clear" w:color="000000" w:fill="FFFFFF"/>
            <w:vAlign w:val="center"/>
            <w:hideMark/>
          </w:tcPr>
          <w:p w14:paraId="5FEF1D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306" w:type="dxa"/>
            <w:tcBorders>
              <w:top w:val="nil"/>
              <w:left w:val="nil"/>
              <w:bottom w:val="single" w:sz="4" w:space="0" w:color="auto"/>
              <w:right w:val="single" w:sz="4" w:space="0" w:color="auto"/>
            </w:tcBorders>
            <w:shd w:val="clear" w:color="000000" w:fill="FFFFFF"/>
            <w:vAlign w:val="center"/>
            <w:hideMark/>
          </w:tcPr>
          <w:p w14:paraId="5FEF1D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245" w:type="dxa"/>
            <w:tcBorders>
              <w:top w:val="nil"/>
              <w:left w:val="nil"/>
              <w:bottom w:val="single" w:sz="4" w:space="0" w:color="auto"/>
              <w:right w:val="single" w:sz="4" w:space="0" w:color="auto"/>
            </w:tcBorders>
            <w:shd w:val="clear" w:color="000000" w:fill="FFFFFF"/>
            <w:vAlign w:val="center"/>
            <w:hideMark/>
          </w:tcPr>
          <w:p w14:paraId="5FEF1D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275" w:type="dxa"/>
            <w:tcBorders>
              <w:top w:val="nil"/>
              <w:left w:val="nil"/>
              <w:bottom w:val="single" w:sz="4" w:space="0" w:color="auto"/>
              <w:right w:val="single" w:sz="4" w:space="0" w:color="auto"/>
            </w:tcBorders>
            <w:shd w:val="clear" w:color="000000" w:fill="FFFFFF"/>
            <w:vAlign w:val="center"/>
            <w:hideMark/>
          </w:tcPr>
          <w:p w14:paraId="5FEF1D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A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9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2.1.6</w:t>
            </w:r>
          </w:p>
        </w:tc>
        <w:tc>
          <w:tcPr>
            <w:tcW w:w="1301" w:type="dxa"/>
            <w:tcBorders>
              <w:top w:val="nil"/>
              <w:left w:val="nil"/>
              <w:bottom w:val="single" w:sz="4" w:space="0" w:color="auto"/>
              <w:right w:val="single" w:sz="4" w:space="0" w:color="auto"/>
            </w:tcBorders>
            <w:shd w:val="clear" w:color="auto" w:fill="auto"/>
            <w:vAlign w:val="center"/>
            <w:hideMark/>
          </w:tcPr>
          <w:p w14:paraId="5FEF1D92"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Kryerja e vizitave në terren.</w:t>
            </w:r>
          </w:p>
        </w:tc>
        <w:tc>
          <w:tcPr>
            <w:tcW w:w="498" w:type="dxa"/>
            <w:tcBorders>
              <w:top w:val="nil"/>
              <w:left w:val="nil"/>
              <w:bottom w:val="single" w:sz="4" w:space="0" w:color="auto"/>
              <w:right w:val="single" w:sz="4" w:space="0" w:color="auto"/>
            </w:tcBorders>
            <w:shd w:val="clear" w:color="000000" w:fill="FFFFFF"/>
            <w:vAlign w:val="center"/>
            <w:hideMark/>
          </w:tcPr>
          <w:p w14:paraId="5FEF1D93" w14:textId="44AC93F8"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D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Donatorë; Të gjitha ministritë e linjës</w:t>
            </w:r>
          </w:p>
        </w:tc>
        <w:tc>
          <w:tcPr>
            <w:tcW w:w="207" w:type="dxa"/>
            <w:tcBorders>
              <w:top w:val="nil"/>
              <w:left w:val="nil"/>
              <w:bottom w:val="single" w:sz="4" w:space="0" w:color="auto"/>
              <w:right w:val="single" w:sz="4" w:space="0" w:color="auto"/>
            </w:tcBorders>
            <w:shd w:val="clear" w:color="auto" w:fill="auto"/>
            <w:vAlign w:val="center"/>
            <w:hideMark/>
          </w:tcPr>
          <w:p w14:paraId="5FEF1D9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9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275" w:type="dxa"/>
            <w:tcBorders>
              <w:top w:val="nil"/>
              <w:left w:val="nil"/>
              <w:bottom w:val="single" w:sz="4" w:space="0" w:color="auto"/>
              <w:right w:val="single" w:sz="4" w:space="0" w:color="auto"/>
            </w:tcBorders>
            <w:shd w:val="clear" w:color="000000" w:fill="FFFFFF"/>
            <w:vAlign w:val="center"/>
            <w:hideMark/>
          </w:tcPr>
          <w:p w14:paraId="5FEF1D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306" w:type="dxa"/>
            <w:tcBorders>
              <w:top w:val="nil"/>
              <w:left w:val="nil"/>
              <w:bottom w:val="single" w:sz="4" w:space="0" w:color="auto"/>
              <w:right w:val="single" w:sz="4" w:space="0" w:color="auto"/>
            </w:tcBorders>
            <w:shd w:val="clear" w:color="000000" w:fill="FFFFFF"/>
            <w:vAlign w:val="center"/>
            <w:hideMark/>
          </w:tcPr>
          <w:p w14:paraId="5FEF1D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245" w:type="dxa"/>
            <w:tcBorders>
              <w:top w:val="nil"/>
              <w:left w:val="nil"/>
              <w:bottom w:val="single" w:sz="4" w:space="0" w:color="auto"/>
              <w:right w:val="single" w:sz="4" w:space="0" w:color="auto"/>
            </w:tcBorders>
            <w:shd w:val="clear" w:color="000000" w:fill="FFFFFF"/>
            <w:vAlign w:val="center"/>
            <w:hideMark/>
          </w:tcPr>
          <w:p w14:paraId="5FEF1D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306" w:type="dxa"/>
            <w:tcBorders>
              <w:top w:val="nil"/>
              <w:left w:val="nil"/>
              <w:bottom w:val="single" w:sz="4" w:space="0" w:color="auto"/>
              <w:right w:val="single" w:sz="4" w:space="0" w:color="auto"/>
            </w:tcBorders>
            <w:shd w:val="clear" w:color="000000" w:fill="FFFFFF"/>
            <w:vAlign w:val="center"/>
            <w:hideMark/>
          </w:tcPr>
          <w:p w14:paraId="5FEF1D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245" w:type="dxa"/>
            <w:tcBorders>
              <w:top w:val="nil"/>
              <w:left w:val="nil"/>
              <w:bottom w:val="single" w:sz="4" w:space="0" w:color="auto"/>
              <w:right w:val="single" w:sz="4" w:space="0" w:color="auto"/>
            </w:tcBorders>
            <w:shd w:val="clear" w:color="000000" w:fill="FFFFFF"/>
            <w:vAlign w:val="center"/>
            <w:hideMark/>
          </w:tcPr>
          <w:p w14:paraId="5FEF1D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155,570</w:t>
            </w:r>
          </w:p>
        </w:tc>
        <w:tc>
          <w:tcPr>
            <w:tcW w:w="306" w:type="dxa"/>
            <w:tcBorders>
              <w:top w:val="nil"/>
              <w:left w:val="nil"/>
              <w:bottom w:val="single" w:sz="4" w:space="0" w:color="auto"/>
              <w:right w:val="single" w:sz="4" w:space="0" w:color="auto"/>
            </w:tcBorders>
            <w:shd w:val="clear" w:color="000000" w:fill="FFFFFF"/>
            <w:vAlign w:val="center"/>
            <w:hideMark/>
          </w:tcPr>
          <w:p w14:paraId="5FEF1D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275" w:type="dxa"/>
            <w:tcBorders>
              <w:top w:val="nil"/>
              <w:left w:val="nil"/>
              <w:bottom w:val="single" w:sz="4" w:space="0" w:color="auto"/>
              <w:right w:val="single" w:sz="4" w:space="0" w:color="auto"/>
            </w:tcBorders>
            <w:shd w:val="clear" w:color="000000" w:fill="FFFFFF"/>
            <w:vAlign w:val="center"/>
            <w:hideMark/>
          </w:tcPr>
          <w:p w14:paraId="5FEF1D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306" w:type="dxa"/>
            <w:tcBorders>
              <w:top w:val="nil"/>
              <w:left w:val="nil"/>
              <w:bottom w:val="single" w:sz="4" w:space="0" w:color="auto"/>
              <w:right w:val="single" w:sz="4" w:space="0" w:color="auto"/>
            </w:tcBorders>
            <w:shd w:val="clear" w:color="000000" w:fill="FFFFFF"/>
            <w:vAlign w:val="center"/>
            <w:hideMark/>
          </w:tcPr>
          <w:p w14:paraId="5FEF1D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245" w:type="dxa"/>
            <w:tcBorders>
              <w:top w:val="nil"/>
              <w:left w:val="nil"/>
              <w:bottom w:val="single" w:sz="4" w:space="0" w:color="auto"/>
              <w:right w:val="single" w:sz="4" w:space="0" w:color="auto"/>
            </w:tcBorders>
            <w:shd w:val="clear" w:color="000000" w:fill="FFFFFF"/>
            <w:vAlign w:val="center"/>
            <w:hideMark/>
          </w:tcPr>
          <w:p w14:paraId="5FEF1DA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466,710</w:t>
            </w:r>
          </w:p>
        </w:tc>
        <w:tc>
          <w:tcPr>
            <w:tcW w:w="275" w:type="dxa"/>
            <w:tcBorders>
              <w:top w:val="nil"/>
              <w:left w:val="nil"/>
              <w:bottom w:val="single" w:sz="4" w:space="0" w:color="auto"/>
              <w:right w:val="single" w:sz="4" w:space="0" w:color="auto"/>
            </w:tcBorders>
            <w:shd w:val="clear" w:color="000000" w:fill="FFFFFF"/>
            <w:vAlign w:val="center"/>
            <w:hideMark/>
          </w:tcPr>
          <w:p w14:paraId="5FEF1D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A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C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A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2.1.7</w:t>
            </w:r>
          </w:p>
        </w:tc>
        <w:tc>
          <w:tcPr>
            <w:tcW w:w="1301" w:type="dxa"/>
            <w:tcBorders>
              <w:top w:val="nil"/>
              <w:left w:val="nil"/>
              <w:bottom w:val="single" w:sz="4" w:space="0" w:color="auto"/>
              <w:right w:val="single" w:sz="4" w:space="0" w:color="auto"/>
            </w:tcBorders>
            <w:shd w:val="clear" w:color="auto" w:fill="auto"/>
            <w:vAlign w:val="center"/>
            <w:hideMark/>
          </w:tcPr>
          <w:p w14:paraId="5FEF1DAE"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 xml:space="preserve">Organizimi i takimeve rajonale. </w:t>
            </w:r>
          </w:p>
        </w:tc>
        <w:tc>
          <w:tcPr>
            <w:tcW w:w="498" w:type="dxa"/>
            <w:tcBorders>
              <w:top w:val="nil"/>
              <w:left w:val="nil"/>
              <w:bottom w:val="single" w:sz="4" w:space="0" w:color="auto"/>
              <w:right w:val="single" w:sz="4" w:space="0" w:color="auto"/>
            </w:tcBorders>
            <w:shd w:val="clear" w:color="auto" w:fill="auto"/>
            <w:vAlign w:val="center"/>
            <w:hideMark/>
          </w:tcPr>
          <w:p w14:paraId="5FEF1D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D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AMVV/NJVV; Donatorë; Të gjitha ministritë e linjës;</w:t>
            </w:r>
          </w:p>
        </w:tc>
        <w:tc>
          <w:tcPr>
            <w:tcW w:w="207" w:type="dxa"/>
            <w:tcBorders>
              <w:top w:val="nil"/>
              <w:left w:val="nil"/>
              <w:bottom w:val="single" w:sz="4" w:space="0" w:color="auto"/>
              <w:right w:val="single" w:sz="4" w:space="0" w:color="auto"/>
            </w:tcBorders>
            <w:shd w:val="clear" w:color="auto" w:fill="auto"/>
            <w:vAlign w:val="center"/>
            <w:hideMark/>
          </w:tcPr>
          <w:p w14:paraId="5FEF1DB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B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275" w:type="dxa"/>
            <w:tcBorders>
              <w:top w:val="nil"/>
              <w:left w:val="nil"/>
              <w:bottom w:val="single" w:sz="4" w:space="0" w:color="auto"/>
              <w:right w:val="single" w:sz="4" w:space="0" w:color="auto"/>
            </w:tcBorders>
            <w:shd w:val="clear" w:color="000000" w:fill="FFFFFF"/>
            <w:vAlign w:val="center"/>
            <w:hideMark/>
          </w:tcPr>
          <w:p w14:paraId="5FEF1D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306" w:type="dxa"/>
            <w:tcBorders>
              <w:top w:val="nil"/>
              <w:left w:val="nil"/>
              <w:bottom w:val="single" w:sz="4" w:space="0" w:color="auto"/>
              <w:right w:val="single" w:sz="4" w:space="0" w:color="auto"/>
            </w:tcBorders>
            <w:shd w:val="clear" w:color="000000" w:fill="FFFFFF"/>
            <w:vAlign w:val="center"/>
            <w:hideMark/>
          </w:tcPr>
          <w:p w14:paraId="5FEF1D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245" w:type="dxa"/>
            <w:tcBorders>
              <w:top w:val="nil"/>
              <w:left w:val="nil"/>
              <w:bottom w:val="single" w:sz="4" w:space="0" w:color="auto"/>
              <w:right w:val="single" w:sz="4" w:space="0" w:color="auto"/>
            </w:tcBorders>
            <w:shd w:val="clear" w:color="000000" w:fill="FFFFFF"/>
            <w:vAlign w:val="center"/>
            <w:hideMark/>
          </w:tcPr>
          <w:p w14:paraId="5FEF1D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306" w:type="dxa"/>
            <w:tcBorders>
              <w:top w:val="nil"/>
              <w:left w:val="nil"/>
              <w:bottom w:val="single" w:sz="4" w:space="0" w:color="auto"/>
              <w:right w:val="single" w:sz="4" w:space="0" w:color="auto"/>
            </w:tcBorders>
            <w:shd w:val="clear" w:color="000000" w:fill="FFFFFF"/>
            <w:vAlign w:val="center"/>
            <w:hideMark/>
          </w:tcPr>
          <w:p w14:paraId="5FEF1D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245" w:type="dxa"/>
            <w:tcBorders>
              <w:top w:val="nil"/>
              <w:left w:val="nil"/>
              <w:bottom w:val="single" w:sz="4" w:space="0" w:color="auto"/>
              <w:right w:val="single" w:sz="4" w:space="0" w:color="auto"/>
            </w:tcBorders>
            <w:shd w:val="clear" w:color="000000" w:fill="FFFFFF"/>
            <w:vAlign w:val="center"/>
            <w:hideMark/>
          </w:tcPr>
          <w:p w14:paraId="5FEF1D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306" w:type="dxa"/>
            <w:tcBorders>
              <w:top w:val="nil"/>
              <w:left w:val="nil"/>
              <w:bottom w:val="single" w:sz="4" w:space="0" w:color="auto"/>
              <w:right w:val="single" w:sz="4" w:space="0" w:color="auto"/>
            </w:tcBorders>
            <w:shd w:val="clear" w:color="000000" w:fill="FFFFFF"/>
            <w:vAlign w:val="center"/>
            <w:hideMark/>
          </w:tcPr>
          <w:p w14:paraId="5FEF1D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75" w:type="dxa"/>
            <w:tcBorders>
              <w:top w:val="nil"/>
              <w:left w:val="nil"/>
              <w:bottom w:val="single" w:sz="4" w:space="0" w:color="auto"/>
              <w:right w:val="single" w:sz="4" w:space="0" w:color="auto"/>
            </w:tcBorders>
            <w:shd w:val="clear" w:color="000000" w:fill="FFFFFF"/>
            <w:vAlign w:val="center"/>
            <w:hideMark/>
          </w:tcPr>
          <w:p w14:paraId="5FEF1D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306" w:type="dxa"/>
            <w:tcBorders>
              <w:top w:val="nil"/>
              <w:left w:val="nil"/>
              <w:bottom w:val="single" w:sz="4" w:space="0" w:color="auto"/>
              <w:right w:val="single" w:sz="4" w:space="0" w:color="auto"/>
            </w:tcBorders>
            <w:shd w:val="clear" w:color="000000" w:fill="FFFFFF"/>
            <w:vAlign w:val="center"/>
            <w:hideMark/>
          </w:tcPr>
          <w:p w14:paraId="5FEF1D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45" w:type="dxa"/>
            <w:tcBorders>
              <w:top w:val="nil"/>
              <w:left w:val="nil"/>
              <w:bottom w:val="single" w:sz="4" w:space="0" w:color="auto"/>
              <w:right w:val="single" w:sz="4" w:space="0" w:color="auto"/>
            </w:tcBorders>
            <w:shd w:val="clear" w:color="000000" w:fill="FFFFFF"/>
            <w:vAlign w:val="center"/>
            <w:hideMark/>
          </w:tcPr>
          <w:p w14:paraId="5FEF1D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75" w:type="dxa"/>
            <w:tcBorders>
              <w:top w:val="nil"/>
              <w:left w:val="nil"/>
              <w:bottom w:val="single" w:sz="4" w:space="0" w:color="auto"/>
              <w:right w:val="single" w:sz="4" w:space="0" w:color="auto"/>
            </w:tcBorders>
            <w:shd w:val="clear" w:color="000000" w:fill="FFFFFF"/>
            <w:vAlign w:val="center"/>
            <w:hideMark/>
          </w:tcPr>
          <w:p w14:paraId="5FEF1D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DE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C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2.1.8</w:t>
            </w:r>
          </w:p>
        </w:tc>
        <w:tc>
          <w:tcPr>
            <w:tcW w:w="1301" w:type="dxa"/>
            <w:tcBorders>
              <w:top w:val="nil"/>
              <w:left w:val="nil"/>
              <w:bottom w:val="single" w:sz="4" w:space="0" w:color="auto"/>
              <w:right w:val="single" w:sz="4" w:space="0" w:color="auto"/>
            </w:tcBorders>
            <w:shd w:val="clear" w:color="auto" w:fill="auto"/>
            <w:vAlign w:val="center"/>
            <w:hideMark/>
          </w:tcPr>
          <w:p w14:paraId="5FEF1DCA"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Organizimi i forumeve me dëgjesa publike dhe histori njerëzore.</w:t>
            </w:r>
          </w:p>
        </w:tc>
        <w:tc>
          <w:tcPr>
            <w:tcW w:w="498" w:type="dxa"/>
            <w:tcBorders>
              <w:top w:val="nil"/>
              <w:left w:val="nil"/>
              <w:bottom w:val="single" w:sz="4" w:space="0" w:color="auto"/>
              <w:right w:val="single" w:sz="4" w:space="0" w:color="auto"/>
            </w:tcBorders>
            <w:shd w:val="clear" w:color="auto" w:fill="auto"/>
            <w:vAlign w:val="center"/>
            <w:hideMark/>
          </w:tcPr>
          <w:p w14:paraId="5FEF1D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D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MB; NJVV</w:t>
            </w:r>
          </w:p>
        </w:tc>
        <w:tc>
          <w:tcPr>
            <w:tcW w:w="207" w:type="dxa"/>
            <w:tcBorders>
              <w:top w:val="nil"/>
              <w:left w:val="nil"/>
              <w:bottom w:val="single" w:sz="4" w:space="0" w:color="auto"/>
              <w:right w:val="single" w:sz="4" w:space="0" w:color="auto"/>
            </w:tcBorders>
            <w:shd w:val="clear" w:color="auto" w:fill="auto"/>
            <w:vAlign w:val="center"/>
            <w:hideMark/>
          </w:tcPr>
          <w:p w14:paraId="5FEF1DC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C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275" w:type="dxa"/>
            <w:tcBorders>
              <w:top w:val="nil"/>
              <w:left w:val="nil"/>
              <w:bottom w:val="single" w:sz="4" w:space="0" w:color="auto"/>
              <w:right w:val="single" w:sz="4" w:space="0" w:color="auto"/>
            </w:tcBorders>
            <w:shd w:val="clear" w:color="000000" w:fill="FFFFFF"/>
            <w:vAlign w:val="center"/>
            <w:hideMark/>
          </w:tcPr>
          <w:p w14:paraId="5FEF1D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306" w:type="dxa"/>
            <w:tcBorders>
              <w:top w:val="nil"/>
              <w:left w:val="nil"/>
              <w:bottom w:val="single" w:sz="4" w:space="0" w:color="auto"/>
              <w:right w:val="single" w:sz="4" w:space="0" w:color="auto"/>
            </w:tcBorders>
            <w:shd w:val="clear" w:color="000000" w:fill="FFFFFF"/>
            <w:vAlign w:val="center"/>
            <w:hideMark/>
          </w:tcPr>
          <w:p w14:paraId="5FEF1D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245" w:type="dxa"/>
            <w:tcBorders>
              <w:top w:val="nil"/>
              <w:left w:val="nil"/>
              <w:bottom w:val="single" w:sz="4" w:space="0" w:color="auto"/>
              <w:right w:val="single" w:sz="4" w:space="0" w:color="auto"/>
            </w:tcBorders>
            <w:shd w:val="clear" w:color="000000" w:fill="FFFFFF"/>
            <w:vAlign w:val="center"/>
            <w:hideMark/>
          </w:tcPr>
          <w:p w14:paraId="5FEF1D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306" w:type="dxa"/>
            <w:tcBorders>
              <w:top w:val="nil"/>
              <w:left w:val="nil"/>
              <w:bottom w:val="single" w:sz="4" w:space="0" w:color="auto"/>
              <w:right w:val="single" w:sz="4" w:space="0" w:color="auto"/>
            </w:tcBorders>
            <w:shd w:val="clear" w:color="000000" w:fill="FFFFFF"/>
            <w:vAlign w:val="center"/>
            <w:hideMark/>
          </w:tcPr>
          <w:p w14:paraId="5FEF1D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245" w:type="dxa"/>
            <w:tcBorders>
              <w:top w:val="nil"/>
              <w:left w:val="nil"/>
              <w:bottom w:val="single" w:sz="4" w:space="0" w:color="auto"/>
              <w:right w:val="single" w:sz="4" w:space="0" w:color="auto"/>
            </w:tcBorders>
            <w:shd w:val="clear" w:color="000000" w:fill="FFFFFF"/>
            <w:vAlign w:val="center"/>
            <w:hideMark/>
          </w:tcPr>
          <w:p w14:paraId="5FEF1D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51,860</w:t>
            </w:r>
          </w:p>
        </w:tc>
        <w:tc>
          <w:tcPr>
            <w:tcW w:w="306" w:type="dxa"/>
            <w:tcBorders>
              <w:top w:val="nil"/>
              <w:left w:val="nil"/>
              <w:bottom w:val="single" w:sz="4" w:space="0" w:color="auto"/>
              <w:right w:val="single" w:sz="4" w:space="0" w:color="auto"/>
            </w:tcBorders>
            <w:shd w:val="clear" w:color="000000" w:fill="FFFFFF"/>
            <w:vAlign w:val="center"/>
            <w:hideMark/>
          </w:tcPr>
          <w:p w14:paraId="5FEF1D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275" w:type="dxa"/>
            <w:tcBorders>
              <w:top w:val="nil"/>
              <w:left w:val="nil"/>
              <w:bottom w:val="single" w:sz="4" w:space="0" w:color="auto"/>
              <w:right w:val="single" w:sz="4" w:space="0" w:color="auto"/>
            </w:tcBorders>
            <w:shd w:val="clear" w:color="000000" w:fill="FFFFFF"/>
            <w:vAlign w:val="center"/>
            <w:hideMark/>
          </w:tcPr>
          <w:p w14:paraId="5FEF1D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306" w:type="dxa"/>
            <w:tcBorders>
              <w:top w:val="nil"/>
              <w:left w:val="nil"/>
              <w:bottom w:val="single" w:sz="4" w:space="0" w:color="auto"/>
              <w:right w:val="single" w:sz="4" w:space="0" w:color="auto"/>
            </w:tcBorders>
            <w:shd w:val="clear" w:color="000000" w:fill="FFFFFF"/>
            <w:vAlign w:val="center"/>
            <w:hideMark/>
          </w:tcPr>
          <w:p w14:paraId="5FEF1D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245" w:type="dxa"/>
            <w:tcBorders>
              <w:top w:val="nil"/>
              <w:left w:val="nil"/>
              <w:bottom w:val="single" w:sz="4" w:space="0" w:color="auto"/>
              <w:right w:val="single" w:sz="4" w:space="0" w:color="auto"/>
            </w:tcBorders>
            <w:shd w:val="clear" w:color="000000" w:fill="FFFFFF"/>
            <w:vAlign w:val="center"/>
            <w:hideMark/>
          </w:tcPr>
          <w:p w14:paraId="5FEF1D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155,580</w:t>
            </w:r>
          </w:p>
        </w:tc>
        <w:tc>
          <w:tcPr>
            <w:tcW w:w="275" w:type="dxa"/>
            <w:tcBorders>
              <w:top w:val="nil"/>
              <w:left w:val="nil"/>
              <w:bottom w:val="single" w:sz="4" w:space="0" w:color="auto"/>
              <w:right w:val="single" w:sz="4" w:space="0" w:color="auto"/>
            </w:tcBorders>
            <w:shd w:val="clear" w:color="000000" w:fill="FFFFFF"/>
            <w:vAlign w:val="center"/>
            <w:hideMark/>
          </w:tcPr>
          <w:p w14:paraId="5FEF1D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0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DE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2.1.9</w:t>
            </w:r>
          </w:p>
        </w:tc>
        <w:tc>
          <w:tcPr>
            <w:tcW w:w="1301" w:type="dxa"/>
            <w:tcBorders>
              <w:top w:val="nil"/>
              <w:left w:val="nil"/>
              <w:bottom w:val="single" w:sz="4" w:space="0" w:color="auto"/>
              <w:right w:val="single" w:sz="4" w:space="0" w:color="auto"/>
            </w:tcBorders>
            <w:shd w:val="clear" w:color="auto" w:fill="auto"/>
            <w:vAlign w:val="center"/>
            <w:hideMark/>
          </w:tcPr>
          <w:p w14:paraId="5FEF1DE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takimeve me rrjetin e koordinatorëve dhe aktorët e përfshirë për çështjet e parandalimit të radikalizmit dhe ekstremizmit të dhunshëm.</w:t>
            </w:r>
          </w:p>
        </w:tc>
        <w:tc>
          <w:tcPr>
            <w:tcW w:w="498" w:type="dxa"/>
            <w:tcBorders>
              <w:top w:val="nil"/>
              <w:left w:val="nil"/>
              <w:bottom w:val="single" w:sz="4" w:space="0" w:color="auto"/>
              <w:right w:val="single" w:sz="4" w:space="0" w:color="auto"/>
            </w:tcBorders>
            <w:shd w:val="clear" w:color="auto" w:fill="auto"/>
            <w:vAlign w:val="center"/>
            <w:hideMark/>
          </w:tcPr>
          <w:p w14:paraId="5FEF1D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D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D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 Të gjitha ministritë e linjës;</w:t>
            </w:r>
          </w:p>
        </w:tc>
        <w:tc>
          <w:tcPr>
            <w:tcW w:w="207" w:type="dxa"/>
            <w:tcBorders>
              <w:top w:val="nil"/>
              <w:left w:val="nil"/>
              <w:bottom w:val="single" w:sz="4" w:space="0" w:color="auto"/>
              <w:right w:val="single" w:sz="4" w:space="0" w:color="auto"/>
            </w:tcBorders>
            <w:shd w:val="clear" w:color="auto" w:fill="auto"/>
            <w:vAlign w:val="center"/>
            <w:hideMark/>
          </w:tcPr>
          <w:p w14:paraId="5FEF1DE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DE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D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75" w:type="dxa"/>
            <w:tcBorders>
              <w:top w:val="nil"/>
              <w:left w:val="nil"/>
              <w:bottom w:val="single" w:sz="4" w:space="0" w:color="auto"/>
              <w:right w:val="single" w:sz="4" w:space="0" w:color="auto"/>
            </w:tcBorders>
            <w:shd w:val="clear" w:color="000000" w:fill="FFFFFF"/>
            <w:vAlign w:val="center"/>
            <w:hideMark/>
          </w:tcPr>
          <w:p w14:paraId="5FEF1D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D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45" w:type="dxa"/>
            <w:tcBorders>
              <w:top w:val="nil"/>
              <w:left w:val="nil"/>
              <w:bottom w:val="single" w:sz="4" w:space="0" w:color="auto"/>
              <w:right w:val="single" w:sz="4" w:space="0" w:color="auto"/>
            </w:tcBorders>
            <w:shd w:val="clear" w:color="000000" w:fill="FFFFFF"/>
            <w:vAlign w:val="center"/>
            <w:hideMark/>
          </w:tcPr>
          <w:p w14:paraId="5FEF1D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D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45" w:type="dxa"/>
            <w:tcBorders>
              <w:top w:val="nil"/>
              <w:left w:val="nil"/>
              <w:bottom w:val="single" w:sz="4" w:space="0" w:color="auto"/>
              <w:right w:val="single" w:sz="4" w:space="0" w:color="auto"/>
            </w:tcBorders>
            <w:shd w:val="clear" w:color="000000" w:fill="FFFFFF"/>
            <w:vAlign w:val="center"/>
            <w:hideMark/>
          </w:tcPr>
          <w:p w14:paraId="5FEF1D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D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75" w:type="dxa"/>
            <w:tcBorders>
              <w:top w:val="nil"/>
              <w:left w:val="nil"/>
              <w:bottom w:val="single" w:sz="4" w:space="0" w:color="auto"/>
              <w:right w:val="single" w:sz="4" w:space="0" w:color="auto"/>
            </w:tcBorders>
            <w:shd w:val="clear" w:color="000000" w:fill="FFFFFF"/>
            <w:vAlign w:val="center"/>
            <w:hideMark/>
          </w:tcPr>
          <w:p w14:paraId="5FEF1D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306" w:type="dxa"/>
            <w:tcBorders>
              <w:top w:val="nil"/>
              <w:left w:val="nil"/>
              <w:bottom w:val="single" w:sz="4" w:space="0" w:color="auto"/>
              <w:right w:val="single" w:sz="4" w:space="0" w:color="auto"/>
            </w:tcBorders>
            <w:shd w:val="clear" w:color="000000" w:fill="FFFFFF"/>
            <w:vAlign w:val="center"/>
            <w:hideMark/>
          </w:tcPr>
          <w:p w14:paraId="5FEF1D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45" w:type="dxa"/>
            <w:tcBorders>
              <w:top w:val="nil"/>
              <w:left w:val="nil"/>
              <w:bottom w:val="single" w:sz="4" w:space="0" w:color="auto"/>
              <w:right w:val="single" w:sz="4" w:space="0" w:color="auto"/>
            </w:tcBorders>
            <w:shd w:val="clear" w:color="000000" w:fill="FFFFFF"/>
            <w:vAlign w:val="center"/>
            <w:hideMark/>
          </w:tcPr>
          <w:p w14:paraId="5FEF1D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D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75" w:type="dxa"/>
            <w:tcBorders>
              <w:top w:val="nil"/>
              <w:left w:val="nil"/>
              <w:bottom w:val="single" w:sz="4" w:space="0" w:color="auto"/>
              <w:right w:val="single" w:sz="4" w:space="0" w:color="auto"/>
            </w:tcBorders>
            <w:shd w:val="clear" w:color="000000" w:fill="FFFFFF"/>
            <w:vAlign w:val="center"/>
            <w:hideMark/>
          </w:tcPr>
          <w:p w14:paraId="5FEF1D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D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D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D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D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1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0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2.1.10</w:t>
            </w:r>
          </w:p>
        </w:tc>
        <w:tc>
          <w:tcPr>
            <w:tcW w:w="1301" w:type="dxa"/>
            <w:tcBorders>
              <w:top w:val="nil"/>
              <w:left w:val="nil"/>
              <w:bottom w:val="single" w:sz="4" w:space="0" w:color="auto"/>
              <w:right w:val="single" w:sz="4" w:space="0" w:color="auto"/>
            </w:tcBorders>
            <w:shd w:val="clear" w:color="auto" w:fill="auto"/>
            <w:vAlign w:val="center"/>
            <w:hideMark/>
          </w:tcPr>
          <w:p w14:paraId="5FEF1E02"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Organizimi i ekspozitës me imazhe (Video/Audio).</w:t>
            </w:r>
          </w:p>
        </w:tc>
        <w:tc>
          <w:tcPr>
            <w:tcW w:w="498" w:type="dxa"/>
            <w:tcBorders>
              <w:top w:val="nil"/>
              <w:left w:val="nil"/>
              <w:bottom w:val="single" w:sz="4" w:space="0" w:color="auto"/>
              <w:right w:val="single" w:sz="4" w:space="0" w:color="auto"/>
            </w:tcBorders>
            <w:shd w:val="clear" w:color="auto" w:fill="auto"/>
            <w:vAlign w:val="center"/>
            <w:hideMark/>
          </w:tcPr>
          <w:p w14:paraId="5FEF1E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 Menaxhimi"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E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E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Kryeministria; Ministria e Kulturës; Donatorë</w:t>
            </w:r>
          </w:p>
        </w:tc>
        <w:tc>
          <w:tcPr>
            <w:tcW w:w="207" w:type="dxa"/>
            <w:tcBorders>
              <w:top w:val="nil"/>
              <w:left w:val="nil"/>
              <w:bottom w:val="single" w:sz="4" w:space="0" w:color="auto"/>
              <w:right w:val="single" w:sz="4" w:space="0" w:color="auto"/>
            </w:tcBorders>
            <w:shd w:val="clear" w:color="auto" w:fill="auto"/>
            <w:vAlign w:val="center"/>
            <w:hideMark/>
          </w:tcPr>
          <w:p w14:paraId="5FEF1E0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0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129,640</w:t>
            </w:r>
          </w:p>
        </w:tc>
        <w:tc>
          <w:tcPr>
            <w:tcW w:w="275" w:type="dxa"/>
            <w:tcBorders>
              <w:top w:val="nil"/>
              <w:left w:val="nil"/>
              <w:bottom w:val="single" w:sz="4" w:space="0" w:color="auto"/>
              <w:right w:val="single" w:sz="4" w:space="0" w:color="auto"/>
            </w:tcBorders>
            <w:shd w:val="clear" w:color="000000" w:fill="FFFFFF"/>
            <w:vAlign w:val="center"/>
            <w:hideMark/>
          </w:tcPr>
          <w:p w14:paraId="5FEF1E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129,640</w:t>
            </w:r>
          </w:p>
        </w:tc>
        <w:tc>
          <w:tcPr>
            <w:tcW w:w="306" w:type="dxa"/>
            <w:tcBorders>
              <w:top w:val="nil"/>
              <w:left w:val="nil"/>
              <w:bottom w:val="single" w:sz="4" w:space="0" w:color="auto"/>
              <w:right w:val="single" w:sz="4" w:space="0" w:color="auto"/>
            </w:tcBorders>
            <w:shd w:val="clear" w:color="000000" w:fill="FFFFFF"/>
            <w:vAlign w:val="center"/>
            <w:hideMark/>
          </w:tcPr>
          <w:p w14:paraId="5FEF1E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129,640</w:t>
            </w:r>
          </w:p>
        </w:tc>
        <w:tc>
          <w:tcPr>
            <w:tcW w:w="245" w:type="dxa"/>
            <w:tcBorders>
              <w:top w:val="nil"/>
              <w:left w:val="nil"/>
              <w:bottom w:val="single" w:sz="4" w:space="0" w:color="auto"/>
              <w:right w:val="single" w:sz="4" w:space="0" w:color="auto"/>
            </w:tcBorders>
            <w:shd w:val="clear" w:color="000000" w:fill="FFFFFF"/>
            <w:vAlign w:val="center"/>
            <w:hideMark/>
          </w:tcPr>
          <w:p w14:paraId="5FEF1E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129,640</w:t>
            </w:r>
          </w:p>
        </w:tc>
        <w:tc>
          <w:tcPr>
            <w:tcW w:w="306" w:type="dxa"/>
            <w:tcBorders>
              <w:top w:val="nil"/>
              <w:left w:val="nil"/>
              <w:bottom w:val="single" w:sz="4" w:space="0" w:color="auto"/>
              <w:right w:val="single" w:sz="4" w:space="0" w:color="auto"/>
            </w:tcBorders>
            <w:shd w:val="clear" w:color="000000" w:fill="FFFFFF"/>
            <w:vAlign w:val="center"/>
            <w:hideMark/>
          </w:tcPr>
          <w:p w14:paraId="5FEF1E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129,640</w:t>
            </w:r>
          </w:p>
        </w:tc>
        <w:tc>
          <w:tcPr>
            <w:tcW w:w="245" w:type="dxa"/>
            <w:tcBorders>
              <w:top w:val="nil"/>
              <w:left w:val="nil"/>
              <w:bottom w:val="single" w:sz="4" w:space="0" w:color="auto"/>
              <w:right w:val="single" w:sz="4" w:space="0" w:color="auto"/>
            </w:tcBorders>
            <w:shd w:val="clear" w:color="000000" w:fill="FFFFFF"/>
            <w:vAlign w:val="center"/>
            <w:hideMark/>
          </w:tcPr>
          <w:p w14:paraId="5FEF1E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129,640</w:t>
            </w:r>
          </w:p>
        </w:tc>
        <w:tc>
          <w:tcPr>
            <w:tcW w:w="306" w:type="dxa"/>
            <w:tcBorders>
              <w:top w:val="nil"/>
              <w:left w:val="nil"/>
              <w:bottom w:val="single" w:sz="4" w:space="0" w:color="auto"/>
              <w:right w:val="single" w:sz="4" w:space="0" w:color="auto"/>
            </w:tcBorders>
            <w:shd w:val="clear" w:color="000000" w:fill="FFFFFF"/>
            <w:vAlign w:val="center"/>
            <w:hideMark/>
          </w:tcPr>
          <w:p w14:paraId="5FEF1E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388,919</w:t>
            </w:r>
          </w:p>
        </w:tc>
        <w:tc>
          <w:tcPr>
            <w:tcW w:w="275" w:type="dxa"/>
            <w:tcBorders>
              <w:top w:val="nil"/>
              <w:left w:val="nil"/>
              <w:bottom w:val="single" w:sz="4" w:space="0" w:color="auto"/>
              <w:right w:val="single" w:sz="4" w:space="0" w:color="auto"/>
            </w:tcBorders>
            <w:shd w:val="clear" w:color="000000" w:fill="FFFFFF"/>
            <w:vAlign w:val="center"/>
            <w:hideMark/>
          </w:tcPr>
          <w:p w14:paraId="5FEF1E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388,919</w:t>
            </w:r>
          </w:p>
        </w:tc>
        <w:tc>
          <w:tcPr>
            <w:tcW w:w="306" w:type="dxa"/>
            <w:tcBorders>
              <w:top w:val="nil"/>
              <w:left w:val="nil"/>
              <w:bottom w:val="single" w:sz="4" w:space="0" w:color="auto"/>
              <w:right w:val="single" w:sz="4" w:space="0" w:color="auto"/>
            </w:tcBorders>
            <w:shd w:val="clear" w:color="000000" w:fill="FFFFFF"/>
            <w:vAlign w:val="center"/>
            <w:hideMark/>
          </w:tcPr>
          <w:p w14:paraId="5FEF1E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388,919</w:t>
            </w:r>
          </w:p>
        </w:tc>
        <w:tc>
          <w:tcPr>
            <w:tcW w:w="245" w:type="dxa"/>
            <w:tcBorders>
              <w:top w:val="nil"/>
              <w:left w:val="nil"/>
              <w:bottom w:val="single" w:sz="4" w:space="0" w:color="auto"/>
              <w:right w:val="single" w:sz="4" w:space="0" w:color="auto"/>
            </w:tcBorders>
            <w:shd w:val="clear" w:color="000000" w:fill="FFFFFF"/>
            <w:vAlign w:val="center"/>
            <w:hideMark/>
          </w:tcPr>
          <w:p w14:paraId="5FEF1E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388,919</w:t>
            </w:r>
          </w:p>
        </w:tc>
        <w:tc>
          <w:tcPr>
            <w:tcW w:w="275" w:type="dxa"/>
            <w:tcBorders>
              <w:top w:val="nil"/>
              <w:left w:val="nil"/>
              <w:bottom w:val="single" w:sz="4" w:space="0" w:color="auto"/>
              <w:right w:val="single" w:sz="4" w:space="0" w:color="auto"/>
            </w:tcBorders>
            <w:shd w:val="clear" w:color="000000" w:fill="FFFFFF"/>
            <w:vAlign w:val="center"/>
            <w:hideMark/>
          </w:tcPr>
          <w:p w14:paraId="5FEF1E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3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1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2.1.11</w:t>
            </w:r>
          </w:p>
        </w:tc>
        <w:tc>
          <w:tcPr>
            <w:tcW w:w="1301" w:type="dxa"/>
            <w:tcBorders>
              <w:top w:val="nil"/>
              <w:left w:val="nil"/>
              <w:bottom w:val="single" w:sz="4" w:space="0" w:color="auto"/>
              <w:right w:val="single" w:sz="4" w:space="0" w:color="auto"/>
            </w:tcBorders>
            <w:shd w:val="clear" w:color="auto" w:fill="auto"/>
            <w:vAlign w:val="center"/>
            <w:hideMark/>
          </w:tcPr>
          <w:p w14:paraId="5FEF1E1E"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aktiviteteve informuese dhe edukuese në institucionet e arsimit parauniversitar.</w:t>
            </w:r>
          </w:p>
        </w:tc>
        <w:tc>
          <w:tcPr>
            <w:tcW w:w="498" w:type="dxa"/>
            <w:tcBorders>
              <w:top w:val="nil"/>
              <w:left w:val="nil"/>
              <w:bottom w:val="single" w:sz="4" w:space="0" w:color="auto"/>
              <w:right w:val="single" w:sz="4" w:space="0" w:color="auto"/>
            </w:tcBorders>
            <w:shd w:val="clear" w:color="auto" w:fill="auto"/>
            <w:vAlign w:val="center"/>
            <w:hideMark/>
          </w:tcPr>
          <w:p w14:paraId="5FEF1E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 Arsimi Bazë", Kodi i Progamit Buxhetor 09120 </w:t>
            </w:r>
          </w:p>
        </w:tc>
        <w:tc>
          <w:tcPr>
            <w:tcW w:w="498" w:type="dxa"/>
            <w:tcBorders>
              <w:top w:val="nil"/>
              <w:left w:val="nil"/>
              <w:bottom w:val="single" w:sz="4" w:space="0" w:color="auto"/>
              <w:right w:val="single" w:sz="4" w:space="0" w:color="auto"/>
            </w:tcBorders>
            <w:shd w:val="clear" w:color="auto" w:fill="auto"/>
            <w:vAlign w:val="center"/>
            <w:hideMark/>
          </w:tcPr>
          <w:p w14:paraId="5FEF1E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auto" w:fill="auto"/>
            <w:vAlign w:val="center"/>
            <w:hideMark/>
          </w:tcPr>
          <w:p w14:paraId="5FEF1E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AMVV/NJVV; QKEDH;</w:t>
            </w:r>
            <w:r w:rsidRPr="00795698">
              <w:rPr>
                <w:rFonts w:ascii="Arial" w:hAnsi="Arial" w:cs="Arial"/>
                <w:color w:val="000000"/>
                <w:sz w:val="6"/>
                <w:szCs w:val="6"/>
                <w:lang w:eastAsia="sq-AL"/>
              </w:rPr>
              <w:br/>
              <w:t>Donatorë;</w:t>
            </w:r>
          </w:p>
        </w:tc>
        <w:tc>
          <w:tcPr>
            <w:tcW w:w="207" w:type="dxa"/>
            <w:tcBorders>
              <w:top w:val="nil"/>
              <w:left w:val="nil"/>
              <w:bottom w:val="single" w:sz="4" w:space="0" w:color="auto"/>
              <w:right w:val="single" w:sz="4" w:space="0" w:color="auto"/>
            </w:tcBorders>
            <w:shd w:val="clear" w:color="auto" w:fill="auto"/>
            <w:vAlign w:val="center"/>
            <w:hideMark/>
          </w:tcPr>
          <w:p w14:paraId="5FEF1E2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2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75" w:type="dxa"/>
            <w:tcBorders>
              <w:top w:val="nil"/>
              <w:left w:val="nil"/>
              <w:bottom w:val="single" w:sz="4" w:space="0" w:color="auto"/>
              <w:right w:val="single" w:sz="4" w:space="0" w:color="auto"/>
            </w:tcBorders>
            <w:shd w:val="clear" w:color="000000" w:fill="FFFFFF"/>
            <w:vAlign w:val="center"/>
            <w:hideMark/>
          </w:tcPr>
          <w:p w14:paraId="5FEF1E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E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E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E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E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E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E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306" w:type="dxa"/>
            <w:tcBorders>
              <w:top w:val="nil"/>
              <w:left w:val="nil"/>
              <w:bottom w:val="single" w:sz="4" w:space="0" w:color="auto"/>
              <w:right w:val="single" w:sz="4" w:space="0" w:color="auto"/>
            </w:tcBorders>
            <w:shd w:val="clear" w:color="000000" w:fill="FFFFFF"/>
            <w:vAlign w:val="center"/>
            <w:hideMark/>
          </w:tcPr>
          <w:p w14:paraId="5FEF1E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45" w:type="dxa"/>
            <w:tcBorders>
              <w:top w:val="nil"/>
              <w:left w:val="nil"/>
              <w:bottom w:val="single" w:sz="4" w:space="0" w:color="auto"/>
              <w:right w:val="single" w:sz="4" w:space="0" w:color="auto"/>
            </w:tcBorders>
            <w:shd w:val="clear" w:color="000000" w:fill="FFFFFF"/>
            <w:vAlign w:val="center"/>
            <w:hideMark/>
          </w:tcPr>
          <w:p w14:paraId="5FEF1E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E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5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3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2.1.12</w:t>
            </w:r>
          </w:p>
        </w:tc>
        <w:tc>
          <w:tcPr>
            <w:tcW w:w="1301" w:type="dxa"/>
            <w:tcBorders>
              <w:top w:val="nil"/>
              <w:left w:val="nil"/>
              <w:bottom w:val="single" w:sz="4" w:space="0" w:color="auto"/>
              <w:right w:val="single" w:sz="4" w:space="0" w:color="auto"/>
            </w:tcBorders>
            <w:shd w:val="clear" w:color="auto" w:fill="auto"/>
            <w:vAlign w:val="center"/>
            <w:hideMark/>
          </w:tcPr>
          <w:p w14:paraId="5FEF1E3A"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sesioneve informuese, të parë në këndvështrimin gjinor, me pjesëmarrje të prindërve/komunitetit/nxënësve për njohjen e shenjave të hershme të ekstremizmit dhe radikalizmit.</w:t>
            </w:r>
          </w:p>
        </w:tc>
        <w:tc>
          <w:tcPr>
            <w:tcW w:w="498" w:type="dxa"/>
            <w:tcBorders>
              <w:top w:val="nil"/>
              <w:left w:val="nil"/>
              <w:bottom w:val="single" w:sz="4" w:space="0" w:color="auto"/>
              <w:right w:val="single" w:sz="4" w:space="0" w:color="auto"/>
            </w:tcBorders>
            <w:shd w:val="clear" w:color="000000" w:fill="FFFFFF"/>
            <w:vAlign w:val="center"/>
            <w:hideMark/>
          </w:tcPr>
          <w:p w14:paraId="5FEF1E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 Arsimi Bazë", Kodi i Progamit Buxhetor 09120, Kodi i </w:t>
            </w:r>
            <w:r w:rsidRPr="00795698">
              <w:rPr>
                <w:rFonts w:ascii="Arial" w:hAnsi="Arial" w:cs="Arial"/>
                <w:color w:val="000000"/>
                <w:sz w:val="6"/>
                <w:szCs w:val="6"/>
                <w:lang w:eastAsia="sq-AL"/>
              </w:rPr>
              <w:lastRenderedPageBreak/>
              <w:t>Produktit 91103AF</w:t>
            </w:r>
          </w:p>
        </w:tc>
        <w:tc>
          <w:tcPr>
            <w:tcW w:w="498" w:type="dxa"/>
            <w:tcBorders>
              <w:top w:val="nil"/>
              <w:left w:val="nil"/>
              <w:bottom w:val="single" w:sz="4" w:space="0" w:color="auto"/>
              <w:right w:val="single" w:sz="4" w:space="0" w:color="auto"/>
            </w:tcBorders>
            <w:shd w:val="clear" w:color="auto" w:fill="auto"/>
            <w:vAlign w:val="center"/>
            <w:hideMark/>
          </w:tcPr>
          <w:p w14:paraId="5FEF1E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MAS</w:t>
            </w:r>
          </w:p>
        </w:tc>
        <w:tc>
          <w:tcPr>
            <w:tcW w:w="578" w:type="dxa"/>
            <w:tcBorders>
              <w:top w:val="nil"/>
              <w:left w:val="nil"/>
              <w:bottom w:val="single" w:sz="4" w:space="0" w:color="auto"/>
              <w:right w:val="single" w:sz="4" w:space="0" w:color="auto"/>
            </w:tcBorders>
            <w:shd w:val="clear" w:color="auto" w:fill="auto"/>
            <w:vAlign w:val="center"/>
            <w:hideMark/>
          </w:tcPr>
          <w:p w14:paraId="5FEF1E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MAS; AMVV/NJVV; AMA; </w:t>
            </w:r>
            <w:r w:rsidRPr="00795698">
              <w:rPr>
                <w:rFonts w:ascii="Arial" w:hAnsi="Arial" w:cs="Arial"/>
                <w:color w:val="000000"/>
                <w:sz w:val="6"/>
                <w:szCs w:val="6"/>
                <w:lang w:eastAsia="sq-AL"/>
              </w:rPr>
              <w:br/>
              <w:t xml:space="preserve">Donatorë; </w:t>
            </w:r>
          </w:p>
        </w:tc>
        <w:tc>
          <w:tcPr>
            <w:tcW w:w="207" w:type="dxa"/>
            <w:tcBorders>
              <w:top w:val="nil"/>
              <w:left w:val="nil"/>
              <w:bottom w:val="single" w:sz="4" w:space="0" w:color="auto"/>
              <w:right w:val="single" w:sz="4" w:space="0" w:color="auto"/>
            </w:tcBorders>
            <w:shd w:val="clear" w:color="auto" w:fill="auto"/>
            <w:vAlign w:val="center"/>
            <w:hideMark/>
          </w:tcPr>
          <w:p w14:paraId="5FEF1E3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3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103,770</w:t>
            </w:r>
          </w:p>
        </w:tc>
        <w:tc>
          <w:tcPr>
            <w:tcW w:w="275" w:type="dxa"/>
            <w:tcBorders>
              <w:top w:val="nil"/>
              <w:left w:val="nil"/>
              <w:bottom w:val="single" w:sz="4" w:space="0" w:color="auto"/>
              <w:right w:val="single" w:sz="4" w:space="0" w:color="auto"/>
            </w:tcBorders>
            <w:shd w:val="clear" w:color="000000" w:fill="FFFFFF"/>
            <w:vAlign w:val="center"/>
            <w:hideMark/>
          </w:tcPr>
          <w:p w14:paraId="5FEF1E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103,770</w:t>
            </w:r>
          </w:p>
        </w:tc>
        <w:tc>
          <w:tcPr>
            <w:tcW w:w="306" w:type="dxa"/>
            <w:tcBorders>
              <w:top w:val="nil"/>
              <w:left w:val="nil"/>
              <w:bottom w:val="single" w:sz="4" w:space="0" w:color="auto"/>
              <w:right w:val="single" w:sz="4" w:space="0" w:color="auto"/>
            </w:tcBorders>
            <w:shd w:val="clear" w:color="000000" w:fill="FFFFFF"/>
            <w:vAlign w:val="center"/>
            <w:hideMark/>
          </w:tcPr>
          <w:p w14:paraId="5FEF1E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103,770</w:t>
            </w:r>
          </w:p>
        </w:tc>
        <w:tc>
          <w:tcPr>
            <w:tcW w:w="245" w:type="dxa"/>
            <w:tcBorders>
              <w:top w:val="nil"/>
              <w:left w:val="nil"/>
              <w:bottom w:val="single" w:sz="4" w:space="0" w:color="auto"/>
              <w:right w:val="single" w:sz="4" w:space="0" w:color="auto"/>
            </w:tcBorders>
            <w:shd w:val="clear" w:color="000000" w:fill="FFFFFF"/>
            <w:vAlign w:val="center"/>
            <w:hideMark/>
          </w:tcPr>
          <w:p w14:paraId="5FEF1E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103,770</w:t>
            </w:r>
          </w:p>
        </w:tc>
        <w:tc>
          <w:tcPr>
            <w:tcW w:w="306" w:type="dxa"/>
            <w:tcBorders>
              <w:top w:val="nil"/>
              <w:left w:val="nil"/>
              <w:bottom w:val="single" w:sz="4" w:space="0" w:color="auto"/>
              <w:right w:val="single" w:sz="4" w:space="0" w:color="auto"/>
            </w:tcBorders>
            <w:shd w:val="clear" w:color="000000" w:fill="FFFFFF"/>
            <w:vAlign w:val="center"/>
            <w:hideMark/>
          </w:tcPr>
          <w:p w14:paraId="5FEF1E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103,770</w:t>
            </w:r>
          </w:p>
        </w:tc>
        <w:tc>
          <w:tcPr>
            <w:tcW w:w="245" w:type="dxa"/>
            <w:tcBorders>
              <w:top w:val="nil"/>
              <w:left w:val="nil"/>
              <w:bottom w:val="single" w:sz="4" w:space="0" w:color="auto"/>
              <w:right w:val="single" w:sz="4" w:space="0" w:color="auto"/>
            </w:tcBorders>
            <w:shd w:val="clear" w:color="000000" w:fill="FFFFFF"/>
            <w:vAlign w:val="center"/>
            <w:hideMark/>
          </w:tcPr>
          <w:p w14:paraId="5FEF1E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103,770</w:t>
            </w:r>
          </w:p>
        </w:tc>
        <w:tc>
          <w:tcPr>
            <w:tcW w:w="306" w:type="dxa"/>
            <w:tcBorders>
              <w:top w:val="nil"/>
              <w:left w:val="nil"/>
              <w:bottom w:val="single" w:sz="4" w:space="0" w:color="auto"/>
              <w:right w:val="single" w:sz="4" w:space="0" w:color="auto"/>
            </w:tcBorders>
            <w:shd w:val="clear" w:color="000000" w:fill="FFFFFF"/>
            <w:vAlign w:val="center"/>
            <w:hideMark/>
          </w:tcPr>
          <w:p w14:paraId="5FEF1E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311,310</w:t>
            </w:r>
          </w:p>
        </w:tc>
        <w:tc>
          <w:tcPr>
            <w:tcW w:w="275" w:type="dxa"/>
            <w:tcBorders>
              <w:top w:val="nil"/>
              <w:left w:val="nil"/>
              <w:bottom w:val="single" w:sz="4" w:space="0" w:color="auto"/>
              <w:right w:val="single" w:sz="4" w:space="0" w:color="auto"/>
            </w:tcBorders>
            <w:shd w:val="clear" w:color="000000" w:fill="FFFFFF"/>
            <w:vAlign w:val="center"/>
            <w:hideMark/>
          </w:tcPr>
          <w:p w14:paraId="5FEF1E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311,310</w:t>
            </w:r>
          </w:p>
        </w:tc>
        <w:tc>
          <w:tcPr>
            <w:tcW w:w="306" w:type="dxa"/>
            <w:tcBorders>
              <w:top w:val="nil"/>
              <w:left w:val="nil"/>
              <w:bottom w:val="single" w:sz="4" w:space="0" w:color="auto"/>
              <w:right w:val="single" w:sz="4" w:space="0" w:color="auto"/>
            </w:tcBorders>
            <w:shd w:val="clear" w:color="000000" w:fill="FFFFFF"/>
            <w:vAlign w:val="center"/>
            <w:hideMark/>
          </w:tcPr>
          <w:p w14:paraId="5FEF1E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311,310</w:t>
            </w:r>
          </w:p>
        </w:tc>
        <w:tc>
          <w:tcPr>
            <w:tcW w:w="245" w:type="dxa"/>
            <w:tcBorders>
              <w:top w:val="nil"/>
              <w:left w:val="nil"/>
              <w:bottom w:val="single" w:sz="4" w:space="0" w:color="auto"/>
              <w:right w:val="single" w:sz="4" w:space="0" w:color="auto"/>
            </w:tcBorders>
            <w:shd w:val="clear" w:color="000000" w:fill="FFFFFF"/>
            <w:vAlign w:val="center"/>
            <w:hideMark/>
          </w:tcPr>
          <w:p w14:paraId="5FEF1E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311,310</w:t>
            </w:r>
          </w:p>
        </w:tc>
        <w:tc>
          <w:tcPr>
            <w:tcW w:w="275" w:type="dxa"/>
            <w:tcBorders>
              <w:top w:val="nil"/>
              <w:left w:val="nil"/>
              <w:bottom w:val="single" w:sz="4" w:space="0" w:color="auto"/>
              <w:right w:val="single" w:sz="4" w:space="0" w:color="auto"/>
            </w:tcBorders>
            <w:shd w:val="clear" w:color="000000" w:fill="FFFFFF"/>
            <w:vAlign w:val="center"/>
            <w:hideMark/>
          </w:tcPr>
          <w:p w14:paraId="5FEF1E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7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5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2.1.13</w:t>
            </w:r>
          </w:p>
        </w:tc>
        <w:tc>
          <w:tcPr>
            <w:tcW w:w="1301" w:type="dxa"/>
            <w:tcBorders>
              <w:top w:val="nil"/>
              <w:left w:val="nil"/>
              <w:bottom w:val="single" w:sz="4" w:space="0" w:color="auto"/>
              <w:right w:val="single" w:sz="4" w:space="0" w:color="auto"/>
            </w:tcBorders>
            <w:shd w:val="clear" w:color="auto" w:fill="auto"/>
            <w:vAlign w:val="center"/>
            <w:hideMark/>
          </w:tcPr>
          <w:p w14:paraId="5FEF1E5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sesioneve informuese/ndërgjegjësuese me qasje multisektoriale duke përfshirë aktorë të institucioneve të ndryshme në nivel lokal/rajonal në varësi të MSHMS-së, me qëllim njohjen e shenjave të hershme të radikalizmit dhe ekstremizmit të dhunshëm.</w:t>
            </w:r>
          </w:p>
        </w:tc>
        <w:tc>
          <w:tcPr>
            <w:tcW w:w="498" w:type="dxa"/>
            <w:tcBorders>
              <w:top w:val="nil"/>
              <w:left w:val="nil"/>
              <w:bottom w:val="single" w:sz="4" w:space="0" w:color="auto"/>
              <w:right w:val="single" w:sz="4" w:space="0" w:color="auto"/>
            </w:tcBorders>
            <w:shd w:val="clear" w:color="000000" w:fill="FFFFFF"/>
            <w:vAlign w:val="center"/>
            <w:hideMark/>
          </w:tcPr>
          <w:p w14:paraId="5FEF1E57" w14:textId="29C402C9"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"Kujdesi Social", Kodi i Programit Buxhetor</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10430</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br/>
              <w:t>Kodi i Produktit 91307AA</w:t>
            </w:r>
          </w:p>
        </w:tc>
        <w:tc>
          <w:tcPr>
            <w:tcW w:w="498" w:type="dxa"/>
            <w:tcBorders>
              <w:top w:val="nil"/>
              <w:left w:val="nil"/>
              <w:bottom w:val="single" w:sz="4" w:space="0" w:color="auto"/>
              <w:right w:val="single" w:sz="4" w:space="0" w:color="auto"/>
            </w:tcBorders>
            <w:shd w:val="clear" w:color="000000" w:fill="FFFFFF"/>
            <w:vAlign w:val="center"/>
            <w:hideMark/>
          </w:tcPr>
          <w:p w14:paraId="5FEF1E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w:t>
            </w:r>
          </w:p>
        </w:tc>
        <w:tc>
          <w:tcPr>
            <w:tcW w:w="578" w:type="dxa"/>
            <w:tcBorders>
              <w:top w:val="nil"/>
              <w:left w:val="nil"/>
              <w:bottom w:val="single" w:sz="4" w:space="0" w:color="auto"/>
              <w:right w:val="single" w:sz="4" w:space="0" w:color="auto"/>
            </w:tcBorders>
            <w:shd w:val="clear" w:color="auto" w:fill="auto"/>
            <w:vAlign w:val="center"/>
            <w:hideMark/>
          </w:tcPr>
          <w:p w14:paraId="5FEF1E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Donatorë; AMVV/NJVV; SHSSH; OSHKSH;</w:t>
            </w:r>
          </w:p>
        </w:tc>
        <w:tc>
          <w:tcPr>
            <w:tcW w:w="207" w:type="dxa"/>
            <w:tcBorders>
              <w:top w:val="nil"/>
              <w:left w:val="nil"/>
              <w:bottom w:val="single" w:sz="4" w:space="0" w:color="auto"/>
              <w:right w:val="single" w:sz="4" w:space="0" w:color="auto"/>
            </w:tcBorders>
            <w:shd w:val="clear" w:color="auto" w:fill="auto"/>
            <w:vAlign w:val="center"/>
            <w:hideMark/>
          </w:tcPr>
          <w:p w14:paraId="5FEF1E5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5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155,560</w:t>
            </w:r>
          </w:p>
        </w:tc>
        <w:tc>
          <w:tcPr>
            <w:tcW w:w="275" w:type="dxa"/>
            <w:tcBorders>
              <w:top w:val="nil"/>
              <w:left w:val="nil"/>
              <w:bottom w:val="single" w:sz="4" w:space="0" w:color="auto"/>
              <w:right w:val="single" w:sz="4" w:space="0" w:color="auto"/>
            </w:tcBorders>
            <w:shd w:val="clear" w:color="000000" w:fill="FFFFFF"/>
            <w:vAlign w:val="center"/>
            <w:hideMark/>
          </w:tcPr>
          <w:p w14:paraId="5FEF1E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155,560</w:t>
            </w:r>
          </w:p>
        </w:tc>
        <w:tc>
          <w:tcPr>
            <w:tcW w:w="306" w:type="dxa"/>
            <w:tcBorders>
              <w:top w:val="nil"/>
              <w:left w:val="nil"/>
              <w:bottom w:val="single" w:sz="4" w:space="0" w:color="auto"/>
              <w:right w:val="single" w:sz="4" w:space="0" w:color="auto"/>
            </w:tcBorders>
            <w:shd w:val="clear" w:color="000000" w:fill="FFFFFF"/>
            <w:vAlign w:val="center"/>
            <w:hideMark/>
          </w:tcPr>
          <w:p w14:paraId="5FEF1E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155,560</w:t>
            </w:r>
          </w:p>
        </w:tc>
        <w:tc>
          <w:tcPr>
            <w:tcW w:w="245" w:type="dxa"/>
            <w:tcBorders>
              <w:top w:val="nil"/>
              <w:left w:val="nil"/>
              <w:bottom w:val="single" w:sz="4" w:space="0" w:color="auto"/>
              <w:right w:val="single" w:sz="4" w:space="0" w:color="auto"/>
            </w:tcBorders>
            <w:shd w:val="clear" w:color="000000" w:fill="FFFFFF"/>
            <w:vAlign w:val="center"/>
            <w:hideMark/>
          </w:tcPr>
          <w:p w14:paraId="5FEF1E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155,560</w:t>
            </w:r>
          </w:p>
        </w:tc>
        <w:tc>
          <w:tcPr>
            <w:tcW w:w="306" w:type="dxa"/>
            <w:tcBorders>
              <w:top w:val="nil"/>
              <w:left w:val="nil"/>
              <w:bottom w:val="single" w:sz="4" w:space="0" w:color="auto"/>
              <w:right w:val="single" w:sz="4" w:space="0" w:color="auto"/>
            </w:tcBorders>
            <w:shd w:val="clear" w:color="000000" w:fill="FFFFFF"/>
            <w:vAlign w:val="center"/>
            <w:hideMark/>
          </w:tcPr>
          <w:p w14:paraId="5FEF1E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155,560</w:t>
            </w:r>
          </w:p>
        </w:tc>
        <w:tc>
          <w:tcPr>
            <w:tcW w:w="245" w:type="dxa"/>
            <w:tcBorders>
              <w:top w:val="nil"/>
              <w:left w:val="nil"/>
              <w:bottom w:val="single" w:sz="4" w:space="0" w:color="auto"/>
              <w:right w:val="single" w:sz="4" w:space="0" w:color="auto"/>
            </w:tcBorders>
            <w:shd w:val="clear" w:color="000000" w:fill="FFFFFF"/>
            <w:vAlign w:val="center"/>
            <w:hideMark/>
          </w:tcPr>
          <w:p w14:paraId="5FEF1E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155,560</w:t>
            </w:r>
          </w:p>
        </w:tc>
        <w:tc>
          <w:tcPr>
            <w:tcW w:w="306" w:type="dxa"/>
            <w:tcBorders>
              <w:top w:val="nil"/>
              <w:left w:val="nil"/>
              <w:bottom w:val="single" w:sz="4" w:space="0" w:color="auto"/>
              <w:right w:val="single" w:sz="4" w:space="0" w:color="auto"/>
            </w:tcBorders>
            <w:shd w:val="clear" w:color="000000" w:fill="FFFFFF"/>
            <w:vAlign w:val="center"/>
            <w:hideMark/>
          </w:tcPr>
          <w:p w14:paraId="5FEF1E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466,680</w:t>
            </w:r>
          </w:p>
        </w:tc>
        <w:tc>
          <w:tcPr>
            <w:tcW w:w="275" w:type="dxa"/>
            <w:tcBorders>
              <w:top w:val="nil"/>
              <w:left w:val="nil"/>
              <w:bottom w:val="single" w:sz="4" w:space="0" w:color="auto"/>
              <w:right w:val="single" w:sz="4" w:space="0" w:color="auto"/>
            </w:tcBorders>
            <w:shd w:val="clear" w:color="000000" w:fill="FFFFFF"/>
            <w:vAlign w:val="center"/>
            <w:hideMark/>
          </w:tcPr>
          <w:p w14:paraId="5FEF1E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466,680</w:t>
            </w:r>
          </w:p>
        </w:tc>
        <w:tc>
          <w:tcPr>
            <w:tcW w:w="306" w:type="dxa"/>
            <w:tcBorders>
              <w:top w:val="nil"/>
              <w:left w:val="nil"/>
              <w:bottom w:val="single" w:sz="4" w:space="0" w:color="auto"/>
              <w:right w:val="single" w:sz="4" w:space="0" w:color="auto"/>
            </w:tcBorders>
            <w:shd w:val="clear" w:color="000000" w:fill="FFFFFF"/>
            <w:vAlign w:val="center"/>
            <w:hideMark/>
          </w:tcPr>
          <w:p w14:paraId="5FEF1E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75" w:type="dxa"/>
            <w:tcBorders>
              <w:top w:val="nil"/>
              <w:left w:val="nil"/>
              <w:bottom w:val="single" w:sz="4" w:space="0" w:color="auto"/>
              <w:right w:val="single" w:sz="4" w:space="0" w:color="auto"/>
            </w:tcBorders>
            <w:shd w:val="clear" w:color="000000" w:fill="FFFFFF"/>
            <w:vAlign w:val="center"/>
            <w:hideMark/>
          </w:tcPr>
          <w:p w14:paraId="5FEF1E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466,680</w:t>
            </w:r>
          </w:p>
        </w:tc>
        <w:tc>
          <w:tcPr>
            <w:tcW w:w="245" w:type="dxa"/>
            <w:tcBorders>
              <w:top w:val="nil"/>
              <w:left w:val="nil"/>
              <w:bottom w:val="single" w:sz="4" w:space="0" w:color="auto"/>
              <w:right w:val="single" w:sz="4" w:space="0" w:color="auto"/>
            </w:tcBorders>
            <w:shd w:val="clear" w:color="000000" w:fill="FFFFFF"/>
            <w:vAlign w:val="center"/>
            <w:hideMark/>
          </w:tcPr>
          <w:p w14:paraId="5FEF1E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466,680</w:t>
            </w:r>
          </w:p>
        </w:tc>
        <w:tc>
          <w:tcPr>
            <w:tcW w:w="262" w:type="dxa"/>
            <w:tcBorders>
              <w:top w:val="nil"/>
              <w:left w:val="nil"/>
              <w:bottom w:val="single" w:sz="4" w:space="0" w:color="auto"/>
              <w:right w:val="single" w:sz="8" w:space="0" w:color="auto"/>
            </w:tcBorders>
            <w:shd w:val="clear" w:color="000000" w:fill="FFFFFF"/>
            <w:vAlign w:val="center"/>
            <w:hideMark/>
          </w:tcPr>
          <w:p w14:paraId="5FEF1E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8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7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2.1.14</w:t>
            </w:r>
          </w:p>
        </w:tc>
        <w:tc>
          <w:tcPr>
            <w:tcW w:w="1301" w:type="dxa"/>
            <w:tcBorders>
              <w:top w:val="nil"/>
              <w:left w:val="nil"/>
              <w:bottom w:val="single" w:sz="4" w:space="0" w:color="auto"/>
              <w:right w:val="single" w:sz="4" w:space="0" w:color="auto"/>
            </w:tcBorders>
            <w:shd w:val="clear" w:color="auto" w:fill="auto"/>
            <w:vAlign w:val="center"/>
            <w:hideMark/>
          </w:tcPr>
          <w:p w14:paraId="5FEF1E72"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leksioneve të hapura në auditorët e universiteteve në kuadër të marrëveshjes me Rektoratin e Universitetit të Tiranës.</w:t>
            </w:r>
          </w:p>
        </w:tc>
        <w:tc>
          <w:tcPr>
            <w:tcW w:w="498" w:type="dxa"/>
            <w:tcBorders>
              <w:top w:val="nil"/>
              <w:left w:val="nil"/>
              <w:bottom w:val="single" w:sz="4" w:space="0" w:color="auto"/>
              <w:right w:val="single" w:sz="4" w:space="0" w:color="auto"/>
            </w:tcBorders>
            <w:shd w:val="clear" w:color="000000" w:fill="FFFFFF"/>
            <w:vAlign w:val="center"/>
            <w:hideMark/>
          </w:tcPr>
          <w:p w14:paraId="5FEF1E73" w14:textId="3C90A536"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E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E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 IAL</w:t>
            </w:r>
          </w:p>
        </w:tc>
        <w:tc>
          <w:tcPr>
            <w:tcW w:w="207" w:type="dxa"/>
            <w:tcBorders>
              <w:top w:val="nil"/>
              <w:left w:val="nil"/>
              <w:bottom w:val="single" w:sz="4" w:space="0" w:color="auto"/>
              <w:right w:val="single" w:sz="4" w:space="0" w:color="auto"/>
            </w:tcBorders>
            <w:shd w:val="clear" w:color="auto" w:fill="auto"/>
            <w:vAlign w:val="center"/>
            <w:hideMark/>
          </w:tcPr>
          <w:p w14:paraId="5FEF1E7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7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75" w:type="dxa"/>
            <w:tcBorders>
              <w:top w:val="nil"/>
              <w:left w:val="nil"/>
              <w:bottom w:val="single" w:sz="4" w:space="0" w:color="auto"/>
              <w:right w:val="single" w:sz="4" w:space="0" w:color="auto"/>
            </w:tcBorders>
            <w:shd w:val="clear" w:color="000000" w:fill="FFFFFF"/>
            <w:vAlign w:val="center"/>
            <w:hideMark/>
          </w:tcPr>
          <w:p w14:paraId="5FEF1E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E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E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E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E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E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E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306" w:type="dxa"/>
            <w:tcBorders>
              <w:top w:val="nil"/>
              <w:left w:val="nil"/>
              <w:bottom w:val="single" w:sz="4" w:space="0" w:color="auto"/>
              <w:right w:val="single" w:sz="4" w:space="0" w:color="auto"/>
            </w:tcBorders>
            <w:shd w:val="clear" w:color="000000" w:fill="FFFFFF"/>
            <w:vAlign w:val="center"/>
            <w:hideMark/>
          </w:tcPr>
          <w:p w14:paraId="5FEF1E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45" w:type="dxa"/>
            <w:tcBorders>
              <w:top w:val="nil"/>
              <w:left w:val="nil"/>
              <w:bottom w:val="single" w:sz="4" w:space="0" w:color="auto"/>
              <w:right w:val="single" w:sz="4" w:space="0" w:color="auto"/>
            </w:tcBorders>
            <w:shd w:val="clear" w:color="000000" w:fill="FFFFFF"/>
            <w:vAlign w:val="center"/>
            <w:hideMark/>
          </w:tcPr>
          <w:p w14:paraId="5FEF1E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E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A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8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2.1.15</w:t>
            </w:r>
          </w:p>
        </w:tc>
        <w:tc>
          <w:tcPr>
            <w:tcW w:w="1301" w:type="dxa"/>
            <w:tcBorders>
              <w:top w:val="nil"/>
              <w:left w:val="nil"/>
              <w:bottom w:val="single" w:sz="4" w:space="0" w:color="auto"/>
              <w:right w:val="single" w:sz="4" w:space="0" w:color="auto"/>
            </w:tcBorders>
            <w:shd w:val="clear" w:color="auto" w:fill="auto"/>
            <w:vAlign w:val="center"/>
            <w:hideMark/>
          </w:tcPr>
          <w:p w14:paraId="5FEF1E8E"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 xml:space="preserve">Përfshirja në mënyre aktive e nxënësve me rrezik radikalizimi të ciklit parauniversitar në aktivitete ekstrakurrikulare dhe shkollore ku trajtohen, thellohen në mënyre kreative tematikat e parandalimit të radikalizmit dhe luftimit të ekstremizmit të dhunshëm. </w:t>
            </w:r>
          </w:p>
        </w:tc>
        <w:tc>
          <w:tcPr>
            <w:tcW w:w="498" w:type="dxa"/>
            <w:tcBorders>
              <w:top w:val="nil"/>
              <w:left w:val="nil"/>
              <w:bottom w:val="single" w:sz="4" w:space="0" w:color="auto"/>
              <w:right w:val="single" w:sz="4" w:space="0" w:color="auto"/>
            </w:tcBorders>
            <w:shd w:val="clear" w:color="000000" w:fill="FFFFFF"/>
            <w:vAlign w:val="center"/>
            <w:hideMark/>
          </w:tcPr>
          <w:p w14:paraId="5FEF1E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 Arsimi Bazë", Kodi i Progamit Buxhetor 09120, Kodi i Produktit 91103AF</w:t>
            </w:r>
          </w:p>
        </w:tc>
        <w:tc>
          <w:tcPr>
            <w:tcW w:w="498" w:type="dxa"/>
            <w:tcBorders>
              <w:top w:val="nil"/>
              <w:left w:val="nil"/>
              <w:bottom w:val="single" w:sz="4" w:space="0" w:color="auto"/>
              <w:right w:val="single" w:sz="4" w:space="0" w:color="auto"/>
            </w:tcBorders>
            <w:shd w:val="clear" w:color="auto" w:fill="auto"/>
            <w:vAlign w:val="center"/>
            <w:hideMark/>
          </w:tcPr>
          <w:p w14:paraId="5FEF1E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auto" w:fill="auto"/>
            <w:vAlign w:val="center"/>
            <w:hideMark/>
          </w:tcPr>
          <w:p w14:paraId="5FEF1E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IAL; QKEDH;</w:t>
            </w:r>
          </w:p>
        </w:tc>
        <w:tc>
          <w:tcPr>
            <w:tcW w:w="207" w:type="dxa"/>
            <w:tcBorders>
              <w:top w:val="nil"/>
              <w:left w:val="nil"/>
              <w:bottom w:val="single" w:sz="4" w:space="0" w:color="auto"/>
              <w:right w:val="single" w:sz="4" w:space="0" w:color="auto"/>
            </w:tcBorders>
            <w:shd w:val="clear" w:color="auto" w:fill="auto"/>
            <w:vAlign w:val="center"/>
            <w:hideMark/>
          </w:tcPr>
          <w:p w14:paraId="5FEF1E9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9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75" w:type="dxa"/>
            <w:tcBorders>
              <w:top w:val="nil"/>
              <w:left w:val="nil"/>
              <w:bottom w:val="single" w:sz="4" w:space="0" w:color="auto"/>
              <w:right w:val="single" w:sz="4" w:space="0" w:color="auto"/>
            </w:tcBorders>
            <w:shd w:val="clear" w:color="000000" w:fill="FFFFFF"/>
            <w:vAlign w:val="center"/>
            <w:hideMark/>
          </w:tcPr>
          <w:p w14:paraId="5FEF1E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E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45" w:type="dxa"/>
            <w:tcBorders>
              <w:top w:val="nil"/>
              <w:left w:val="nil"/>
              <w:bottom w:val="single" w:sz="4" w:space="0" w:color="auto"/>
              <w:right w:val="single" w:sz="4" w:space="0" w:color="auto"/>
            </w:tcBorders>
            <w:shd w:val="clear" w:color="000000" w:fill="FFFFFF"/>
            <w:vAlign w:val="center"/>
            <w:hideMark/>
          </w:tcPr>
          <w:p w14:paraId="5FEF1E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E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45" w:type="dxa"/>
            <w:tcBorders>
              <w:top w:val="nil"/>
              <w:left w:val="nil"/>
              <w:bottom w:val="single" w:sz="4" w:space="0" w:color="auto"/>
              <w:right w:val="single" w:sz="4" w:space="0" w:color="auto"/>
            </w:tcBorders>
            <w:shd w:val="clear" w:color="000000" w:fill="FFFFFF"/>
            <w:vAlign w:val="center"/>
            <w:hideMark/>
          </w:tcPr>
          <w:p w14:paraId="5FEF1E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E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75" w:type="dxa"/>
            <w:tcBorders>
              <w:top w:val="nil"/>
              <w:left w:val="nil"/>
              <w:bottom w:val="single" w:sz="4" w:space="0" w:color="auto"/>
              <w:right w:val="single" w:sz="4" w:space="0" w:color="auto"/>
            </w:tcBorders>
            <w:shd w:val="clear" w:color="000000" w:fill="FFFFFF"/>
            <w:vAlign w:val="center"/>
            <w:hideMark/>
          </w:tcPr>
          <w:p w14:paraId="5FEF1E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306" w:type="dxa"/>
            <w:tcBorders>
              <w:top w:val="nil"/>
              <w:left w:val="nil"/>
              <w:bottom w:val="single" w:sz="4" w:space="0" w:color="auto"/>
              <w:right w:val="single" w:sz="4" w:space="0" w:color="auto"/>
            </w:tcBorders>
            <w:shd w:val="clear" w:color="000000" w:fill="FFFFFF"/>
            <w:vAlign w:val="center"/>
            <w:hideMark/>
          </w:tcPr>
          <w:p w14:paraId="5FEF1E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45" w:type="dxa"/>
            <w:tcBorders>
              <w:top w:val="nil"/>
              <w:left w:val="nil"/>
              <w:bottom w:val="single" w:sz="4" w:space="0" w:color="auto"/>
              <w:right w:val="single" w:sz="4" w:space="0" w:color="auto"/>
            </w:tcBorders>
            <w:shd w:val="clear" w:color="000000" w:fill="FFFFFF"/>
            <w:vAlign w:val="center"/>
            <w:hideMark/>
          </w:tcPr>
          <w:p w14:paraId="5FEF1E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75" w:type="dxa"/>
            <w:tcBorders>
              <w:top w:val="nil"/>
              <w:left w:val="nil"/>
              <w:bottom w:val="single" w:sz="4" w:space="0" w:color="auto"/>
              <w:right w:val="single" w:sz="4" w:space="0" w:color="auto"/>
            </w:tcBorders>
            <w:shd w:val="clear" w:color="000000" w:fill="FFFFFF"/>
            <w:vAlign w:val="center"/>
            <w:hideMark/>
          </w:tcPr>
          <w:p w14:paraId="5FEF1E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A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C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A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2.1.16</w:t>
            </w:r>
          </w:p>
        </w:tc>
        <w:tc>
          <w:tcPr>
            <w:tcW w:w="1301" w:type="dxa"/>
            <w:tcBorders>
              <w:top w:val="nil"/>
              <w:left w:val="nil"/>
              <w:bottom w:val="single" w:sz="4" w:space="0" w:color="auto"/>
              <w:right w:val="single" w:sz="4" w:space="0" w:color="auto"/>
            </w:tcBorders>
            <w:shd w:val="clear" w:color="auto" w:fill="auto"/>
            <w:vAlign w:val="center"/>
            <w:hideMark/>
          </w:tcPr>
          <w:p w14:paraId="5FEF1EAA"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Promovimi i “LINJËS SË KUQE” dhe raportimit për përmbajtje të paligjshme dhe dhunës.</w:t>
            </w:r>
          </w:p>
        </w:tc>
        <w:tc>
          <w:tcPr>
            <w:tcW w:w="498" w:type="dxa"/>
            <w:tcBorders>
              <w:top w:val="nil"/>
              <w:left w:val="nil"/>
              <w:bottom w:val="single" w:sz="4" w:space="0" w:color="auto"/>
              <w:right w:val="single" w:sz="4" w:space="0" w:color="auto"/>
            </w:tcBorders>
            <w:shd w:val="clear" w:color="auto" w:fill="auto"/>
            <w:vAlign w:val="center"/>
            <w:hideMark/>
          </w:tcPr>
          <w:p w14:paraId="5FEF1E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E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E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AKCESK; Donatorë</w:t>
            </w:r>
          </w:p>
        </w:tc>
        <w:tc>
          <w:tcPr>
            <w:tcW w:w="207" w:type="dxa"/>
            <w:tcBorders>
              <w:top w:val="nil"/>
              <w:left w:val="nil"/>
              <w:bottom w:val="single" w:sz="4" w:space="0" w:color="auto"/>
              <w:right w:val="single" w:sz="4" w:space="0" w:color="auto"/>
            </w:tcBorders>
            <w:shd w:val="clear" w:color="auto" w:fill="auto"/>
            <w:vAlign w:val="center"/>
            <w:hideMark/>
          </w:tcPr>
          <w:p w14:paraId="5FEF1EA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A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114,080</w:t>
            </w:r>
          </w:p>
        </w:tc>
        <w:tc>
          <w:tcPr>
            <w:tcW w:w="275" w:type="dxa"/>
            <w:tcBorders>
              <w:top w:val="nil"/>
              <w:left w:val="nil"/>
              <w:bottom w:val="single" w:sz="4" w:space="0" w:color="auto"/>
              <w:right w:val="single" w:sz="4" w:space="0" w:color="auto"/>
            </w:tcBorders>
            <w:shd w:val="clear" w:color="000000" w:fill="FFFFFF"/>
            <w:vAlign w:val="center"/>
            <w:hideMark/>
          </w:tcPr>
          <w:p w14:paraId="5FEF1E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114,080</w:t>
            </w:r>
          </w:p>
        </w:tc>
        <w:tc>
          <w:tcPr>
            <w:tcW w:w="306" w:type="dxa"/>
            <w:tcBorders>
              <w:top w:val="nil"/>
              <w:left w:val="nil"/>
              <w:bottom w:val="single" w:sz="4" w:space="0" w:color="auto"/>
              <w:right w:val="single" w:sz="4" w:space="0" w:color="auto"/>
            </w:tcBorders>
            <w:shd w:val="clear" w:color="000000" w:fill="FFFFFF"/>
            <w:vAlign w:val="center"/>
            <w:hideMark/>
          </w:tcPr>
          <w:p w14:paraId="5FEF1E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114,080</w:t>
            </w:r>
          </w:p>
        </w:tc>
        <w:tc>
          <w:tcPr>
            <w:tcW w:w="245" w:type="dxa"/>
            <w:tcBorders>
              <w:top w:val="nil"/>
              <w:left w:val="nil"/>
              <w:bottom w:val="single" w:sz="4" w:space="0" w:color="auto"/>
              <w:right w:val="single" w:sz="4" w:space="0" w:color="auto"/>
            </w:tcBorders>
            <w:shd w:val="clear" w:color="000000" w:fill="FFFFFF"/>
            <w:vAlign w:val="center"/>
            <w:hideMark/>
          </w:tcPr>
          <w:p w14:paraId="5FEF1E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114,080</w:t>
            </w:r>
          </w:p>
        </w:tc>
        <w:tc>
          <w:tcPr>
            <w:tcW w:w="306" w:type="dxa"/>
            <w:tcBorders>
              <w:top w:val="nil"/>
              <w:left w:val="nil"/>
              <w:bottom w:val="single" w:sz="4" w:space="0" w:color="auto"/>
              <w:right w:val="single" w:sz="4" w:space="0" w:color="auto"/>
            </w:tcBorders>
            <w:shd w:val="clear" w:color="000000" w:fill="FFFFFF"/>
            <w:vAlign w:val="center"/>
            <w:hideMark/>
          </w:tcPr>
          <w:p w14:paraId="5FEF1E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114,080</w:t>
            </w:r>
          </w:p>
        </w:tc>
        <w:tc>
          <w:tcPr>
            <w:tcW w:w="245" w:type="dxa"/>
            <w:tcBorders>
              <w:top w:val="nil"/>
              <w:left w:val="nil"/>
              <w:bottom w:val="single" w:sz="4" w:space="0" w:color="auto"/>
              <w:right w:val="single" w:sz="4" w:space="0" w:color="auto"/>
            </w:tcBorders>
            <w:shd w:val="clear" w:color="000000" w:fill="FFFFFF"/>
            <w:vAlign w:val="center"/>
            <w:hideMark/>
          </w:tcPr>
          <w:p w14:paraId="5FEF1E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114,080</w:t>
            </w:r>
          </w:p>
        </w:tc>
        <w:tc>
          <w:tcPr>
            <w:tcW w:w="306" w:type="dxa"/>
            <w:tcBorders>
              <w:top w:val="nil"/>
              <w:left w:val="nil"/>
              <w:bottom w:val="single" w:sz="4" w:space="0" w:color="auto"/>
              <w:right w:val="single" w:sz="4" w:space="0" w:color="auto"/>
            </w:tcBorders>
            <w:shd w:val="clear" w:color="000000" w:fill="FFFFFF"/>
            <w:vAlign w:val="center"/>
            <w:hideMark/>
          </w:tcPr>
          <w:p w14:paraId="5FEF1E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342,240</w:t>
            </w:r>
          </w:p>
        </w:tc>
        <w:tc>
          <w:tcPr>
            <w:tcW w:w="275" w:type="dxa"/>
            <w:tcBorders>
              <w:top w:val="nil"/>
              <w:left w:val="nil"/>
              <w:bottom w:val="single" w:sz="4" w:space="0" w:color="auto"/>
              <w:right w:val="single" w:sz="4" w:space="0" w:color="auto"/>
            </w:tcBorders>
            <w:shd w:val="clear" w:color="000000" w:fill="FFFFFF"/>
            <w:vAlign w:val="center"/>
            <w:hideMark/>
          </w:tcPr>
          <w:p w14:paraId="5FEF1E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342,240</w:t>
            </w:r>
          </w:p>
        </w:tc>
        <w:tc>
          <w:tcPr>
            <w:tcW w:w="306" w:type="dxa"/>
            <w:tcBorders>
              <w:top w:val="nil"/>
              <w:left w:val="nil"/>
              <w:bottom w:val="single" w:sz="4" w:space="0" w:color="auto"/>
              <w:right w:val="single" w:sz="4" w:space="0" w:color="auto"/>
            </w:tcBorders>
            <w:shd w:val="clear" w:color="000000" w:fill="FFFFFF"/>
            <w:vAlign w:val="center"/>
            <w:hideMark/>
          </w:tcPr>
          <w:p w14:paraId="5FEF1E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342,240</w:t>
            </w:r>
          </w:p>
        </w:tc>
        <w:tc>
          <w:tcPr>
            <w:tcW w:w="245" w:type="dxa"/>
            <w:tcBorders>
              <w:top w:val="nil"/>
              <w:left w:val="nil"/>
              <w:bottom w:val="single" w:sz="4" w:space="0" w:color="auto"/>
              <w:right w:val="single" w:sz="4" w:space="0" w:color="auto"/>
            </w:tcBorders>
            <w:shd w:val="clear" w:color="000000" w:fill="FFFFFF"/>
            <w:vAlign w:val="center"/>
            <w:hideMark/>
          </w:tcPr>
          <w:p w14:paraId="5FEF1E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342,240</w:t>
            </w:r>
          </w:p>
        </w:tc>
        <w:tc>
          <w:tcPr>
            <w:tcW w:w="275" w:type="dxa"/>
            <w:tcBorders>
              <w:top w:val="nil"/>
              <w:left w:val="nil"/>
              <w:bottom w:val="single" w:sz="4" w:space="0" w:color="auto"/>
              <w:right w:val="single" w:sz="4" w:space="0" w:color="auto"/>
            </w:tcBorders>
            <w:shd w:val="clear" w:color="000000" w:fill="FFFFFF"/>
            <w:vAlign w:val="center"/>
            <w:hideMark/>
          </w:tcPr>
          <w:p w14:paraId="5FEF1E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E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C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2.1.17</w:t>
            </w:r>
          </w:p>
        </w:tc>
        <w:tc>
          <w:tcPr>
            <w:tcW w:w="1301" w:type="dxa"/>
            <w:tcBorders>
              <w:top w:val="nil"/>
              <w:left w:val="nil"/>
              <w:bottom w:val="single" w:sz="4" w:space="0" w:color="auto"/>
              <w:right w:val="single" w:sz="4" w:space="0" w:color="auto"/>
            </w:tcBorders>
            <w:shd w:val="clear" w:color="auto" w:fill="auto"/>
            <w:vAlign w:val="center"/>
            <w:hideMark/>
          </w:tcPr>
          <w:p w14:paraId="5FEF1EC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Ndërgjegjësimi i personelit të FARSH për rrezikun e ekstremizmit të dhunshëm, shenjat e hershme të radikalizimit, dhe kategoritë që janë më të rrezikuara nga ky fenomen.</w:t>
            </w:r>
          </w:p>
        </w:tc>
        <w:tc>
          <w:tcPr>
            <w:tcW w:w="498" w:type="dxa"/>
            <w:tcBorders>
              <w:top w:val="nil"/>
              <w:left w:val="nil"/>
              <w:bottom w:val="single" w:sz="4" w:space="0" w:color="auto"/>
              <w:right w:val="single" w:sz="4" w:space="0" w:color="auto"/>
            </w:tcBorders>
            <w:shd w:val="clear" w:color="000000" w:fill="FFFFFF"/>
            <w:vAlign w:val="center"/>
            <w:hideMark/>
          </w:tcPr>
          <w:p w14:paraId="5FEF1E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"Arsimi Ushtarak" Kodi i Programit Buxhetor 09430</w:t>
            </w:r>
          </w:p>
        </w:tc>
        <w:tc>
          <w:tcPr>
            <w:tcW w:w="498" w:type="dxa"/>
            <w:tcBorders>
              <w:top w:val="nil"/>
              <w:left w:val="nil"/>
              <w:bottom w:val="single" w:sz="4" w:space="0" w:color="auto"/>
              <w:right w:val="single" w:sz="4" w:space="0" w:color="auto"/>
            </w:tcBorders>
            <w:shd w:val="clear" w:color="auto" w:fill="auto"/>
            <w:vAlign w:val="center"/>
            <w:hideMark/>
          </w:tcPr>
          <w:p w14:paraId="5FEF1E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Mbrojtjes</w:t>
            </w:r>
          </w:p>
        </w:tc>
        <w:tc>
          <w:tcPr>
            <w:tcW w:w="578" w:type="dxa"/>
            <w:tcBorders>
              <w:top w:val="nil"/>
              <w:left w:val="nil"/>
              <w:bottom w:val="single" w:sz="4" w:space="0" w:color="auto"/>
              <w:right w:val="single" w:sz="4" w:space="0" w:color="auto"/>
            </w:tcBorders>
            <w:shd w:val="clear" w:color="auto" w:fill="auto"/>
            <w:vAlign w:val="center"/>
            <w:hideMark/>
          </w:tcPr>
          <w:p w14:paraId="5FEF1E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Akademia e Forcave të Armatosura (Departamenti i Strategjisë së Terrorizmit dhe Ekstremizmit të Dhunshëm); Qendra Stërvitore në Vlorë; Agjencia e Inteligjencës Sigurisë dhe Mbrojtjes (AISM)</w:t>
            </w:r>
          </w:p>
        </w:tc>
        <w:tc>
          <w:tcPr>
            <w:tcW w:w="207" w:type="dxa"/>
            <w:tcBorders>
              <w:top w:val="nil"/>
              <w:left w:val="nil"/>
              <w:bottom w:val="single" w:sz="4" w:space="0" w:color="auto"/>
              <w:right w:val="single" w:sz="4" w:space="0" w:color="auto"/>
            </w:tcBorders>
            <w:shd w:val="clear" w:color="auto" w:fill="auto"/>
            <w:vAlign w:val="center"/>
            <w:hideMark/>
          </w:tcPr>
          <w:p w14:paraId="5FEF1EC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C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275" w:type="dxa"/>
            <w:tcBorders>
              <w:top w:val="nil"/>
              <w:left w:val="nil"/>
              <w:bottom w:val="single" w:sz="4" w:space="0" w:color="auto"/>
              <w:right w:val="single" w:sz="4" w:space="0" w:color="auto"/>
            </w:tcBorders>
            <w:shd w:val="clear" w:color="000000" w:fill="FFFFFF"/>
            <w:vAlign w:val="center"/>
            <w:hideMark/>
          </w:tcPr>
          <w:p w14:paraId="5FEF1E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306" w:type="dxa"/>
            <w:tcBorders>
              <w:top w:val="nil"/>
              <w:left w:val="nil"/>
              <w:bottom w:val="single" w:sz="4" w:space="0" w:color="auto"/>
              <w:right w:val="single" w:sz="4" w:space="0" w:color="auto"/>
            </w:tcBorders>
            <w:shd w:val="clear" w:color="000000" w:fill="FFFFFF"/>
            <w:vAlign w:val="center"/>
            <w:hideMark/>
          </w:tcPr>
          <w:p w14:paraId="5FEF1E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245" w:type="dxa"/>
            <w:tcBorders>
              <w:top w:val="nil"/>
              <w:left w:val="nil"/>
              <w:bottom w:val="single" w:sz="4" w:space="0" w:color="auto"/>
              <w:right w:val="single" w:sz="4" w:space="0" w:color="auto"/>
            </w:tcBorders>
            <w:shd w:val="clear" w:color="000000" w:fill="FFFFFF"/>
            <w:vAlign w:val="center"/>
            <w:hideMark/>
          </w:tcPr>
          <w:p w14:paraId="5FEF1E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306" w:type="dxa"/>
            <w:tcBorders>
              <w:top w:val="nil"/>
              <w:left w:val="nil"/>
              <w:bottom w:val="single" w:sz="4" w:space="0" w:color="auto"/>
              <w:right w:val="single" w:sz="4" w:space="0" w:color="auto"/>
            </w:tcBorders>
            <w:shd w:val="clear" w:color="000000" w:fill="FFFFFF"/>
            <w:vAlign w:val="center"/>
            <w:hideMark/>
          </w:tcPr>
          <w:p w14:paraId="5FEF1E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245" w:type="dxa"/>
            <w:tcBorders>
              <w:top w:val="nil"/>
              <w:left w:val="nil"/>
              <w:bottom w:val="single" w:sz="4" w:space="0" w:color="auto"/>
              <w:right w:val="single" w:sz="4" w:space="0" w:color="auto"/>
            </w:tcBorders>
            <w:shd w:val="clear" w:color="000000" w:fill="FFFFFF"/>
            <w:vAlign w:val="center"/>
            <w:hideMark/>
          </w:tcPr>
          <w:p w14:paraId="5FEF1E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103,710</w:t>
            </w:r>
          </w:p>
        </w:tc>
        <w:tc>
          <w:tcPr>
            <w:tcW w:w="306" w:type="dxa"/>
            <w:tcBorders>
              <w:top w:val="nil"/>
              <w:left w:val="nil"/>
              <w:bottom w:val="single" w:sz="4" w:space="0" w:color="auto"/>
              <w:right w:val="single" w:sz="4" w:space="0" w:color="auto"/>
            </w:tcBorders>
            <w:shd w:val="clear" w:color="000000" w:fill="FFFFFF"/>
            <w:vAlign w:val="center"/>
            <w:hideMark/>
          </w:tcPr>
          <w:p w14:paraId="5FEF1E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75" w:type="dxa"/>
            <w:tcBorders>
              <w:top w:val="nil"/>
              <w:left w:val="nil"/>
              <w:bottom w:val="single" w:sz="4" w:space="0" w:color="auto"/>
              <w:right w:val="single" w:sz="4" w:space="0" w:color="auto"/>
            </w:tcBorders>
            <w:shd w:val="clear" w:color="000000" w:fill="FFFFFF"/>
            <w:vAlign w:val="center"/>
            <w:hideMark/>
          </w:tcPr>
          <w:p w14:paraId="5FEF1E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306" w:type="dxa"/>
            <w:tcBorders>
              <w:top w:val="nil"/>
              <w:left w:val="nil"/>
              <w:bottom w:val="single" w:sz="4" w:space="0" w:color="auto"/>
              <w:right w:val="single" w:sz="4" w:space="0" w:color="auto"/>
            </w:tcBorders>
            <w:shd w:val="clear" w:color="000000" w:fill="FFFFFF"/>
            <w:vAlign w:val="center"/>
            <w:hideMark/>
          </w:tcPr>
          <w:p w14:paraId="5FEF1E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45" w:type="dxa"/>
            <w:tcBorders>
              <w:top w:val="nil"/>
              <w:left w:val="nil"/>
              <w:bottom w:val="single" w:sz="4" w:space="0" w:color="auto"/>
              <w:right w:val="single" w:sz="4" w:space="0" w:color="auto"/>
            </w:tcBorders>
            <w:shd w:val="clear" w:color="000000" w:fill="FFFFFF"/>
            <w:vAlign w:val="center"/>
            <w:hideMark/>
          </w:tcPr>
          <w:p w14:paraId="5FEF1E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311,130</w:t>
            </w:r>
          </w:p>
        </w:tc>
        <w:tc>
          <w:tcPr>
            <w:tcW w:w="275" w:type="dxa"/>
            <w:tcBorders>
              <w:top w:val="nil"/>
              <w:left w:val="nil"/>
              <w:bottom w:val="single" w:sz="4" w:space="0" w:color="auto"/>
              <w:right w:val="single" w:sz="4" w:space="0" w:color="auto"/>
            </w:tcBorders>
            <w:shd w:val="clear" w:color="000000" w:fill="FFFFFF"/>
            <w:vAlign w:val="center"/>
            <w:hideMark/>
          </w:tcPr>
          <w:p w14:paraId="5FEF1E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EF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E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2.1.18</w:t>
            </w:r>
          </w:p>
        </w:tc>
        <w:tc>
          <w:tcPr>
            <w:tcW w:w="1301" w:type="dxa"/>
            <w:tcBorders>
              <w:top w:val="nil"/>
              <w:left w:val="nil"/>
              <w:bottom w:val="single" w:sz="4" w:space="0" w:color="auto"/>
              <w:right w:val="single" w:sz="4" w:space="0" w:color="auto"/>
            </w:tcBorders>
            <w:shd w:val="clear" w:color="auto" w:fill="auto"/>
            <w:vAlign w:val="center"/>
            <w:hideMark/>
          </w:tcPr>
          <w:p w14:paraId="5FEF1EE2" w14:textId="469E88AC" w:rsidR="002117FE" w:rsidRPr="00795698" w:rsidRDefault="002117FE" w:rsidP="00C62D65">
            <w:pPr>
              <w:rPr>
                <w:rFonts w:ascii="Arial" w:hAnsi="Arial" w:cs="Arial"/>
                <w:sz w:val="6"/>
                <w:szCs w:val="6"/>
                <w:lang w:eastAsia="sq-AL"/>
              </w:rPr>
            </w:pPr>
            <w:r w:rsidRPr="00795698">
              <w:rPr>
                <w:rFonts w:ascii="Arial" w:hAnsi="Arial" w:cs="Arial"/>
                <w:sz w:val="6"/>
                <w:szCs w:val="6"/>
                <w:lang w:eastAsia="sq-AL"/>
              </w:rPr>
              <w:t>Zhvillimi i sesioneve informuese dhe trajnuese me drejtuesit e institucioneve arsimore, mësuesit, psikologun, oficerin e sigurisë në shkollë ose punonjësin social të shkollës për ndërgjegjësim dhe aftësim për parandalimin e ekstremizmit të dhunshëm dhe identifikimin e shenjave të hershme të ekstremizmit dhe radikalizimit te nxënësit.</w:t>
            </w:r>
          </w:p>
        </w:tc>
        <w:tc>
          <w:tcPr>
            <w:tcW w:w="498" w:type="dxa"/>
            <w:tcBorders>
              <w:top w:val="nil"/>
              <w:left w:val="nil"/>
              <w:bottom w:val="single" w:sz="4" w:space="0" w:color="auto"/>
              <w:right w:val="single" w:sz="4" w:space="0" w:color="auto"/>
            </w:tcBorders>
            <w:shd w:val="clear" w:color="000000" w:fill="FFFFFF"/>
            <w:vAlign w:val="center"/>
            <w:hideMark/>
          </w:tcPr>
          <w:p w14:paraId="5FEF1E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Kodi i Progamit Buxhetor 09120 Arsimi Bazë, Kodi i Produktit 91103AF</w:t>
            </w:r>
          </w:p>
        </w:tc>
        <w:tc>
          <w:tcPr>
            <w:tcW w:w="498" w:type="dxa"/>
            <w:tcBorders>
              <w:top w:val="nil"/>
              <w:left w:val="nil"/>
              <w:bottom w:val="single" w:sz="4" w:space="0" w:color="auto"/>
              <w:right w:val="single" w:sz="4" w:space="0" w:color="auto"/>
            </w:tcBorders>
            <w:shd w:val="clear" w:color="auto" w:fill="auto"/>
            <w:vAlign w:val="center"/>
            <w:hideMark/>
          </w:tcPr>
          <w:p w14:paraId="5FEF1E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auto" w:fill="auto"/>
            <w:vAlign w:val="center"/>
            <w:hideMark/>
          </w:tcPr>
          <w:p w14:paraId="5FEF1E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ASCAP; Donatorë </w:t>
            </w:r>
          </w:p>
        </w:tc>
        <w:tc>
          <w:tcPr>
            <w:tcW w:w="207" w:type="dxa"/>
            <w:tcBorders>
              <w:top w:val="nil"/>
              <w:left w:val="nil"/>
              <w:bottom w:val="single" w:sz="4" w:space="0" w:color="auto"/>
              <w:right w:val="single" w:sz="4" w:space="0" w:color="auto"/>
            </w:tcBorders>
            <w:shd w:val="clear" w:color="auto" w:fill="auto"/>
            <w:vAlign w:val="center"/>
            <w:hideMark/>
          </w:tcPr>
          <w:p w14:paraId="5FEF1EE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EE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E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259,280</w:t>
            </w:r>
          </w:p>
        </w:tc>
        <w:tc>
          <w:tcPr>
            <w:tcW w:w="275" w:type="dxa"/>
            <w:tcBorders>
              <w:top w:val="nil"/>
              <w:left w:val="nil"/>
              <w:bottom w:val="single" w:sz="4" w:space="0" w:color="auto"/>
              <w:right w:val="single" w:sz="4" w:space="0" w:color="auto"/>
            </w:tcBorders>
            <w:shd w:val="clear" w:color="000000" w:fill="FFFFFF"/>
            <w:vAlign w:val="center"/>
            <w:hideMark/>
          </w:tcPr>
          <w:p w14:paraId="5FEF1E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259,280</w:t>
            </w:r>
          </w:p>
        </w:tc>
        <w:tc>
          <w:tcPr>
            <w:tcW w:w="306" w:type="dxa"/>
            <w:tcBorders>
              <w:top w:val="nil"/>
              <w:left w:val="nil"/>
              <w:bottom w:val="single" w:sz="4" w:space="0" w:color="auto"/>
              <w:right w:val="single" w:sz="4" w:space="0" w:color="auto"/>
            </w:tcBorders>
            <w:shd w:val="clear" w:color="000000" w:fill="FFFFFF"/>
            <w:vAlign w:val="center"/>
            <w:hideMark/>
          </w:tcPr>
          <w:p w14:paraId="5FEF1E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259,280</w:t>
            </w:r>
          </w:p>
        </w:tc>
        <w:tc>
          <w:tcPr>
            <w:tcW w:w="245" w:type="dxa"/>
            <w:tcBorders>
              <w:top w:val="nil"/>
              <w:left w:val="nil"/>
              <w:bottom w:val="single" w:sz="4" w:space="0" w:color="auto"/>
              <w:right w:val="single" w:sz="4" w:space="0" w:color="auto"/>
            </w:tcBorders>
            <w:shd w:val="clear" w:color="000000" w:fill="FFFFFF"/>
            <w:vAlign w:val="center"/>
            <w:hideMark/>
          </w:tcPr>
          <w:p w14:paraId="5FEF1E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259,280</w:t>
            </w:r>
          </w:p>
        </w:tc>
        <w:tc>
          <w:tcPr>
            <w:tcW w:w="306" w:type="dxa"/>
            <w:tcBorders>
              <w:top w:val="nil"/>
              <w:left w:val="nil"/>
              <w:bottom w:val="single" w:sz="4" w:space="0" w:color="auto"/>
              <w:right w:val="single" w:sz="4" w:space="0" w:color="auto"/>
            </w:tcBorders>
            <w:shd w:val="clear" w:color="000000" w:fill="FFFFFF"/>
            <w:vAlign w:val="center"/>
            <w:hideMark/>
          </w:tcPr>
          <w:p w14:paraId="5FEF1E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259,280</w:t>
            </w:r>
          </w:p>
        </w:tc>
        <w:tc>
          <w:tcPr>
            <w:tcW w:w="245" w:type="dxa"/>
            <w:tcBorders>
              <w:top w:val="nil"/>
              <w:left w:val="nil"/>
              <w:bottom w:val="single" w:sz="4" w:space="0" w:color="auto"/>
              <w:right w:val="single" w:sz="4" w:space="0" w:color="auto"/>
            </w:tcBorders>
            <w:shd w:val="clear" w:color="000000" w:fill="FFFFFF"/>
            <w:vAlign w:val="center"/>
            <w:hideMark/>
          </w:tcPr>
          <w:p w14:paraId="5FEF1E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259,280</w:t>
            </w:r>
          </w:p>
        </w:tc>
        <w:tc>
          <w:tcPr>
            <w:tcW w:w="306" w:type="dxa"/>
            <w:tcBorders>
              <w:top w:val="nil"/>
              <w:left w:val="nil"/>
              <w:bottom w:val="single" w:sz="4" w:space="0" w:color="auto"/>
              <w:right w:val="single" w:sz="4" w:space="0" w:color="auto"/>
            </w:tcBorders>
            <w:shd w:val="clear" w:color="000000" w:fill="FFFFFF"/>
            <w:vAlign w:val="center"/>
            <w:hideMark/>
          </w:tcPr>
          <w:p w14:paraId="5FEF1E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777,840</w:t>
            </w:r>
          </w:p>
        </w:tc>
        <w:tc>
          <w:tcPr>
            <w:tcW w:w="275" w:type="dxa"/>
            <w:tcBorders>
              <w:top w:val="nil"/>
              <w:left w:val="nil"/>
              <w:bottom w:val="single" w:sz="4" w:space="0" w:color="auto"/>
              <w:right w:val="single" w:sz="4" w:space="0" w:color="auto"/>
            </w:tcBorders>
            <w:shd w:val="clear" w:color="000000" w:fill="FFFFFF"/>
            <w:vAlign w:val="center"/>
            <w:hideMark/>
          </w:tcPr>
          <w:p w14:paraId="5FEF1E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777,840</w:t>
            </w:r>
          </w:p>
        </w:tc>
        <w:tc>
          <w:tcPr>
            <w:tcW w:w="306" w:type="dxa"/>
            <w:tcBorders>
              <w:top w:val="nil"/>
              <w:left w:val="nil"/>
              <w:bottom w:val="single" w:sz="4" w:space="0" w:color="auto"/>
              <w:right w:val="single" w:sz="4" w:space="0" w:color="auto"/>
            </w:tcBorders>
            <w:shd w:val="clear" w:color="000000" w:fill="FFFFFF"/>
            <w:vAlign w:val="center"/>
            <w:hideMark/>
          </w:tcPr>
          <w:p w14:paraId="5FEF1E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777,840</w:t>
            </w:r>
          </w:p>
        </w:tc>
        <w:tc>
          <w:tcPr>
            <w:tcW w:w="245" w:type="dxa"/>
            <w:tcBorders>
              <w:top w:val="nil"/>
              <w:left w:val="nil"/>
              <w:bottom w:val="single" w:sz="4" w:space="0" w:color="auto"/>
              <w:right w:val="single" w:sz="4" w:space="0" w:color="auto"/>
            </w:tcBorders>
            <w:shd w:val="clear" w:color="000000" w:fill="FFFFFF"/>
            <w:vAlign w:val="center"/>
            <w:hideMark/>
          </w:tcPr>
          <w:p w14:paraId="5FEF1E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E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777,840</w:t>
            </w:r>
          </w:p>
        </w:tc>
        <w:tc>
          <w:tcPr>
            <w:tcW w:w="275" w:type="dxa"/>
            <w:tcBorders>
              <w:top w:val="nil"/>
              <w:left w:val="nil"/>
              <w:bottom w:val="single" w:sz="4" w:space="0" w:color="auto"/>
              <w:right w:val="single" w:sz="4" w:space="0" w:color="auto"/>
            </w:tcBorders>
            <w:shd w:val="clear" w:color="000000" w:fill="FFFFFF"/>
            <w:vAlign w:val="center"/>
            <w:hideMark/>
          </w:tcPr>
          <w:p w14:paraId="5FEF1E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E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E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E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E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1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EF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2.1.19</w:t>
            </w:r>
          </w:p>
        </w:tc>
        <w:tc>
          <w:tcPr>
            <w:tcW w:w="1301" w:type="dxa"/>
            <w:tcBorders>
              <w:top w:val="nil"/>
              <w:left w:val="nil"/>
              <w:bottom w:val="single" w:sz="4" w:space="0" w:color="auto"/>
              <w:right w:val="single" w:sz="4" w:space="0" w:color="auto"/>
            </w:tcBorders>
            <w:shd w:val="clear" w:color="auto" w:fill="auto"/>
            <w:vAlign w:val="center"/>
            <w:hideMark/>
          </w:tcPr>
          <w:p w14:paraId="5FEF1EFE" w14:textId="4AAD86F4"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 xml:space="preserve">Sensibilizimi i bizneseve dhe komunitetit në tërësi me qëllim që të jenë më të hapur dhe </w:t>
            </w:r>
            <w:r w:rsidR="00B4110E" w:rsidRPr="00795698">
              <w:rPr>
                <w:rFonts w:ascii="Arial" w:hAnsi="Arial" w:cs="Arial"/>
                <w:sz w:val="6"/>
                <w:szCs w:val="6"/>
                <w:lang w:eastAsia="sq-AL"/>
              </w:rPr>
              <w:t>jo</w:t>
            </w:r>
            <w:r w:rsidRPr="00795698">
              <w:rPr>
                <w:rFonts w:ascii="Arial" w:hAnsi="Arial" w:cs="Arial"/>
                <w:sz w:val="6"/>
                <w:szCs w:val="6"/>
                <w:lang w:eastAsia="sq-AL"/>
              </w:rPr>
              <w:t>paragjykues ndaj</w:t>
            </w:r>
            <w:r w:rsidR="007C064A" w:rsidRPr="00795698">
              <w:rPr>
                <w:rFonts w:ascii="Arial" w:hAnsi="Arial" w:cs="Arial"/>
                <w:sz w:val="6"/>
                <w:szCs w:val="6"/>
                <w:lang w:eastAsia="sq-AL"/>
              </w:rPr>
              <w:t xml:space="preserve"> </w:t>
            </w:r>
            <w:r w:rsidRPr="00795698">
              <w:rPr>
                <w:rFonts w:ascii="Arial" w:hAnsi="Arial" w:cs="Arial"/>
                <w:sz w:val="6"/>
                <w:szCs w:val="6"/>
                <w:lang w:eastAsia="sq-AL"/>
              </w:rPr>
              <w:t>personave të radikalizuar dhe individëve të kthyer nga vendet e luftës në lidhje me çështje të punësimit.</w:t>
            </w:r>
          </w:p>
        </w:tc>
        <w:tc>
          <w:tcPr>
            <w:tcW w:w="498" w:type="dxa"/>
            <w:tcBorders>
              <w:top w:val="nil"/>
              <w:left w:val="nil"/>
              <w:bottom w:val="single" w:sz="4" w:space="0" w:color="auto"/>
              <w:right w:val="single" w:sz="4" w:space="0" w:color="auto"/>
            </w:tcBorders>
            <w:shd w:val="clear" w:color="000000" w:fill="FFFFFF"/>
            <w:vAlign w:val="center"/>
            <w:hideMark/>
          </w:tcPr>
          <w:p w14:paraId="5FEF1E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Buxhetor 01110</w:t>
            </w:r>
          </w:p>
        </w:tc>
        <w:tc>
          <w:tcPr>
            <w:tcW w:w="498" w:type="dxa"/>
            <w:tcBorders>
              <w:top w:val="nil"/>
              <w:left w:val="nil"/>
              <w:bottom w:val="single" w:sz="4" w:space="0" w:color="auto"/>
              <w:right w:val="single" w:sz="4" w:space="0" w:color="auto"/>
            </w:tcBorders>
            <w:shd w:val="clear" w:color="auto" w:fill="auto"/>
            <w:vAlign w:val="center"/>
            <w:hideMark/>
          </w:tcPr>
          <w:p w14:paraId="5FEF1F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MFE </w:t>
            </w:r>
          </w:p>
        </w:tc>
        <w:tc>
          <w:tcPr>
            <w:tcW w:w="578" w:type="dxa"/>
            <w:tcBorders>
              <w:top w:val="nil"/>
              <w:left w:val="nil"/>
              <w:bottom w:val="single" w:sz="4" w:space="0" w:color="auto"/>
              <w:right w:val="single" w:sz="4" w:space="0" w:color="auto"/>
            </w:tcBorders>
            <w:shd w:val="clear" w:color="auto" w:fill="auto"/>
            <w:vAlign w:val="center"/>
            <w:hideMark/>
          </w:tcPr>
          <w:p w14:paraId="5FEF1F01" w14:textId="4E8A0491"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AMVV/NJVV;</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Dhomat e Tregtisë; AIDA; QKEDH; Donatorë</w:t>
            </w:r>
          </w:p>
        </w:tc>
        <w:tc>
          <w:tcPr>
            <w:tcW w:w="207" w:type="dxa"/>
            <w:tcBorders>
              <w:top w:val="nil"/>
              <w:left w:val="nil"/>
              <w:bottom w:val="single" w:sz="4" w:space="0" w:color="auto"/>
              <w:right w:val="single" w:sz="4" w:space="0" w:color="auto"/>
            </w:tcBorders>
            <w:shd w:val="clear" w:color="auto" w:fill="auto"/>
            <w:vAlign w:val="center"/>
            <w:hideMark/>
          </w:tcPr>
          <w:p w14:paraId="5FEF1F0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0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F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75" w:type="dxa"/>
            <w:tcBorders>
              <w:top w:val="nil"/>
              <w:left w:val="nil"/>
              <w:bottom w:val="single" w:sz="4" w:space="0" w:color="auto"/>
              <w:right w:val="single" w:sz="4" w:space="0" w:color="auto"/>
            </w:tcBorders>
            <w:shd w:val="clear" w:color="000000" w:fill="FFFFFF"/>
            <w:vAlign w:val="center"/>
            <w:hideMark/>
          </w:tcPr>
          <w:p w14:paraId="5FEF1F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F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45" w:type="dxa"/>
            <w:tcBorders>
              <w:top w:val="nil"/>
              <w:left w:val="nil"/>
              <w:bottom w:val="single" w:sz="4" w:space="0" w:color="auto"/>
              <w:right w:val="single" w:sz="4" w:space="0" w:color="auto"/>
            </w:tcBorders>
            <w:shd w:val="clear" w:color="000000" w:fill="FFFFFF"/>
            <w:vAlign w:val="center"/>
            <w:hideMark/>
          </w:tcPr>
          <w:p w14:paraId="5FEF1F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F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245" w:type="dxa"/>
            <w:tcBorders>
              <w:top w:val="nil"/>
              <w:left w:val="nil"/>
              <w:bottom w:val="single" w:sz="4" w:space="0" w:color="auto"/>
              <w:right w:val="single" w:sz="4" w:space="0" w:color="auto"/>
            </w:tcBorders>
            <w:shd w:val="clear" w:color="000000" w:fill="FFFFFF"/>
            <w:vAlign w:val="center"/>
            <w:hideMark/>
          </w:tcPr>
          <w:p w14:paraId="5FEF1F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51,850</w:t>
            </w:r>
          </w:p>
        </w:tc>
        <w:tc>
          <w:tcPr>
            <w:tcW w:w="306" w:type="dxa"/>
            <w:tcBorders>
              <w:top w:val="nil"/>
              <w:left w:val="nil"/>
              <w:bottom w:val="single" w:sz="4" w:space="0" w:color="auto"/>
              <w:right w:val="single" w:sz="4" w:space="0" w:color="auto"/>
            </w:tcBorders>
            <w:shd w:val="clear" w:color="000000" w:fill="FFFFFF"/>
            <w:vAlign w:val="center"/>
            <w:hideMark/>
          </w:tcPr>
          <w:p w14:paraId="5FEF1F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75" w:type="dxa"/>
            <w:tcBorders>
              <w:top w:val="nil"/>
              <w:left w:val="nil"/>
              <w:bottom w:val="single" w:sz="4" w:space="0" w:color="auto"/>
              <w:right w:val="single" w:sz="4" w:space="0" w:color="auto"/>
            </w:tcBorders>
            <w:shd w:val="clear" w:color="000000" w:fill="FFFFFF"/>
            <w:vAlign w:val="center"/>
            <w:hideMark/>
          </w:tcPr>
          <w:p w14:paraId="5FEF1F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306" w:type="dxa"/>
            <w:tcBorders>
              <w:top w:val="nil"/>
              <w:left w:val="nil"/>
              <w:bottom w:val="single" w:sz="4" w:space="0" w:color="auto"/>
              <w:right w:val="single" w:sz="4" w:space="0" w:color="auto"/>
            </w:tcBorders>
            <w:shd w:val="clear" w:color="000000" w:fill="FFFFFF"/>
            <w:vAlign w:val="center"/>
            <w:hideMark/>
          </w:tcPr>
          <w:p w14:paraId="5FEF1F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45" w:type="dxa"/>
            <w:tcBorders>
              <w:top w:val="nil"/>
              <w:left w:val="nil"/>
              <w:bottom w:val="single" w:sz="4" w:space="0" w:color="auto"/>
              <w:right w:val="single" w:sz="4" w:space="0" w:color="auto"/>
            </w:tcBorders>
            <w:shd w:val="clear" w:color="000000" w:fill="FFFFFF"/>
            <w:vAlign w:val="center"/>
            <w:hideMark/>
          </w:tcPr>
          <w:p w14:paraId="5FEF1F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155,550</w:t>
            </w:r>
          </w:p>
        </w:tc>
        <w:tc>
          <w:tcPr>
            <w:tcW w:w="275" w:type="dxa"/>
            <w:tcBorders>
              <w:top w:val="nil"/>
              <w:left w:val="nil"/>
              <w:bottom w:val="single" w:sz="4" w:space="0" w:color="auto"/>
              <w:right w:val="single" w:sz="4" w:space="0" w:color="auto"/>
            </w:tcBorders>
            <w:shd w:val="clear" w:color="000000" w:fill="FFFFFF"/>
            <w:vAlign w:val="center"/>
            <w:hideMark/>
          </w:tcPr>
          <w:p w14:paraId="5FEF1F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3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1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2.1.20</w:t>
            </w:r>
          </w:p>
        </w:tc>
        <w:tc>
          <w:tcPr>
            <w:tcW w:w="1301" w:type="dxa"/>
            <w:tcBorders>
              <w:top w:val="nil"/>
              <w:left w:val="nil"/>
              <w:bottom w:val="single" w:sz="4" w:space="0" w:color="auto"/>
              <w:right w:val="single" w:sz="4" w:space="0" w:color="auto"/>
            </w:tcBorders>
            <w:shd w:val="clear" w:color="auto" w:fill="auto"/>
            <w:vAlign w:val="center"/>
            <w:hideMark/>
          </w:tcPr>
          <w:p w14:paraId="5FEF1F1A"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Komunikim ndërinstitucional për ofrimin e një sërë shërbimesh sociale, shëndetësore (fizike dhe psikologjike), arsimore parauniversitare (arsimi formal dhe joformal), zhvillim profesional.</w:t>
            </w:r>
          </w:p>
        </w:tc>
        <w:tc>
          <w:tcPr>
            <w:tcW w:w="498" w:type="dxa"/>
            <w:tcBorders>
              <w:top w:val="nil"/>
              <w:left w:val="nil"/>
              <w:bottom w:val="single" w:sz="4" w:space="0" w:color="auto"/>
              <w:right w:val="single" w:sz="4" w:space="0" w:color="auto"/>
            </w:tcBorders>
            <w:shd w:val="clear" w:color="auto" w:fill="auto"/>
            <w:vAlign w:val="center"/>
            <w:hideMark/>
          </w:tcPr>
          <w:p w14:paraId="5FEF1F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 Arsimi Bazë", Kodi i Progamit Buxhetor 09120 </w:t>
            </w:r>
          </w:p>
        </w:tc>
        <w:tc>
          <w:tcPr>
            <w:tcW w:w="498" w:type="dxa"/>
            <w:tcBorders>
              <w:top w:val="nil"/>
              <w:left w:val="nil"/>
              <w:bottom w:val="single" w:sz="4" w:space="0" w:color="auto"/>
              <w:right w:val="single" w:sz="4" w:space="0" w:color="auto"/>
            </w:tcBorders>
            <w:shd w:val="clear" w:color="auto" w:fill="auto"/>
            <w:vAlign w:val="center"/>
            <w:hideMark/>
          </w:tcPr>
          <w:p w14:paraId="5FEF1F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auto" w:fill="auto"/>
            <w:vAlign w:val="center"/>
            <w:hideMark/>
          </w:tcPr>
          <w:p w14:paraId="5FEF1F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 MD; MB; MFE; AMVV/NJVV; QKEDH;</w:t>
            </w:r>
          </w:p>
        </w:tc>
        <w:tc>
          <w:tcPr>
            <w:tcW w:w="207" w:type="dxa"/>
            <w:tcBorders>
              <w:top w:val="nil"/>
              <w:left w:val="nil"/>
              <w:bottom w:val="single" w:sz="4" w:space="0" w:color="auto"/>
              <w:right w:val="single" w:sz="4" w:space="0" w:color="auto"/>
            </w:tcBorders>
            <w:shd w:val="clear" w:color="auto" w:fill="auto"/>
            <w:vAlign w:val="center"/>
            <w:hideMark/>
          </w:tcPr>
          <w:p w14:paraId="5FEF1F1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1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F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75" w:type="dxa"/>
            <w:tcBorders>
              <w:top w:val="nil"/>
              <w:left w:val="nil"/>
              <w:bottom w:val="single" w:sz="4" w:space="0" w:color="auto"/>
              <w:right w:val="single" w:sz="4" w:space="0" w:color="auto"/>
            </w:tcBorders>
            <w:shd w:val="clear" w:color="000000" w:fill="FFFFFF"/>
            <w:vAlign w:val="center"/>
            <w:hideMark/>
          </w:tcPr>
          <w:p w14:paraId="5FEF1F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F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F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F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306" w:type="dxa"/>
            <w:tcBorders>
              <w:top w:val="nil"/>
              <w:left w:val="nil"/>
              <w:bottom w:val="single" w:sz="4" w:space="0" w:color="auto"/>
              <w:right w:val="single" w:sz="4" w:space="0" w:color="auto"/>
            </w:tcBorders>
            <w:shd w:val="clear" w:color="000000" w:fill="FFFFFF"/>
            <w:vAlign w:val="center"/>
            <w:hideMark/>
          </w:tcPr>
          <w:p w14:paraId="5FEF1F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45" w:type="dxa"/>
            <w:tcBorders>
              <w:top w:val="nil"/>
              <w:left w:val="nil"/>
              <w:bottom w:val="single" w:sz="4" w:space="0" w:color="auto"/>
              <w:right w:val="single" w:sz="4" w:space="0" w:color="auto"/>
            </w:tcBorders>
            <w:shd w:val="clear" w:color="000000" w:fill="FFFFFF"/>
            <w:vAlign w:val="center"/>
            <w:hideMark/>
          </w:tcPr>
          <w:p w14:paraId="5FEF1F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F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5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3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2.1.21</w:t>
            </w:r>
          </w:p>
        </w:tc>
        <w:tc>
          <w:tcPr>
            <w:tcW w:w="1301" w:type="dxa"/>
            <w:tcBorders>
              <w:top w:val="nil"/>
              <w:left w:val="nil"/>
              <w:bottom w:val="single" w:sz="4" w:space="0" w:color="auto"/>
              <w:right w:val="single" w:sz="4" w:space="0" w:color="auto"/>
            </w:tcBorders>
            <w:shd w:val="clear" w:color="auto" w:fill="auto"/>
            <w:vAlign w:val="center"/>
            <w:hideMark/>
          </w:tcPr>
          <w:p w14:paraId="5FEF1F3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Mbulimi në mediumet tradicionale: Televizionet dhe Radio.</w:t>
            </w:r>
          </w:p>
        </w:tc>
        <w:tc>
          <w:tcPr>
            <w:tcW w:w="498" w:type="dxa"/>
            <w:tcBorders>
              <w:top w:val="nil"/>
              <w:left w:val="nil"/>
              <w:bottom w:val="single" w:sz="4" w:space="0" w:color="auto"/>
              <w:right w:val="single" w:sz="4" w:space="0" w:color="auto"/>
            </w:tcBorders>
            <w:shd w:val="clear" w:color="auto" w:fill="auto"/>
            <w:vAlign w:val="center"/>
            <w:hideMark/>
          </w:tcPr>
          <w:p w14:paraId="5FEF1F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F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F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br/>
              <w:t>AMA; AMVV/NJVV</w:t>
            </w:r>
          </w:p>
        </w:tc>
        <w:tc>
          <w:tcPr>
            <w:tcW w:w="207" w:type="dxa"/>
            <w:tcBorders>
              <w:top w:val="nil"/>
              <w:left w:val="nil"/>
              <w:bottom w:val="single" w:sz="4" w:space="0" w:color="auto"/>
              <w:right w:val="single" w:sz="4" w:space="0" w:color="auto"/>
            </w:tcBorders>
            <w:shd w:val="clear" w:color="auto" w:fill="auto"/>
            <w:vAlign w:val="center"/>
            <w:hideMark/>
          </w:tcPr>
          <w:p w14:paraId="5FEF1F3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3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F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259,300</w:t>
            </w:r>
          </w:p>
        </w:tc>
        <w:tc>
          <w:tcPr>
            <w:tcW w:w="275" w:type="dxa"/>
            <w:tcBorders>
              <w:top w:val="nil"/>
              <w:left w:val="nil"/>
              <w:bottom w:val="single" w:sz="4" w:space="0" w:color="auto"/>
              <w:right w:val="single" w:sz="4" w:space="0" w:color="auto"/>
            </w:tcBorders>
            <w:shd w:val="clear" w:color="000000" w:fill="FFFFFF"/>
            <w:vAlign w:val="center"/>
            <w:hideMark/>
          </w:tcPr>
          <w:p w14:paraId="5FEF1F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259,300</w:t>
            </w:r>
          </w:p>
        </w:tc>
        <w:tc>
          <w:tcPr>
            <w:tcW w:w="306" w:type="dxa"/>
            <w:tcBorders>
              <w:top w:val="nil"/>
              <w:left w:val="nil"/>
              <w:bottom w:val="single" w:sz="4" w:space="0" w:color="auto"/>
              <w:right w:val="single" w:sz="4" w:space="0" w:color="auto"/>
            </w:tcBorders>
            <w:shd w:val="clear" w:color="000000" w:fill="FFFFFF"/>
            <w:vAlign w:val="center"/>
            <w:hideMark/>
          </w:tcPr>
          <w:p w14:paraId="5FEF1F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259,300</w:t>
            </w:r>
          </w:p>
        </w:tc>
        <w:tc>
          <w:tcPr>
            <w:tcW w:w="245" w:type="dxa"/>
            <w:tcBorders>
              <w:top w:val="nil"/>
              <w:left w:val="nil"/>
              <w:bottom w:val="single" w:sz="4" w:space="0" w:color="auto"/>
              <w:right w:val="single" w:sz="4" w:space="0" w:color="auto"/>
            </w:tcBorders>
            <w:shd w:val="clear" w:color="000000" w:fill="FFFFFF"/>
            <w:vAlign w:val="center"/>
            <w:hideMark/>
          </w:tcPr>
          <w:p w14:paraId="5FEF1F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259,300</w:t>
            </w:r>
          </w:p>
        </w:tc>
        <w:tc>
          <w:tcPr>
            <w:tcW w:w="306" w:type="dxa"/>
            <w:tcBorders>
              <w:top w:val="nil"/>
              <w:left w:val="nil"/>
              <w:bottom w:val="single" w:sz="4" w:space="0" w:color="auto"/>
              <w:right w:val="single" w:sz="4" w:space="0" w:color="auto"/>
            </w:tcBorders>
            <w:shd w:val="clear" w:color="000000" w:fill="FFFFFF"/>
            <w:vAlign w:val="center"/>
            <w:hideMark/>
          </w:tcPr>
          <w:p w14:paraId="5FEF1F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259,300</w:t>
            </w:r>
          </w:p>
        </w:tc>
        <w:tc>
          <w:tcPr>
            <w:tcW w:w="245" w:type="dxa"/>
            <w:tcBorders>
              <w:top w:val="nil"/>
              <w:left w:val="nil"/>
              <w:bottom w:val="single" w:sz="4" w:space="0" w:color="auto"/>
              <w:right w:val="single" w:sz="4" w:space="0" w:color="auto"/>
            </w:tcBorders>
            <w:shd w:val="clear" w:color="000000" w:fill="FFFFFF"/>
            <w:vAlign w:val="center"/>
            <w:hideMark/>
          </w:tcPr>
          <w:p w14:paraId="5FEF1F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259,300</w:t>
            </w:r>
          </w:p>
        </w:tc>
        <w:tc>
          <w:tcPr>
            <w:tcW w:w="306" w:type="dxa"/>
            <w:tcBorders>
              <w:top w:val="nil"/>
              <w:left w:val="nil"/>
              <w:bottom w:val="single" w:sz="4" w:space="0" w:color="auto"/>
              <w:right w:val="single" w:sz="4" w:space="0" w:color="auto"/>
            </w:tcBorders>
            <w:shd w:val="clear" w:color="000000" w:fill="FFFFFF"/>
            <w:vAlign w:val="center"/>
            <w:hideMark/>
          </w:tcPr>
          <w:p w14:paraId="5FEF1F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777,900</w:t>
            </w:r>
          </w:p>
        </w:tc>
        <w:tc>
          <w:tcPr>
            <w:tcW w:w="275" w:type="dxa"/>
            <w:tcBorders>
              <w:top w:val="nil"/>
              <w:left w:val="nil"/>
              <w:bottom w:val="single" w:sz="4" w:space="0" w:color="auto"/>
              <w:right w:val="single" w:sz="4" w:space="0" w:color="auto"/>
            </w:tcBorders>
            <w:shd w:val="clear" w:color="000000" w:fill="FFFFFF"/>
            <w:vAlign w:val="center"/>
            <w:hideMark/>
          </w:tcPr>
          <w:p w14:paraId="5FEF1F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777,900</w:t>
            </w:r>
          </w:p>
        </w:tc>
        <w:tc>
          <w:tcPr>
            <w:tcW w:w="306" w:type="dxa"/>
            <w:tcBorders>
              <w:top w:val="nil"/>
              <w:left w:val="nil"/>
              <w:bottom w:val="single" w:sz="4" w:space="0" w:color="auto"/>
              <w:right w:val="single" w:sz="4" w:space="0" w:color="auto"/>
            </w:tcBorders>
            <w:shd w:val="clear" w:color="000000" w:fill="FFFFFF"/>
            <w:vAlign w:val="center"/>
            <w:hideMark/>
          </w:tcPr>
          <w:p w14:paraId="5FEF1F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777,900</w:t>
            </w:r>
          </w:p>
        </w:tc>
        <w:tc>
          <w:tcPr>
            <w:tcW w:w="245" w:type="dxa"/>
            <w:tcBorders>
              <w:top w:val="nil"/>
              <w:left w:val="nil"/>
              <w:bottom w:val="single" w:sz="4" w:space="0" w:color="auto"/>
              <w:right w:val="single" w:sz="4" w:space="0" w:color="auto"/>
            </w:tcBorders>
            <w:shd w:val="clear" w:color="000000" w:fill="FFFFFF"/>
            <w:vAlign w:val="center"/>
            <w:hideMark/>
          </w:tcPr>
          <w:p w14:paraId="5FEF1F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777,900</w:t>
            </w:r>
          </w:p>
        </w:tc>
        <w:tc>
          <w:tcPr>
            <w:tcW w:w="275" w:type="dxa"/>
            <w:tcBorders>
              <w:top w:val="nil"/>
              <w:left w:val="nil"/>
              <w:bottom w:val="single" w:sz="4" w:space="0" w:color="auto"/>
              <w:right w:val="single" w:sz="4" w:space="0" w:color="auto"/>
            </w:tcBorders>
            <w:shd w:val="clear" w:color="000000" w:fill="FFFFFF"/>
            <w:vAlign w:val="center"/>
            <w:hideMark/>
          </w:tcPr>
          <w:p w14:paraId="5FEF1F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6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5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2.1.22</w:t>
            </w:r>
          </w:p>
        </w:tc>
        <w:tc>
          <w:tcPr>
            <w:tcW w:w="1301" w:type="dxa"/>
            <w:tcBorders>
              <w:top w:val="nil"/>
              <w:left w:val="nil"/>
              <w:bottom w:val="single" w:sz="4" w:space="0" w:color="auto"/>
              <w:right w:val="single" w:sz="4" w:space="0" w:color="auto"/>
            </w:tcBorders>
            <w:shd w:val="clear" w:color="auto" w:fill="auto"/>
            <w:vAlign w:val="center"/>
            <w:hideMark/>
          </w:tcPr>
          <w:p w14:paraId="5FEF1F52"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Mbulimi në mediumet e tjera tradicionale dhe online: Gazetat, revistat dhe mediat (portalet) online.</w:t>
            </w:r>
          </w:p>
        </w:tc>
        <w:tc>
          <w:tcPr>
            <w:tcW w:w="498" w:type="dxa"/>
            <w:tcBorders>
              <w:top w:val="nil"/>
              <w:left w:val="nil"/>
              <w:bottom w:val="single" w:sz="4" w:space="0" w:color="auto"/>
              <w:right w:val="single" w:sz="4" w:space="0" w:color="auto"/>
            </w:tcBorders>
            <w:shd w:val="clear" w:color="auto" w:fill="auto"/>
            <w:vAlign w:val="center"/>
            <w:hideMark/>
          </w:tcPr>
          <w:p w14:paraId="5FEF1F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F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F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Ministritë e linjës;</w:t>
            </w:r>
            <w:r w:rsidRPr="00795698">
              <w:rPr>
                <w:rFonts w:ascii="Arial" w:hAnsi="Arial" w:cs="Arial"/>
                <w:color w:val="000000"/>
                <w:sz w:val="6"/>
                <w:szCs w:val="6"/>
                <w:lang w:eastAsia="sq-AL"/>
              </w:rPr>
              <w:br/>
              <w:t>AMVV/NJVV</w:t>
            </w:r>
          </w:p>
        </w:tc>
        <w:tc>
          <w:tcPr>
            <w:tcW w:w="207" w:type="dxa"/>
            <w:tcBorders>
              <w:top w:val="nil"/>
              <w:left w:val="nil"/>
              <w:bottom w:val="single" w:sz="4" w:space="0" w:color="auto"/>
              <w:right w:val="single" w:sz="4" w:space="0" w:color="auto"/>
            </w:tcBorders>
            <w:shd w:val="clear" w:color="auto" w:fill="auto"/>
            <w:vAlign w:val="center"/>
            <w:hideMark/>
          </w:tcPr>
          <w:p w14:paraId="5FEF1F5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5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F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75" w:type="dxa"/>
            <w:tcBorders>
              <w:top w:val="nil"/>
              <w:left w:val="nil"/>
              <w:bottom w:val="single" w:sz="4" w:space="0" w:color="auto"/>
              <w:right w:val="single" w:sz="4" w:space="0" w:color="auto"/>
            </w:tcBorders>
            <w:shd w:val="clear" w:color="000000" w:fill="FFFFFF"/>
            <w:vAlign w:val="center"/>
            <w:hideMark/>
          </w:tcPr>
          <w:p w14:paraId="5FEF1F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F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F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F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306" w:type="dxa"/>
            <w:tcBorders>
              <w:top w:val="nil"/>
              <w:left w:val="nil"/>
              <w:bottom w:val="single" w:sz="4" w:space="0" w:color="auto"/>
              <w:right w:val="single" w:sz="4" w:space="0" w:color="auto"/>
            </w:tcBorders>
            <w:shd w:val="clear" w:color="000000" w:fill="FFFFFF"/>
            <w:vAlign w:val="center"/>
            <w:hideMark/>
          </w:tcPr>
          <w:p w14:paraId="5FEF1F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45" w:type="dxa"/>
            <w:tcBorders>
              <w:top w:val="nil"/>
              <w:left w:val="nil"/>
              <w:bottom w:val="single" w:sz="4" w:space="0" w:color="auto"/>
              <w:right w:val="single" w:sz="4" w:space="0" w:color="auto"/>
            </w:tcBorders>
            <w:shd w:val="clear" w:color="000000" w:fill="FFFFFF"/>
            <w:vAlign w:val="center"/>
            <w:hideMark/>
          </w:tcPr>
          <w:p w14:paraId="5FEF1F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F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8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6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2.1.23</w:t>
            </w:r>
          </w:p>
        </w:tc>
        <w:tc>
          <w:tcPr>
            <w:tcW w:w="1301" w:type="dxa"/>
            <w:tcBorders>
              <w:top w:val="nil"/>
              <w:left w:val="nil"/>
              <w:bottom w:val="single" w:sz="4" w:space="0" w:color="auto"/>
              <w:right w:val="single" w:sz="4" w:space="0" w:color="auto"/>
            </w:tcBorders>
            <w:shd w:val="clear" w:color="auto" w:fill="auto"/>
            <w:vAlign w:val="center"/>
            <w:hideMark/>
          </w:tcPr>
          <w:p w14:paraId="5FEF1F6E"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Zhvillimi i fushatave ndërgjegjësuese dhe kundër narrativave në rrjetet sociale.</w:t>
            </w:r>
          </w:p>
        </w:tc>
        <w:tc>
          <w:tcPr>
            <w:tcW w:w="498" w:type="dxa"/>
            <w:tcBorders>
              <w:top w:val="nil"/>
              <w:left w:val="nil"/>
              <w:bottom w:val="single" w:sz="4" w:space="0" w:color="auto"/>
              <w:right w:val="single" w:sz="4" w:space="0" w:color="auto"/>
            </w:tcBorders>
            <w:shd w:val="clear" w:color="auto" w:fill="auto"/>
            <w:vAlign w:val="center"/>
            <w:hideMark/>
          </w:tcPr>
          <w:p w14:paraId="5FEF1F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F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F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Ministritë e linjës; AMVV/NJVV</w:t>
            </w:r>
          </w:p>
        </w:tc>
        <w:tc>
          <w:tcPr>
            <w:tcW w:w="207" w:type="dxa"/>
            <w:tcBorders>
              <w:top w:val="nil"/>
              <w:left w:val="nil"/>
              <w:bottom w:val="single" w:sz="4" w:space="0" w:color="auto"/>
              <w:right w:val="single" w:sz="4" w:space="0" w:color="auto"/>
            </w:tcBorders>
            <w:shd w:val="clear" w:color="auto" w:fill="auto"/>
            <w:vAlign w:val="center"/>
            <w:hideMark/>
          </w:tcPr>
          <w:p w14:paraId="5FEF1F7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7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vAlign w:val="center"/>
            <w:hideMark/>
          </w:tcPr>
          <w:p w14:paraId="5FEF1F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275" w:type="dxa"/>
            <w:tcBorders>
              <w:top w:val="nil"/>
              <w:left w:val="nil"/>
              <w:bottom w:val="single" w:sz="4" w:space="0" w:color="auto"/>
              <w:right w:val="single" w:sz="4" w:space="0" w:color="auto"/>
            </w:tcBorders>
            <w:shd w:val="clear" w:color="000000" w:fill="FFFFFF"/>
            <w:vAlign w:val="center"/>
            <w:hideMark/>
          </w:tcPr>
          <w:p w14:paraId="5FEF1F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306" w:type="dxa"/>
            <w:tcBorders>
              <w:top w:val="nil"/>
              <w:left w:val="nil"/>
              <w:bottom w:val="single" w:sz="4" w:space="0" w:color="auto"/>
              <w:right w:val="single" w:sz="4" w:space="0" w:color="auto"/>
            </w:tcBorders>
            <w:shd w:val="clear" w:color="000000" w:fill="FFFFFF"/>
            <w:vAlign w:val="center"/>
            <w:hideMark/>
          </w:tcPr>
          <w:p w14:paraId="5FEF1F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245" w:type="dxa"/>
            <w:tcBorders>
              <w:top w:val="nil"/>
              <w:left w:val="nil"/>
              <w:bottom w:val="single" w:sz="4" w:space="0" w:color="auto"/>
              <w:right w:val="single" w:sz="4" w:space="0" w:color="auto"/>
            </w:tcBorders>
            <w:shd w:val="clear" w:color="000000" w:fill="FFFFFF"/>
            <w:vAlign w:val="center"/>
            <w:hideMark/>
          </w:tcPr>
          <w:p w14:paraId="5FEF1F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306" w:type="dxa"/>
            <w:tcBorders>
              <w:top w:val="nil"/>
              <w:left w:val="nil"/>
              <w:bottom w:val="single" w:sz="4" w:space="0" w:color="auto"/>
              <w:right w:val="single" w:sz="4" w:space="0" w:color="auto"/>
            </w:tcBorders>
            <w:shd w:val="clear" w:color="000000" w:fill="FFFFFF"/>
            <w:vAlign w:val="center"/>
            <w:hideMark/>
          </w:tcPr>
          <w:p w14:paraId="5FEF1F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245" w:type="dxa"/>
            <w:tcBorders>
              <w:top w:val="nil"/>
              <w:left w:val="nil"/>
              <w:bottom w:val="single" w:sz="4" w:space="0" w:color="auto"/>
              <w:right w:val="single" w:sz="4" w:space="0" w:color="auto"/>
            </w:tcBorders>
            <w:shd w:val="clear" w:color="000000" w:fill="FFFFFF"/>
            <w:vAlign w:val="center"/>
            <w:hideMark/>
          </w:tcPr>
          <w:p w14:paraId="5FEF1F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56,000</w:t>
            </w:r>
          </w:p>
        </w:tc>
        <w:tc>
          <w:tcPr>
            <w:tcW w:w="306" w:type="dxa"/>
            <w:tcBorders>
              <w:top w:val="nil"/>
              <w:left w:val="nil"/>
              <w:bottom w:val="single" w:sz="4" w:space="0" w:color="auto"/>
              <w:right w:val="single" w:sz="4" w:space="0" w:color="auto"/>
            </w:tcBorders>
            <w:shd w:val="clear" w:color="000000" w:fill="FFFFFF"/>
            <w:vAlign w:val="center"/>
            <w:hideMark/>
          </w:tcPr>
          <w:p w14:paraId="5FEF1F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w:t>
            </w:r>
          </w:p>
        </w:tc>
        <w:tc>
          <w:tcPr>
            <w:tcW w:w="275" w:type="dxa"/>
            <w:tcBorders>
              <w:top w:val="nil"/>
              <w:left w:val="nil"/>
              <w:bottom w:val="single" w:sz="4" w:space="0" w:color="auto"/>
              <w:right w:val="single" w:sz="4" w:space="0" w:color="auto"/>
            </w:tcBorders>
            <w:shd w:val="clear" w:color="000000" w:fill="FFFFFF"/>
            <w:vAlign w:val="center"/>
            <w:hideMark/>
          </w:tcPr>
          <w:p w14:paraId="5FEF1F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w:t>
            </w:r>
          </w:p>
        </w:tc>
        <w:tc>
          <w:tcPr>
            <w:tcW w:w="306" w:type="dxa"/>
            <w:tcBorders>
              <w:top w:val="nil"/>
              <w:left w:val="nil"/>
              <w:bottom w:val="single" w:sz="4" w:space="0" w:color="auto"/>
              <w:right w:val="single" w:sz="4" w:space="0" w:color="auto"/>
            </w:tcBorders>
            <w:shd w:val="clear" w:color="000000" w:fill="FFFFFF"/>
            <w:vAlign w:val="center"/>
            <w:hideMark/>
          </w:tcPr>
          <w:p w14:paraId="5FEF1F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w:t>
            </w:r>
          </w:p>
        </w:tc>
        <w:tc>
          <w:tcPr>
            <w:tcW w:w="245" w:type="dxa"/>
            <w:tcBorders>
              <w:top w:val="nil"/>
              <w:left w:val="nil"/>
              <w:bottom w:val="single" w:sz="4" w:space="0" w:color="auto"/>
              <w:right w:val="single" w:sz="4" w:space="0" w:color="auto"/>
            </w:tcBorders>
            <w:shd w:val="clear" w:color="000000" w:fill="FFFFFF"/>
            <w:vAlign w:val="center"/>
            <w:hideMark/>
          </w:tcPr>
          <w:p w14:paraId="5FEF1F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168,000</w:t>
            </w:r>
          </w:p>
        </w:tc>
        <w:tc>
          <w:tcPr>
            <w:tcW w:w="275" w:type="dxa"/>
            <w:tcBorders>
              <w:top w:val="nil"/>
              <w:left w:val="nil"/>
              <w:bottom w:val="single" w:sz="4" w:space="0" w:color="auto"/>
              <w:right w:val="single" w:sz="4" w:space="0" w:color="auto"/>
            </w:tcBorders>
            <w:shd w:val="clear" w:color="000000" w:fill="FFFFFF"/>
            <w:vAlign w:val="center"/>
            <w:hideMark/>
          </w:tcPr>
          <w:p w14:paraId="5FEF1F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A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89"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2.1.24</w:t>
            </w:r>
          </w:p>
        </w:tc>
        <w:tc>
          <w:tcPr>
            <w:tcW w:w="1301" w:type="dxa"/>
            <w:tcBorders>
              <w:top w:val="nil"/>
              <w:left w:val="nil"/>
              <w:bottom w:val="single" w:sz="4" w:space="0" w:color="auto"/>
              <w:right w:val="single" w:sz="4" w:space="0" w:color="auto"/>
            </w:tcBorders>
            <w:shd w:val="clear" w:color="auto" w:fill="auto"/>
            <w:vAlign w:val="center"/>
            <w:hideMark/>
          </w:tcPr>
          <w:p w14:paraId="5FEF1F8A" w14:textId="53C6EC2F"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 xml:space="preserve">Ndërtimi i një faqe online si landing page i integruar në </w:t>
            </w:r>
            <w:r w:rsidR="00445D51" w:rsidRPr="00795698">
              <w:rPr>
                <w:rFonts w:ascii="Arial" w:hAnsi="Arial" w:cs="Arial"/>
                <w:sz w:val="6"/>
                <w:szCs w:val="6"/>
                <w:lang w:eastAsia="sq-AL"/>
              </w:rPr>
              <w:t>web</w:t>
            </w:r>
            <w:r w:rsidRPr="00795698">
              <w:rPr>
                <w:rFonts w:ascii="Arial" w:hAnsi="Arial" w:cs="Arial"/>
                <w:sz w:val="6"/>
                <w:szCs w:val="6"/>
                <w:lang w:eastAsia="sq-AL"/>
              </w:rPr>
              <w:t>sitet e aktorëve kryesore.</w:t>
            </w:r>
          </w:p>
        </w:tc>
        <w:tc>
          <w:tcPr>
            <w:tcW w:w="498" w:type="dxa"/>
            <w:tcBorders>
              <w:top w:val="nil"/>
              <w:left w:val="nil"/>
              <w:bottom w:val="single" w:sz="4" w:space="0" w:color="auto"/>
              <w:right w:val="single" w:sz="4" w:space="0" w:color="auto"/>
            </w:tcBorders>
            <w:shd w:val="clear" w:color="auto" w:fill="auto"/>
            <w:vAlign w:val="center"/>
            <w:hideMark/>
          </w:tcPr>
          <w:p w14:paraId="5FEF1F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F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F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F8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8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F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75" w:type="dxa"/>
            <w:tcBorders>
              <w:top w:val="nil"/>
              <w:left w:val="nil"/>
              <w:bottom w:val="single" w:sz="4" w:space="0" w:color="auto"/>
              <w:right w:val="single" w:sz="4" w:space="0" w:color="auto"/>
            </w:tcBorders>
            <w:shd w:val="clear" w:color="000000" w:fill="FFFFFF"/>
            <w:vAlign w:val="center"/>
            <w:hideMark/>
          </w:tcPr>
          <w:p w14:paraId="5FEF1F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vAlign w:val="center"/>
            <w:hideMark/>
          </w:tcPr>
          <w:p w14:paraId="5FEF1F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vAlign w:val="center"/>
            <w:hideMark/>
          </w:tcPr>
          <w:p w14:paraId="5FEF1F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75" w:type="dxa"/>
            <w:tcBorders>
              <w:top w:val="nil"/>
              <w:left w:val="nil"/>
              <w:bottom w:val="single" w:sz="4" w:space="0" w:color="auto"/>
              <w:right w:val="single" w:sz="4" w:space="0" w:color="auto"/>
            </w:tcBorders>
            <w:shd w:val="clear" w:color="000000" w:fill="FFFFFF"/>
            <w:vAlign w:val="center"/>
            <w:hideMark/>
          </w:tcPr>
          <w:p w14:paraId="5FEF1F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vAlign w:val="center"/>
            <w:hideMark/>
          </w:tcPr>
          <w:p w14:paraId="5FEF1F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vAlign w:val="center"/>
            <w:hideMark/>
          </w:tcPr>
          <w:p w14:paraId="5FEF1F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45" w:type="dxa"/>
            <w:tcBorders>
              <w:top w:val="nil"/>
              <w:left w:val="nil"/>
              <w:bottom w:val="single" w:sz="4" w:space="0" w:color="auto"/>
              <w:right w:val="single" w:sz="4" w:space="0" w:color="auto"/>
            </w:tcBorders>
            <w:shd w:val="clear" w:color="000000" w:fill="FFFFFF"/>
            <w:vAlign w:val="center"/>
            <w:hideMark/>
          </w:tcPr>
          <w:p w14:paraId="5FEF1F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75" w:type="dxa"/>
            <w:tcBorders>
              <w:top w:val="nil"/>
              <w:left w:val="nil"/>
              <w:bottom w:val="single" w:sz="4" w:space="0" w:color="auto"/>
              <w:right w:val="single" w:sz="4" w:space="0" w:color="auto"/>
            </w:tcBorders>
            <w:shd w:val="clear" w:color="000000" w:fill="FFFFFF"/>
            <w:vAlign w:val="center"/>
            <w:hideMark/>
          </w:tcPr>
          <w:p w14:paraId="5FEF1F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C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A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2.1.25</w:t>
            </w:r>
          </w:p>
        </w:tc>
        <w:tc>
          <w:tcPr>
            <w:tcW w:w="1301" w:type="dxa"/>
            <w:tcBorders>
              <w:top w:val="nil"/>
              <w:left w:val="nil"/>
              <w:bottom w:val="single" w:sz="4" w:space="0" w:color="auto"/>
              <w:right w:val="single" w:sz="4" w:space="0" w:color="auto"/>
            </w:tcBorders>
            <w:shd w:val="clear" w:color="auto" w:fill="auto"/>
            <w:vAlign w:val="center"/>
            <w:hideMark/>
          </w:tcPr>
          <w:p w14:paraId="5FEF1FA6"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Realizimi dhe prodhimi i produkteve me përmbajtjes audiovizuale.</w:t>
            </w:r>
          </w:p>
        </w:tc>
        <w:tc>
          <w:tcPr>
            <w:tcW w:w="498" w:type="dxa"/>
            <w:tcBorders>
              <w:top w:val="nil"/>
              <w:left w:val="nil"/>
              <w:bottom w:val="single" w:sz="4" w:space="0" w:color="auto"/>
              <w:right w:val="single" w:sz="4" w:space="0" w:color="auto"/>
            </w:tcBorders>
            <w:shd w:val="clear" w:color="auto" w:fill="auto"/>
            <w:vAlign w:val="center"/>
            <w:hideMark/>
          </w:tcPr>
          <w:p w14:paraId="5FEF1F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"Planifikimi, </w:t>
            </w:r>
            <w:r w:rsidRPr="00795698">
              <w:rPr>
                <w:rFonts w:ascii="Arial" w:hAnsi="Arial" w:cs="Arial"/>
                <w:color w:val="000000"/>
                <w:sz w:val="6"/>
                <w:szCs w:val="6"/>
                <w:lang w:eastAsia="sq-AL"/>
              </w:rPr>
              <w:lastRenderedPageBreak/>
              <w:t>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F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QKEDH</w:t>
            </w:r>
          </w:p>
        </w:tc>
        <w:tc>
          <w:tcPr>
            <w:tcW w:w="578" w:type="dxa"/>
            <w:tcBorders>
              <w:top w:val="nil"/>
              <w:left w:val="nil"/>
              <w:bottom w:val="single" w:sz="4" w:space="0" w:color="auto"/>
              <w:right w:val="single" w:sz="4" w:space="0" w:color="auto"/>
            </w:tcBorders>
            <w:shd w:val="clear" w:color="auto" w:fill="auto"/>
            <w:vAlign w:val="center"/>
            <w:hideMark/>
          </w:tcPr>
          <w:p w14:paraId="5FEF1F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AMA; Donatorë</w:t>
            </w:r>
          </w:p>
        </w:tc>
        <w:tc>
          <w:tcPr>
            <w:tcW w:w="207" w:type="dxa"/>
            <w:tcBorders>
              <w:top w:val="nil"/>
              <w:left w:val="nil"/>
              <w:bottom w:val="single" w:sz="4" w:space="0" w:color="auto"/>
              <w:right w:val="single" w:sz="4" w:space="0" w:color="auto"/>
            </w:tcBorders>
            <w:shd w:val="clear" w:color="auto" w:fill="auto"/>
            <w:vAlign w:val="center"/>
            <w:hideMark/>
          </w:tcPr>
          <w:p w14:paraId="5FEF1FA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A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F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15,560</w:t>
            </w:r>
          </w:p>
        </w:tc>
        <w:tc>
          <w:tcPr>
            <w:tcW w:w="275" w:type="dxa"/>
            <w:tcBorders>
              <w:top w:val="nil"/>
              <w:left w:val="nil"/>
              <w:bottom w:val="single" w:sz="4" w:space="0" w:color="auto"/>
              <w:right w:val="single" w:sz="4" w:space="0" w:color="auto"/>
            </w:tcBorders>
            <w:shd w:val="clear" w:color="000000" w:fill="FFFFFF"/>
            <w:vAlign w:val="center"/>
            <w:hideMark/>
          </w:tcPr>
          <w:p w14:paraId="5FEF1F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15,560</w:t>
            </w:r>
          </w:p>
        </w:tc>
        <w:tc>
          <w:tcPr>
            <w:tcW w:w="306" w:type="dxa"/>
            <w:tcBorders>
              <w:top w:val="nil"/>
              <w:left w:val="nil"/>
              <w:bottom w:val="single" w:sz="4" w:space="0" w:color="auto"/>
              <w:right w:val="single" w:sz="4" w:space="0" w:color="auto"/>
            </w:tcBorders>
            <w:shd w:val="clear" w:color="000000" w:fill="FFFFFF"/>
            <w:vAlign w:val="center"/>
            <w:hideMark/>
          </w:tcPr>
          <w:p w14:paraId="5FEF1F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15,560</w:t>
            </w:r>
          </w:p>
        </w:tc>
        <w:tc>
          <w:tcPr>
            <w:tcW w:w="245" w:type="dxa"/>
            <w:tcBorders>
              <w:top w:val="nil"/>
              <w:left w:val="nil"/>
              <w:bottom w:val="single" w:sz="4" w:space="0" w:color="auto"/>
              <w:right w:val="single" w:sz="4" w:space="0" w:color="auto"/>
            </w:tcBorders>
            <w:shd w:val="clear" w:color="000000" w:fill="FFFFFF"/>
            <w:vAlign w:val="center"/>
            <w:hideMark/>
          </w:tcPr>
          <w:p w14:paraId="5FEF1F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15,560</w:t>
            </w:r>
          </w:p>
        </w:tc>
        <w:tc>
          <w:tcPr>
            <w:tcW w:w="306" w:type="dxa"/>
            <w:tcBorders>
              <w:top w:val="nil"/>
              <w:left w:val="nil"/>
              <w:bottom w:val="single" w:sz="4" w:space="0" w:color="auto"/>
              <w:right w:val="single" w:sz="4" w:space="0" w:color="auto"/>
            </w:tcBorders>
            <w:shd w:val="clear" w:color="000000" w:fill="FFFFFF"/>
            <w:vAlign w:val="center"/>
            <w:hideMark/>
          </w:tcPr>
          <w:p w14:paraId="5FEF1F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15,560</w:t>
            </w:r>
          </w:p>
        </w:tc>
        <w:tc>
          <w:tcPr>
            <w:tcW w:w="245" w:type="dxa"/>
            <w:tcBorders>
              <w:top w:val="nil"/>
              <w:left w:val="nil"/>
              <w:bottom w:val="single" w:sz="4" w:space="0" w:color="auto"/>
              <w:right w:val="single" w:sz="4" w:space="0" w:color="auto"/>
            </w:tcBorders>
            <w:shd w:val="clear" w:color="000000" w:fill="FFFFFF"/>
            <w:vAlign w:val="center"/>
            <w:hideMark/>
          </w:tcPr>
          <w:p w14:paraId="5FEF1F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15,560</w:t>
            </w:r>
          </w:p>
        </w:tc>
        <w:tc>
          <w:tcPr>
            <w:tcW w:w="306" w:type="dxa"/>
            <w:tcBorders>
              <w:top w:val="nil"/>
              <w:left w:val="nil"/>
              <w:bottom w:val="single" w:sz="4" w:space="0" w:color="auto"/>
              <w:right w:val="single" w:sz="4" w:space="0" w:color="auto"/>
            </w:tcBorders>
            <w:shd w:val="clear" w:color="000000" w:fill="FFFFFF"/>
            <w:vAlign w:val="center"/>
            <w:hideMark/>
          </w:tcPr>
          <w:p w14:paraId="5FEF1F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46,680</w:t>
            </w:r>
          </w:p>
        </w:tc>
        <w:tc>
          <w:tcPr>
            <w:tcW w:w="275" w:type="dxa"/>
            <w:tcBorders>
              <w:top w:val="nil"/>
              <w:left w:val="nil"/>
              <w:bottom w:val="single" w:sz="4" w:space="0" w:color="auto"/>
              <w:right w:val="single" w:sz="4" w:space="0" w:color="auto"/>
            </w:tcBorders>
            <w:shd w:val="clear" w:color="000000" w:fill="FFFFFF"/>
            <w:vAlign w:val="center"/>
            <w:hideMark/>
          </w:tcPr>
          <w:p w14:paraId="5FEF1F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46,680</w:t>
            </w:r>
          </w:p>
        </w:tc>
        <w:tc>
          <w:tcPr>
            <w:tcW w:w="306" w:type="dxa"/>
            <w:tcBorders>
              <w:top w:val="nil"/>
              <w:left w:val="nil"/>
              <w:bottom w:val="single" w:sz="4" w:space="0" w:color="auto"/>
              <w:right w:val="single" w:sz="4" w:space="0" w:color="auto"/>
            </w:tcBorders>
            <w:shd w:val="clear" w:color="000000" w:fill="FFFFFF"/>
            <w:vAlign w:val="center"/>
            <w:hideMark/>
          </w:tcPr>
          <w:p w14:paraId="5FEF1F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46,680</w:t>
            </w:r>
          </w:p>
        </w:tc>
        <w:tc>
          <w:tcPr>
            <w:tcW w:w="245" w:type="dxa"/>
            <w:tcBorders>
              <w:top w:val="nil"/>
              <w:left w:val="nil"/>
              <w:bottom w:val="single" w:sz="4" w:space="0" w:color="auto"/>
              <w:right w:val="single" w:sz="4" w:space="0" w:color="auto"/>
            </w:tcBorders>
            <w:shd w:val="clear" w:color="000000" w:fill="FFFFFF"/>
            <w:vAlign w:val="center"/>
            <w:hideMark/>
          </w:tcPr>
          <w:p w14:paraId="5FEF1F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46,680</w:t>
            </w:r>
          </w:p>
        </w:tc>
        <w:tc>
          <w:tcPr>
            <w:tcW w:w="275" w:type="dxa"/>
            <w:tcBorders>
              <w:top w:val="nil"/>
              <w:left w:val="nil"/>
              <w:bottom w:val="single" w:sz="4" w:space="0" w:color="auto"/>
              <w:right w:val="single" w:sz="4" w:space="0" w:color="auto"/>
            </w:tcBorders>
            <w:shd w:val="clear" w:color="000000" w:fill="FFFFFF"/>
            <w:vAlign w:val="center"/>
            <w:hideMark/>
          </w:tcPr>
          <w:p w14:paraId="5FEF1F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1F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1F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DC"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C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2.1.26</w:t>
            </w:r>
          </w:p>
        </w:tc>
        <w:tc>
          <w:tcPr>
            <w:tcW w:w="1301" w:type="dxa"/>
            <w:tcBorders>
              <w:top w:val="nil"/>
              <w:left w:val="nil"/>
              <w:bottom w:val="single" w:sz="4" w:space="0" w:color="auto"/>
              <w:right w:val="single" w:sz="4" w:space="0" w:color="auto"/>
            </w:tcBorders>
            <w:shd w:val="clear" w:color="auto" w:fill="auto"/>
            <w:vAlign w:val="center"/>
            <w:hideMark/>
          </w:tcPr>
          <w:p w14:paraId="5FEF1FC2"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Dizenjimi, realizimi dhe prodhimi i produkteve me përmbajtje vizuale.</w:t>
            </w:r>
          </w:p>
        </w:tc>
        <w:tc>
          <w:tcPr>
            <w:tcW w:w="498" w:type="dxa"/>
            <w:tcBorders>
              <w:top w:val="nil"/>
              <w:left w:val="nil"/>
              <w:bottom w:val="single" w:sz="4" w:space="0" w:color="auto"/>
              <w:right w:val="single" w:sz="4" w:space="0" w:color="auto"/>
            </w:tcBorders>
            <w:shd w:val="clear" w:color="auto" w:fill="auto"/>
            <w:vAlign w:val="center"/>
            <w:hideMark/>
          </w:tcPr>
          <w:p w14:paraId="5FEF1F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1F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F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FC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C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F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75" w:type="dxa"/>
            <w:tcBorders>
              <w:top w:val="nil"/>
              <w:left w:val="nil"/>
              <w:bottom w:val="single" w:sz="4" w:space="0" w:color="auto"/>
              <w:right w:val="single" w:sz="4" w:space="0" w:color="auto"/>
            </w:tcBorders>
            <w:shd w:val="clear" w:color="000000" w:fill="FFFFFF"/>
            <w:vAlign w:val="center"/>
            <w:hideMark/>
          </w:tcPr>
          <w:p w14:paraId="5FEF1F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F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245" w:type="dxa"/>
            <w:tcBorders>
              <w:top w:val="nil"/>
              <w:left w:val="nil"/>
              <w:bottom w:val="single" w:sz="4" w:space="0" w:color="auto"/>
              <w:right w:val="single" w:sz="4" w:space="0" w:color="auto"/>
            </w:tcBorders>
            <w:shd w:val="clear" w:color="000000" w:fill="FFFFFF"/>
            <w:vAlign w:val="center"/>
            <w:hideMark/>
          </w:tcPr>
          <w:p w14:paraId="5FEF1F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103,700</w:t>
            </w:r>
          </w:p>
        </w:tc>
        <w:tc>
          <w:tcPr>
            <w:tcW w:w="306" w:type="dxa"/>
            <w:tcBorders>
              <w:top w:val="nil"/>
              <w:left w:val="nil"/>
              <w:bottom w:val="single" w:sz="4" w:space="0" w:color="auto"/>
              <w:right w:val="single" w:sz="4" w:space="0" w:color="auto"/>
            </w:tcBorders>
            <w:shd w:val="clear" w:color="000000" w:fill="FFFFFF"/>
            <w:vAlign w:val="center"/>
            <w:hideMark/>
          </w:tcPr>
          <w:p w14:paraId="5FEF1F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275" w:type="dxa"/>
            <w:tcBorders>
              <w:top w:val="nil"/>
              <w:left w:val="nil"/>
              <w:bottom w:val="single" w:sz="4" w:space="0" w:color="auto"/>
              <w:right w:val="single" w:sz="4" w:space="0" w:color="auto"/>
            </w:tcBorders>
            <w:shd w:val="clear" w:color="000000" w:fill="FFFFFF"/>
            <w:vAlign w:val="center"/>
            <w:hideMark/>
          </w:tcPr>
          <w:p w14:paraId="5FEF1F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311,100</w:t>
            </w:r>
          </w:p>
        </w:tc>
        <w:tc>
          <w:tcPr>
            <w:tcW w:w="306" w:type="dxa"/>
            <w:tcBorders>
              <w:top w:val="nil"/>
              <w:left w:val="nil"/>
              <w:bottom w:val="single" w:sz="4" w:space="0" w:color="auto"/>
              <w:right w:val="single" w:sz="4" w:space="0" w:color="auto"/>
            </w:tcBorders>
            <w:shd w:val="clear" w:color="000000" w:fill="FFFFFF"/>
            <w:vAlign w:val="center"/>
            <w:hideMark/>
          </w:tcPr>
          <w:p w14:paraId="5FEF1F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240,000</w:t>
            </w:r>
          </w:p>
        </w:tc>
        <w:tc>
          <w:tcPr>
            <w:tcW w:w="245" w:type="dxa"/>
            <w:tcBorders>
              <w:top w:val="nil"/>
              <w:left w:val="nil"/>
              <w:bottom w:val="single" w:sz="4" w:space="0" w:color="auto"/>
              <w:right w:val="single" w:sz="4" w:space="0" w:color="auto"/>
            </w:tcBorders>
            <w:shd w:val="clear" w:color="000000" w:fill="FFFFFF"/>
            <w:vAlign w:val="center"/>
            <w:hideMark/>
          </w:tcPr>
          <w:p w14:paraId="5FEF1F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240,000</w:t>
            </w:r>
          </w:p>
        </w:tc>
        <w:tc>
          <w:tcPr>
            <w:tcW w:w="275" w:type="dxa"/>
            <w:tcBorders>
              <w:top w:val="nil"/>
              <w:left w:val="nil"/>
              <w:bottom w:val="single" w:sz="4" w:space="0" w:color="auto"/>
              <w:right w:val="single" w:sz="4" w:space="0" w:color="auto"/>
            </w:tcBorders>
            <w:shd w:val="clear" w:color="000000" w:fill="FFFFFF"/>
            <w:vAlign w:val="center"/>
            <w:hideMark/>
          </w:tcPr>
          <w:p w14:paraId="5FEF1F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71,100</w:t>
            </w:r>
          </w:p>
        </w:tc>
        <w:tc>
          <w:tcPr>
            <w:tcW w:w="245" w:type="dxa"/>
            <w:tcBorders>
              <w:top w:val="nil"/>
              <w:left w:val="nil"/>
              <w:bottom w:val="single" w:sz="4" w:space="0" w:color="auto"/>
              <w:right w:val="single" w:sz="4" w:space="0" w:color="auto"/>
            </w:tcBorders>
            <w:shd w:val="clear" w:color="000000" w:fill="FFFFFF"/>
            <w:vAlign w:val="center"/>
            <w:hideMark/>
          </w:tcPr>
          <w:p w14:paraId="5FEF1F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71,100</w:t>
            </w:r>
          </w:p>
        </w:tc>
        <w:tc>
          <w:tcPr>
            <w:tcW w:w="262" w:type="dxa"/>
            <w:tcBorders>
              <w:top w:val="nil"/>
              <w:left w:val="nil"/>
              <w:bottom w:val="single" w:sz="4" w:space="0" w:color="auto"/>
              <w:right w:val="single" w:sz="8" w:space="0" w:color="auto"/>
            </w:tcBorders>
            <w:shd w:val="clear" w:color="000000" w:fill="FFFFFF"/>
            <w:vAlign w:val="center"/>
            <w:hideMark/>
          </w:tcPr>
          <w:p w14:paraId="5FEF1F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1FF8"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1FDD"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2.1.27</w:t>
            </w:r>
          </w:p>
        </w:tc>
        <w:tc>
          <w:tcPr>
            <w:tcW w:w="1301" w:type="dxa"/>
            <w:tcBorders>
              <w:top w:val="nil"/>
              <w:left w:val="nil"/>
              <w:bottom w:val="single" w:sz="4" w:space="0" w:color="auto"/>
              <w:right w:val="single" w:sz="4" w:space="0" w:color="auto"/>
            </w:tcBorders>
            <w:shd w:val="clear" w:color="auto" w:fill="auto"/>
            <w:vAlign w:val="center"/>
            <w:hideMark/>
          </w:tcPr>
          <w:p w14:paraId="5FEF1FDE" w14:textId="273F6BF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Ngritja e strukturës për të monitoruar mediat sociale lidhur me format e</w:t>
            </w:r>
            <w:r w:rsidR="007C064A" w:rsidRPr="00795698">
              <w:rPr>
                <w:rFonts w:ascii="Arial" w:hAnsi="Arial" w:cs="Arial"/>
                <w:sz w:val="6"/>
                <w:szCs w:val="6"/>
                <w:lang w:eastAsia="sq-AL"/>
              </w:rPr>
              <w:t xml:space="preserve"> </w:t>
            </w:r>
            <w:r w:rsidRPr="00795698">
              <w:rPr>
                <w:rFonts w:ascii="Arial" w:hAnsi="Arial" w:cs="Arial"/>
                <w:sz w:val="6"/>
                <w:szCs w:val="6"/>
                <w:lang w:eastAsia="sq-AL"/>
              </w:rPr>
              <w:t>shprehjes së ekstremizmit të dhunshëm, radikalizmit që çon në veprime të dhunshme, indoktrinimit, propagandës, rekrutimit dhe analiza e tyre për përgatitjen dhe zhvillimin e kundër narrativës dhe mesazheve pozitive.</w:t>
            </w:r>
          </w:p>
        </w:tc>
        <w:tc>
          <w:tcPr>
            <w:tcW w:w="498" w:type="dxa"/>
            <w:tcBorders>
              <w:top w:val="nil"/>
              <w:left w:val="nil"/>
              <w:bottom w:val="single" w:sz="4" w:space="0" w:color="auto"/>
              <w:right w:val="single" w:sz="4" w:space="0" w:color="auto"/>
            </w:tcBorders>
            <w:shd w:val="clear" w:color="000000" w:fill="FFFFFF"/>
            <w:vAlign w:val="center"/>
            <w:hideMark/>
          </w:tcPr>
          <w:p w14:paraId="5FEF1FDF" w14:textId="597F0E3B"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1F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1F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1FE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1FE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vAlign w:val="center"/>
            <w:hideMark/>
          </w:tcPr>
          <w:p w14:paraId="5FEF1F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207,500</w:t>
            </w:r>
          </w:p>
        </w:tc>
        <w:tc>
          <w:tcPr>
            <w:tcW w:w="275" w:type="dxa"/>
            <w:tcBorders>
              <w:top w:val="nil"/>
              <w:left w:val="nil"/>
              <w:bottom w:val="single" w:sz="4" w:space="0" w:color="auto"/>
              <w:right w:val="single" w:sz="4" w:space="0" w:color="auto"/>
            </w:tcBorders>
            <w:shd w:val="clear" w:color="000000" w:fill="FFFFFF"/>
            <w:vAlign w:val="center"/>
            <w:hideMark/>
          </w:tcPr>
          <w:p w14:paraId="5FEF1F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207,500</w:t>
            </w:r>
          </w:p>
        </w:tc>
        <w:tc>
          <w:tcPr>
            <w:tcW w:w="306" w:type="dxa"/>
            <w:tcBorders>
              <w:top w:val="nil"/>
              <w:left w:val="nil"/>
              <w:bottom w:val="single" w:sz="4" w:space="0" w:color="auto"/>
              <w:right w:val="single" w:sz="4" w:space="0" w:color="auto"/>
            </w:tcBorders>
            <w:shd w:val="clear" w:color="000000" w:fill="FFFFFF"/>
            <w:vAlign w:val="center"/>
            <w:hideMark/>
          </w:tcPr>
          <w:p w14:paraId="5FEF1F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207,500</w:t>
            </w:r>
          </w:p>
        </w:tc>
        <w:tc>
          <w:tcPr>
            <w:tcW w:w="245" w:type="dxa"/>
            <w:tcBorders>
              <w:top w:val="nil"/>
              <w:left w:val="nil"/>
              <w:bottom w:val="single" w:sz="4" w:space="0" w:color="auto"/>
              <w:right w:val="single" w:sz="4" w:space="0" w:color="auto"/>
            </w:tcBorders>
            <w:shd w:val="clear" w:color="000000" w:fill="FFFFFF"/>
            <w:vAlign w:val="center"/>
            <w:hideMark/>
          </w:tcPr>
          <w:p w14:paraId="5FEF1F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207,500</w:t>
            </w:r>
          </w:p>
        </w:tc>
        <w:tc>
          <w:tcPr>
            <w:tcW w:w="306" w:type="dxa"/>
            <w:tcBorders>
              <w:top w:val="nil"/>
              <w:left w:val="nil"/>
              <w:bottom w:val="single" w:sz="4" w:space="0" w:color="auto"/>
              <w:right w:val="single" w:sz="4" w:space="0" w:color="auto"/>
            </w:tcBorders>
            <w:shd w:val="clear" w:color="000000" w:fill="FFFFFF"/>
            <w:vAlign w:val="center"/>
            <w:hideMark/>
          </w:tcPr>
          <w:p w14:paraId="5FEF1F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207,500</w:t>
            </w:r>
          </w:p>
        </w:tc>
        <w:tc>
          <w:tcPr>
            <w:tcW w:w="245" w:type="dxa"/>
            <w:tcBorders>
              <w:top w:val="nil"/>
              <w:left w:val="nil"/>
              <w:bottom w:val="single" w:sz="4" w:space="0" w:color="auto"/>
              <w:right w:val="single" w:sz="4" w:space="0" w:color="auto"/>
            </w:tcBorders>
            <w:shd w:val="clear" w:color="000000" w:fill="FFFFFF"/>
            <w:vAlign w:val="center"/>
            <w:hideMark/>
          </w:tcPr>
          <w:p w14:paraId="5FEF1F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207,500</w:t>
            </w:r>
          </w:p>
        </w:tc>
        <w:tc>
          <w:tcPr>
            <w:tcW w:w="306" w:type="dxa"/>
            <w:tcBorders>
              <w:top w:val="nil"/>
              <w:left w:val="nil"/>
              <w:bottom w:val="single" w:sz="4" w:space="0" w:color="auto"/>
              <w:right w:val="single" w:sz="4" w:space="0" w:color="auto"/>
            </w:tcBorders>
            <w:shd w:val="clear" w:color="000000" w:fill="FFFFFF"/>
            <w:vAlign w:val="center"/>
            <w:hideMark/>
          </w:tcPr>
          <w:p w14:paraId="5FEF1F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622,500</w:t>
            </w:r>
          </w:p>
        </w:tc>
        <w:tc>
          <w:tcPr>
            <w:tcW w:w="275" w:type="dxa"/>
            <w:tcBorders>
              <w:top w:val="nil"/>
              <w:left w:val="nil"/>
              <w:bottom w:val="single" w:sz="4" w:space="0" w:color="auto"/>
              <w:right w:val="single" w:sz="4" w:space="0" w:color="auto"/>
            </w:tcBorders>
            <w:shd w:val="clear" w:color="000000" w:fill="FFFFFF"/>
            <w:vAlign w:val="center"/>
            <w:hideMark/>
          </w:tcPr>
          <w:p w14:paraId="5FEF1F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622,500</w:t>
            </w:r>
          </w:p>
        </w:tc>
        <w:tc>
          <w:tcPr>
            <w:tcW w:w="306" w:type="dxa"/>
            <w:tcBorders>
              <w:top w:val="nil"/>
              <w:left w:val="nil"/>
              <w:bottom w:val="single" w:sz="4" w:space="0" w:color="auto"/>
              <w:right w:val="single" w:sz="4" w:space="0" w:color="auto"/>
            </w:tcBorders>
            <w:shd w:val="clear" w:color="000000" w:fill="FFFFFF"/>
            <w:vAlign w:val="center"/>
            <w:hideMark/>
          </w:tcPr>
          <w:p w14:paraId="5FEF1F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510,000</w:t>
            </w:r>
          </w:p>
        </w:tc>
        <w:tc>
          <w:tcPr>
            <w:tcW w:w="245" w:type="dxa"/>
            <w:tcBorders>
              <w:top w:val="nil"/>
              <w:left w:val="nil"/>
              <w:bottom w:val="single" w:sz="4" w:space="0" w:color="auto"/>
              <w:right w:val="single" w:sz="4" w:space="0" w:color="auto"/>
            </w:tcBorders>
            <w:shd w:val="clear" w:color="000000" w:fill="FFFFFF"/>
            <w:vAlign w:val="center"/>
            <w:hideMark/>
          </w:tcPr>
          <w:p w14:paraId="5FEF1F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1F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510,000</w:t>
            </w:r>
          </w:p>
        </w:tc>
        <w:tc>
          <w:tcPr>
            <w:tcW w:w="275" w:type="dxa"/>
            <w:tcBorders>
              <w:top w:val="nil"/>
              <w:left w:val="nil"/>
              <w:bottom w:val="single" w:sz="4" w:space="0" w:color="auto"/>
              <w:right w:val="single" w:sz="4" w:space="0" w:color="auto"/>
            </w:tcBorders>
            <w:shd w:val="clear" w:color="000000" w:fill="FFFFFF"/>
            <w:vAlign w:val="center"/>
            <w:hideMark/>
          </w:tcPr>
          <w:p w14:paraId="5FEF1F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112,500</w:t>
            </w:r>
          </w:p>
        </w:tc>
        <w:tc>
          <w:tcPr>
            <w:tcW w:w="245" w:type="dxa"/>
            <w:tcBorders>
              <w:top w:val="nil"/>
              <w:left w:val="nil"/>
              <w:bottom w:val="single" w:sz="4" w:space="0" w:color="auto"/>
              <w:right w:val="single" w:sz="4" w:space="0" w:color="auto"/>
            </w:tcBorders>
            <w:shd w:val="clear" w:color="000000" w:fill="FFFFFF"/>
            <w:vAlign w:val="center"/>
            <w:hideMark/>
          </w:tcPr>
          <w:p w14:paraId="5FEF1F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1F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1F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112,500</w:t>
            </w:r>
          </w:p>
        </w:tc>
        <w:tc>
          <w:tcPr>
            <w:tcW w:w="262" w:type="dxa"/>
            <w:tcBorders>
              <w:top w:val="nil"/>
              <w:left w:val="nil"/>
              <w:bottom w:val="single" w:sz="4" w:space="0" w:color="auto"/>
              <w:right w:val="single" w:sz="8" w:space="0" w:color="auto"/>
            </w:tcBorders>
            <w:shd w:val="clear" w:color="000000" w:fill="FFFFFF"/>
            <w:vAlign w:val="center"/>
            <w:hideMark/>
          </w:tcPr>
          <w:p w14:paraId="5FEF1F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014"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F2F2F2"/>
            <w:vAlign w:val="center"/>
            <w:hideMark/>
          </w:tcPr>
          <w:p w14:paraId="5FEF1FF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F2F2F2"/>
            <w:vAlign w:val="center"/>
            <w:hideMark/>
          </w:tcPr>
          <w:p w14:paraId="5FEF1FFA"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2.1</w:t>
            </w:r>
          </w:p>
        </w:tc>
        <w:tc>
          <w:tcPr>
            <w:tcW w:w="498" w:type="dxa"/>
            <w:tcBorders>
              <w:top w:val="nil"/>
              <w:left w:val="nil"/>
              <w:bottom w:val="single" w:sz="4" w:space="0" w:color="auto"/>
              <w:right w:val="single" w:sz="4" w:space="0" w:color="auto"/>
            </w:tcBorders>
            <w:shd w:val="clear" w:color="000000" w:fill="F2F2F2"/>
            <w:vAlign w:val="center"/>
            <w:hideMark/>
          </w:tcPr>
          <w:p w14:paraId="5FEF1F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F2F2F2"/>
            <w:vAlign w:val="center"/>
            <w:hideMark/>
          </w:tcPr>
          <w:p w14:paraId="5FEF1FF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578" w:type="dxa"/>
            <w:tcBorders>
              <w:top w:val="nil"/>
              <w:left w:val="nil"/>
              <w:bottom w:val="single" w:sz="4" w:space="0" w:color="auto"/>
              <w:right w:val="single" w:sz="4" w:space="0" w:color="auto"/>
            </w:tcBorders>
            <w:shd w:val="clear" w:color="000000" w:fill="F2F2F2"/>
            <w:vAlign w:val="center"/>
            <w:hideMark/>
          </w:tcPr>
          <w:p w14:paraId="5FEF1FF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7" w:type="dxa"/>
            <w:tcBorders>
              <w:top w:val="nil"/>
              <w:left w:val="nil"/>
              <w:bottom w:val="single" w:sz="4" w:space="0" w:color="auto"/>
              <w:right w:val="single" w:sz="4" w:space="0" w:color="auto"/>
            </w:tcBorders>
            <w:shd w:val="clear" w:color="000000" w:fill="F2F2F2"/>
            <w:vAlign w:val="center"/>
            <w:hideMark/>
          </w:tcPr>
          <w:p w14:paraId="5FEF1FF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000000" w:fill="F2F2F2"/>
            <w:vAlign w:val="center"/>
            <w:hideMark/>
          </w:tcPr>
          <w:p w14:paraId="5FEF1FF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2F2F2"/>
            <w:vAlign w:val="center"/>
            <w:hideMark/>
          </w:tcPr>
          <w:p w14:paraId="5FEF200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275" w:type="dxa"/>
            <w:tcBorders>
              <w:top w:val="nil"/>
              <w:left w:val="nil"/>
              <w:bottom w:val="single" w:sz="4" w:space="0" w:color="auto"/>
              <w:right w:val="single" w:sz="4" w:space="0" w:color="auto"/>
            </w:tcBorders>
            <w:shd w:val="clear" w:color="000000" w:fill="F2F2F2"/>
            <w:vAlign w:val="center"/>
            <w:hideMark/>
          </w:tcPr>
          <w:p w14:paraId="5FEF200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F2F2F2"/>
            <w:vAlign w:val="center"/>
            <w:hideMark/>
          </w:tcPr>
          <w:p w14:paraId="5FEF200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3,665,560</w:t>
            </w:r>
          </w:p>
        </w:tc>
        <w:tc>
          <w:tcPr>
            <w:tcW w:w="306" w:type="dxa"/>
            <w:tcBorders>
              <w:top w:val="nil"/>
              <w:left w:val="nil"/>
              <w:bottom w:val="single" w:sz="4" w:space="0" w:color="auto"/>
              <w:right w:val="single" w:sz="4" w:space="0" w:color="auto"/>
            </w:tcBorders>
            <w:shd w:val="clear" w:color="000000" w:fill="F2F2F2"/>
            <w:vAlign w:val="center"/>
            <w:hideMark/>
          </w:tcPr>
          <w:p w14:paraId="5FEF200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245" w:type="dxa"/>
            <w:tcBorders>
              <w:top w:val="nil"/>
              <w:left w:val="nil"/>
              <w:bottom w:val="single" w:sz="4" w:space="0" w:color="auto"/>
              <w:right w:val="single" w:sz="4" w:space="0" w:color="auto"/>
            </w:tcBorders>
            <w:shd w:val="clear" w:color="000000" w:fill="F2F2F2"/>
            <w:vAlign w:val="center"/>
            <w:hideMark/>
          </w:tcPr>
          <w:p w14:paraId="5FEF200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F2F2F2"/>
            <w:vAlign w:val="center"/>
            <w:hideMark/>
          </w:tcPr>
          <w:p w14:paraId="5FEF200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306" w:type="dxa"/>
            <w:tcBorders>
              <w:top w:val="nil"/>
              <w:left w:val="nil"/>
              <w:bottom w:val="single" w:sz="4" w:space="0" w:color="auto"/>
              <w:right w:val="single" w:sz="4" w:space="0" w:color="auto"/>
            </w:tcBorders>
            <w:shd w:val="clear" w:color="000000" w:fill="F2F2F2"/>
            <w:vAlign w:val="center"/>
            <w:hideMark/>
          </w:tcPr>
          <w:p w14:paraId="5FEF200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245" w:type="dxa"/>
            <w:tcBorders>
              <w:top w:val="nil"/>
              <w:left w:val="nil"/>
              <w:bottom w:val="single" w:sz="4" w:space="0" w:color="auto"/>
              <w:right w:val="single" w:sz="4" w:space="0" w:color="auto"/>
            </w:tcBorders>
            <w:shd w:val="clear" w:color="000000" w:fill="F2F2F2"/>
            <w:vAlign w:val="center"/>
            <w:hideMark/>
          </w:tcPr>
          <w:p w14:paraId="5FEF200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F2F2F2"/>
            <w:vAlign w:val="center"/>
            <w:hideMark/>
          </w:tcPr>
          <w:p w14:paraId="5FEF200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306" w:type="dxa"/>
            <w:tcBorders>
              <w:top w:val="nil"/>
              <w:left w:val="nil"/>
              <w:bottom w:val="single" w:sz="4" w:space="0" w:color="auto"/>
              <w:right w:val="single" w:sz="4" w:space="0" w:color="auto"/>
            </w:tcBorders>
            <w:shd w:val="clear" w:color="000000" w:fill="F2F2F2"/>
            <w:vAlign w:val="center"/>
            <w:hideMark/>
          </w:tcPr>
          <w:p w14:paraId="5FEF200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9,496,679</w:t>
            </w:r>
          </w:p>
        </w:tc>
        <w:tc>
          <w:tcPr>
            <w:tcW w:w="275" w:type="dxa"/>
            <w:tcBorders>
              <w:top w:val="nil"/>
              <w:left w:val="nil"/>
              <w:bottom w:val="single" w:sz="4" w:space="0" w:color="auto"/>
              <w:right w:val="single" w:sz="4" w:space="0" w:color="auto"/>
            </w:tcBorders>
            <w:shd w:val="clear" w:color="000000" w:fill="F2F2F2"/>
            <w:vAlign w:val="center"/>
            <w:hideMark/>
          </w:tcPr>
          <w:p w14:paraId="5FEF200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F2F2F2"/>
            <w:vAlign w:val="center"/>
            <w:hideMark/>
          </w:tcPr>
          <w:p w14:paraId="5FEF200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9,996,679</w:t>
            </w:r>
          </w:p>
        </w:tc>
        <w:tc>
          <w:tcPr>
            <w:tcW w:w="306" w:type="dxa"/>
            <w:tcBorders>
              <w:top w:val="nil"/>
              <w:left w:val="nil"/>
              <w:bottom w:val="single" w:sz="4" w:space="0" w:color="auto"/>
              <w:right w:val="single" w:sz="4" w:space="0" w:color="auto"/>
            </w:tcBorders>
            <w:shd w:val="clear" w:color="000000" w:fill="F2F2F2"/>
            <w:vAlign w:val="center"/>
            <w:hideMark/>
          </w:tcPr>
          <w:p w14:paraId="5FEF200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9,146,399</w:t>
            </w:r>
          </w:p>
        </w:tc>
        <w:tc>
          <w:tcPr>
            <w:tcW w:w="245" w:type="dxa"/>
            <w:tcBorders>
              <w:top w:val="nil"/>
              <w:left w:val="nil"/>
              <w:bottom w:val="single" w:sz="4" w:space="0" w:color="auto"/>
              <w:right w:val="single" w:sz="4" w:space="0" w:color="auto"/>
            </w:tcBorders>
            <w:shd w:val="clear" w:color="000000" w:fill="F2F2F2"/>
            <w:vAlign w:val="center"/>
            <w:hideMark/>
          </w:tcPr>
          <w:p w14:paraId="5FEF200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F2F2F2"/>
            <w:vAlign w:val="center"/>
            <w:hideMark/>
          </w:tcPr>
          <w:p w14:paraId="5FEF200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9,146,399</w:t>
            </w:r>
          </w:p>
        </w:tc>
        <w:tc>
          <w:tcPr>
            <w:tcW w:w="275" w:type="dxa"/>
            <w:tcBorders>
              <w:top w:val="nil"/>
              <w:left w:val="nil"/>
              <w:bottom w:val="single" w:sz="4" w:space="0" w:color="auto"/>
              <w:right w:val="single" w:sz="4" w:space="0" w:color="auto"/>
            </w:tcBorders>
            <w:shd w:val="clear" w:color="000000" w:fill="F2F2F2"/>
            <w:vAlign w:val="center"/>
            <w:hideMark/>
          </w:tcPr>
          <w:p w14:paraId="5FEF200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850,280</w:t>
            </w:r>
          </w:p>
        </w:tc>
        <w:tc>
          <w:tcPr>
            <w:tcW w:w="245" w:type="dxa"/>
            <w:tcBorders>
              <w:top w:val="nil"/>
              <w:left w:val="nil"/>
              <w:bottom w:val="single" w:sz="4" w:space="0" w:color="auto"/>
              <w:right w:val="single" w:sz="4" w:space="0" w:color="auto"/>
            </w:tcBorders>
            <w:shd w:val="clear" w:color="000000" w:fill="F2F2F2"/>
            <w:vAlign w:val="center"/>
            <w:hideMark/>
          </w:tcPr>
          <w:p w14:paraId="5FEF201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F2F2F2"/>
            <w:vAlign w:val="center"/>
            <w:hideMark/>
          </w:tcPr>
          <w:p w14:paraId="5FEF201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F2F2F2"/>
            <w:vAlign w:val="center"/>
            <w:hideMark/>
          </w:tcPr>
          <w:p w14:paraId="5FEF201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850,280</w:t>
            </w:r>
          </w:p>
        </w:tc>
        <w:tc>
          <w:tcPr>
            <w:tcW w:w="262" w:type="dxa"/>
            <w:tcBorders>
              <w:top w:val="nil"/>
              <w:left w:val="nil"/>
              <w:bottom w:val="single" w:sz="4" w:space="0" w:color="auto"/>
              <w:right w:val="single" w:sz="4" w:space="0" w:color="auto"/>
            </w:tcBorders>
            <w:shd w:val="clear" w:color="000000" w:fill="F2F2F2"/>
            <w:vAlign w:val="center"/>
            <w:hideMark/>
          </w:tcPr>
          <w:p w14:paraId="5FEF201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2030"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201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2016"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2</w:t>
            </w:r>
          </w:p>
        </w:tc>
        <w:tc>
          <w:tcPr>
            <w:tcW w:w="498" w:type="dxa"/>
            <w:tcBorders>
              <w:top w:val="nil"/>
              <w:left w:val="nil"/>
              <w:bottom w:val="single" w:sz="4" w:space="0" w:color="auto"/>
              <w:right w:val="single" w:sz="4" w:space="0" w:color="auto"/>
            </w:tcBorders>
            <w:shd w:val="clear" w:color="000000" w:fill="D9D9D9"/>
            <w:vAlign w:val="center"/>
            <w:hideMark/>
          </w:tcPr>
          <w:p w14:paraId="5FEF20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201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2019"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201A"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201B"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201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275" w:type="dxa"/>
            <w:tcBorders>
              <w:top w:val="nil"/>
              <w:left w:val="nil"/>
              <w:bottom w:val="single" w:sz="4" w:space="0" w:color="auto"/>
              <w:right w:val="single" w:sz="4" w:space="0" w:color="auto"/>
            </w:tcBorders>
            <w:shd w:val="clear" w:color="000000" w:fill="D9D9D9"/>
            <w:vAlign w:val="center"/>
            <w:hideMark/>
          </w:tcPr>
          <w:p w14:paraId="5FEF201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D9D9D9"/>
            <w:vAlign w:val="center"/>
            <w:hideMark/>
          </w:tcPr>
          <w:p w14:paraId="5FEF201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3,665,560</w:t>
            </w:r>
          </w:p>
        </w:tc>
        <w:tc>
          <w:tcPr>
            <w:tcW w:w="306" w:type="dxa"/>
            <w:tcBorders>
              <w:top w:val="nil"/>
              <w:left w:val="nil"/>
              <w:bottom w:val="single" w:sz="4" w:space="0" w:color="auto"/>
              <w:right w:val="single" w:sz="4" w:space="0" w:color="auto"/>
            </w:tcBorders>
            <w:shd w:val="clear" w:color="000000" w:fill="D9D9D9"/>
            <w:vAlign w:val="center"/>
            <w:hideMark/>
          </w:tcPr>
          <w:p w14:paraId="5FEF201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245" w:type="dxa"/>
            <w:tcBorders>
              <w:top w:val="nil"/>
              <w:left w:val="nil"/>
              <w:bottom w:val="single" w:sz="4" w:space="0" w:color="auto"/>
              <w:right w:val="single" w:sz="4" w:space="0" w:color="auto"/>
            </w:tcBorders>
            <w:shd w:val="clear" w:color="000000" w:fill="D9D9D9"/>
            <w:vAlign w:val="center"/>
            <w:hideMark/>
          </w:tcPr>
          <w:p w14:paraId="5FEF202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02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306" w:type="dxa"/>
            <w:tcBorders>
              <w:top w:val="nil"/>
              <w:left w:val="nil"/>
              <w:bottom w:val="single" w:sz="4" w:space="0" w:color="auto"/>
              <w:right w:val="single" w:sz="4" w:space="0" w:color="auto"/>
            </w:tcBorders>
            <w:shd w:val="clear" w:color="000000" w:fill="D9D9D9"/>
            <w:vAlign w:val="center"/>
            <w:hideMark/>
          </w:tcPr>
          <w:p w14:paraId="5FEF202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245" w:type="dxa"/>
            <w:tcBorders>
              <w:top w:val="nil"/>
              <w:left w:val="nil"/>
              <w:bottom w:val="single" w:sz="4" w:space="0" w:color="auto"/>
              <w:right w:val="single" w:sz="4" w:space="0" w:color="auto"/>
            </w:tcBorders>
            <w:shd w:val="clear" w:color="000000" w:fill="D9D9D9"/>
            <w:vAlign w:val="center"/>
            <w:hideMark/>
          </w:tcPr>
          <w:p w14:paraId="5FEF202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02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3,165,560</w:t>
            </w:r>
          </w:p>
        </w:tc>
        <w:tc>
          <w:tcPr>
            <w:tcW w:w="306" w:type="dxa"/>
            <w:tcBorders>
              <w:top w:val="nil"/>
              <w:left w:val="nil"/>
              <w:bottom w:val="single" w:sz="4" w:space="0" w:color="auto"/>
              <w:right w:val="single" w:sz="4" w:space="0" w:color="auto"/>
            </w:tcBorders>
            <w:shd w:val="clear" w:color="000000" w:fill="D9D9D9"/>
            <w:vAlign w:val="center"/>
            <w:hideMark/>
          </w:tcPr>
          <w:p w14:paraId="5FEF202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9,496,679</w:t>
            </w:r>
          </w:p>
        </w:tc>
        <w:tc>
          <w:tcPr>
            <w:tcW w:w="275" w:type="dxa"/>
            <w:tcBorders>
              <w:top w:val="nil"/>
              <w:left w:val="nil"/>
              <w:bottom w:val="single" w:sz="4" w:space="0" w:color="auto"/>
              <w:right w:val="single" w:sz="4" w:space="0" w:color="auto"/>
            </w:tcBorders>
            <w:shd w:val="clear" w:color="000000" w:fill="D9D9D9"/>
            <w:vAlign w:val="center"/>
            <w:hideMark/>
          </w:tcPr>
          <w:p w14:paraId="5FEF202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D9D9D9"/>
            <w:vAlign w:val="center"/>
            <w:hideMark/>
          </w:tcPr>
          <w:p w14:paraId="5FEF202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9,996,679</w:t>
            </w:r>
          </w:p>
        </w:tc>
        <w:tc>
          <w:tcPr>
            <w:tcW w:w="306" w:type="dxa"/>
            <w:tcBorders>
              <w:top w:val="nil"/>
              <w:left w:val="nil"/>
              <w:bottom w:val="single" w:sz="4" w:space="0" w:color="auto"/>
              <w:right w:val="single" w:sz="4" w:space="0" w:color="auto"/>
            </w:tcBorders>
            <w:shd w:val="clear" w:color="000000" w:fill="D9D9D9"/>
            <w:vAlign w:val="center"/>
            <w:hideMark/>
          </w:tcPr>
          <w:p w14:paraId="5FEF202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9,146,399</w:t>
            </w:r>
          </w:p>
        </w:tc>
        <w:tc>
          <w:tcPr>
            <w:tcW w:w="245" w:type="dxa"/>
            <w:tcBorders>
              <w:top w:val="nil"/>
              <w:left w:val="nil"/>
              <w:bottom w:val="single" w:sz="4" w:space="0" w:color="auto"/>
              <w:right w:val="single" w:sz="4" w:space="0" w:color="auto"/>
            </w:tcBorders>
            <w:shd w:val="clear" w:color="000000" w:fill="D9D9D9"/>
            <w:vAlign w:val="center"/>
            <w:hideMark/>
          </w:tcPr>
          <w:p w14:paraId="5FEF202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02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9,146,399</w:t>
            </w:r>
          </w:p>
        </w:tc>
        <w:tc>
          <w:tcPr>
            <w:tcW w:w="275" w:type="dxa"/>
            <w:tcBorders>
              <w:top w:val="nil"/>
              <w:left w:val="nil"/>
              <w:bottom w:val="single" w:sz="4" w:space="0" w:color="auto"/>
              <w:right w:val="single" w:sz="4" w:space="0" w:color="auto"/>
            </w:tcBorders>
            <w:shd w:val="clear" w:color="000000" w:fill="D9D9D9"/>
            <w:vAlign w:val="center"/>
            <w:hideMark/>
          </w:tcPr>
          <w:p w14:paraId="5FEF202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850,280</w:t>
            </w:r>
          </w:p>
        </w:tc>
        <w:tc>
          <w:tcPr>
            <w:tcW w:w="245" w:type="dxa"/>
            <w:tcBorders>
              <w:top w:val="nil"/>
              <w:left w:val="nil"/>
              <w:bottom w:val="single" w:sz="4" w:space="0" w:color="auto"/>
              <w:right w:val="single" w:sz="4" w:space="0" w:color="auto"/>
            </w:tcBorders>
            <w:shd w:val="clear" w:color="000000" w:fill="D9D9D9"/>
            <w:vAlign w:val="center"/>
            <w:hideMark/>
          </w:tcPr>
          <w:p w14:paraId="5FEF202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202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202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850,280</w:t>
            </w:r>
          </w:p>
        </w:tc>
        <w:tc>
          <w:tcPr>
            <w:tcW w:w="262" w:type="dxa"/>
            <w:tcBorders>
              <w:top w:val="nil"/>
              <w:left w:val="nil"/>
              <w:bottom w:val="single" w:sz="4" w:space="0" w:color="auto"/>
              <w:right w:val="single" w:sz="4" w:space="0" w:color="auto"/>
            </w:tcBorders>
            <w:shd w:val="clear" w:color="000000" w:fill="D9D9D9"/>
            <w:vAlign w:val="center"/>
            <w:hideMark/>
          </w:tcPr>
          <w:p w14:paraId="5FEF202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2032" w14:textId="77777777" w:rsidTr="002117FE">
        <w:trPr>
          <w:trHeight w:val="180"/>
          <w:jc w:val="center"/>
        </w:trPr>
        <w:tc>
          <w:tcPr>
            <w:tcW w:w="9390" w:type="dxa"/>
            <w:gridSpan w:val="27"/>
            <w:tcBorders>
              <w:top w:val="single" w:sz="4" w:space="0" w:color="auto"/>
              <w:left w:val="single" w:sz="8" w:space="0" w:color="auto"/>
              <w:bottom w:val="single" w:sz="4" w:space="0" w:color="auto"/>
              <w:right w:val="single" w:sz="8" w:space="0" w:color="000000"/>
            </w:tcBorders>
            <w:shd w:val="clear" w:color="000000" w:fill="E2EFDA"/>
            <w:vAlign w:val="center"/>
            <w:hideMark/>
          </w:tcPr>
          <w:p w14:paraId="5FEF2031"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 QËLLIMI STRATEGJIK: LUFTA KUNDËR KRIMIT TË ORGANIZUAR, TERRORIZMIT DHE TRAFIKIMIT</w:t>
            </w:r>
          </w:p>
        </w:tc>
      </w:tr>
      <w:tr w:rsidR="002117FE" w:rsidRPr="00795698" w14:paraId="5FEF2034" w14:textId="77777777" w:rsidTr="002117FE">
        <w:trPr>
          <w:trHeight w:val="180"/>
          <w:jc w:val="center"/>
        </w:trPr>
        <w:tc>
          <w:tcPr>
            <w:tcW w:w="9390" w:type="dxa"/>
            <w:gridSpan w:val="27"/>
            <w:tcBorders>
              <w:top w:val="single" w:sz="4" w:space="0" w:color="auto"/>
              <w:left w:val="single" w:sz="8" w:space="0" w:color="auto"/>
              <w:bottom w:val="single" w:sz="4" w:space="0" w:color="auto"/>
              <w:right w:val="single" w:sz="8" w:space="0" w:color="000000"/>
            </w:tcBorders>
            <w:shd w:val="clear" w:color="000000" w:fill="FCE4D6"/>
            <w:vAlign w:val="center"/>
            <w:hideMark/>
          </w:tcPr>
          <w:p w14:paraId="5FEF2033"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I.1 QASJA PARANDALUESE: PARANDALIMI I TERRORIZMIT DHE RADIKALIZIMIT QË ÇON NË TERRORIZËM PËRMES SINJALIZIMIT TË HERSHËM</w:t>
            </w:r>
          </w:p>
        </w:tc>
      </w:tr>
      <w:tr w:rsidR="002117FE" w:rsidRPr="00795698" w14:paraId="5FEF2036" w14:textId="77777777" w:rsidTr="002117FE">
        <w:trPr>
          <w:trHeight w:val="180"/>
          <w:jc w:val="center"/>
        </w:trPr>
        <w:tc>
          <w:tcPr>
            <w:tcW w:w="9390" w:type="dxa"/>
            <w:gridSpan w:val="27"/>
            <w:tcBorders>
              <w:top w:val="single" w:sz="4" w:space="0" w:color="auto"/>
              <w:left w:val="single" w:sz="8" w:space="0" w:color="auto"/>
              <w:bottom w:val="single" w:sz="4" w:space="0" w:color="auto"/>
              <w:right w:val="single" w:sz="8" w:space="0" w:color="000000"/>
            </w:tcBorders>
            <w:shd w:val="clear" w:color="000000" w:fill="F2F2F2"/>
            <w:vAlign w:val="center"/>
            <w:hideMark/>
          </w:tcPr>
          <w:p w14:paraId="5FEF2035"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QËLLIMI I POLITIKËS III: Reagim nëpërmjet reduktimit dhe lehtësimit të pasojave të fenomeneve të radikalizmit, ekstremizmit të dhunshëm dhe terrorizmit</w:t>
            </w:r>
          </w:p>
        </w:tc>
      </w:tr>
      <w:tr w:rsidR="002117FE" w:rsidRPr="00795698" w14:paraId="5FEF2038" w14:textId="77777777" w:rsidTr="002117FE">
        <w:trPr>
          <w:trHeight w:val="180"/>
          <w:jc w:val="center"/>
        </w:trPr>
        <w:tc>
          <w:tcPr>
            <w:tcW w:w="9390" w:type="dxa"/>
            <w:gridSpan w:val="27"/>
            <w:tcBorders>
              <w:top w:val="single" w:sz="4" w:space="0" w:color="auto"/>
              <w:left w:val="single" w:sz="8" w:space="0" w:color="auto"/>
              <w:bottom w:val="nil"/>
              <w:right w:val="single" w:sz="8" w:space="0" w:color="000000"/>
            </w:tcBorders>
            <w:shd w:val="clear" w:color="000000" w:fill="FFFF00"/>
            <w:vAlign w:val="center"/>
            <w:hideMark/>
          </w:tcPr>
          <w:p w14:paraId="5FEF2037" w14:textId="2DA4621F"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III. PROGRAMI/ET BUXHETORE</w:t>
            </w:r>
            <w:r w:rsidR="007C064A" w:rsidRPr="00795698">
              <w:rPr>
                <w:rFonts w:ascii="Arial" w:hAnsi="Arial" w:cs="Arial"/>
                <w:b/>
                <w:bCs/>
                <w:sz w:val="6"/>
                <w:szCs w:val="6"/>
                <w:lang w:eastAsia="sq-AL"/>
              </w:rPr>
              <w:t xml:space="preserve"> </w:t>
            </w:r>
            <w:r w:rsidRPr="00795698">
              <w:rPr>
                <w:rFonts w:ascii="Arial" w:hAnsi="Arial" w:cs="Arial"/>
                <w:b/>
                <w:bCs/>
                <w:sz w:val="6"/>
                <w:szCs w:val="6"/>
                <w:lang w:eastAsia="sq-AL"/>
              </w:rPr>
              <w:t>Programi Buxhetor "Planifikimi, Menaxhimi dhe Administrimi" Kodi i programit 01110; Programi buxhetor "Prefekturat dhe Funksionet e Deleguara", Kodi i Programit 01160;</w:t>
            </w:r>
          </w:p>
        </w:tc>
      </w:tr>
      <w:tr w:rsidR="002117FE" w:rsidRPr="00795698" w14:paraId="5FEF2044" w14:textId="77777777" w:rsidTr="002117FE">
        <w:trPr>
          <w:trHeight w:val="180"/>
          <w:jc w:val="center"/>
        </w:trPr>
        <w:tc>
          <w:tcPr>
            <w:tcW w:w="182"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14:paraId="5FEF203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Nr.</w:t>
            </w:r>
          </w:p>
        </w:tc>
        <w:tc>
          <w:tcPr>
            <w:tcW w:w="13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EF203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Titulli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20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w:t>
            </w:r>
          </w:p>
        </w:tc>
        <w:tc>
          <w:tcPr>
            <w:tcW w:w="1076" w:type="dxa"/>
            <w:gridSpan w:val="2"/>
            <w:tcBorders>
              <w:top w:val="single" w:sz="4" w:space="0" w:color="auto"/>
              <w:left w:val="nil"/>
              <w:bottom w:val="single" w:sz="4" w:space="0" w:color="auto"/>
              <w:right w:val="single" w:sz="4" w:space="0" w:color="000000"/>
            </w:tcBorders>
            <w:shd w:val="clear" w:color="auto" w:fill="auto"/>
            <w:vAlign w:val="center"/>
            <w:hideMark/>
          </w:tcPr>
          <w:p w14:paraId="5FEF203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Institucionet përgjegjegjëse</w:t>
            </w:r>
          </w:p>
        </w:tc>
        <w:tc>
          <w:tcPr>
            <w:tcW w:w="467" w:type="dxa"/>
            <w:gridSpan w:val="2"/>
            <w:tcBorders>
              <w:top w:val="single" w:sz="4" w:space="0" w:color="auto"/>
              <w:left w:val="nil"/>
              <w:bottom w:val="single" w:sz="4" w:space="0" w:color="auto"/>
              <w:right w:val="single" w:sz="4" w:space="0" w:color="000000"/>
            </w:tcBorders>
            <w:shd w:val="clear" w:color="auto" w:fill="auto"/>
            <w:vAlign w:val="center"/>
            <w:hideMark/>
          </w:tcPr>
          <w:p w14:paraId="5FEF203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Afati i Zbatimit </w:t>
            </w:r>
          </w:p>
        </w:tc>
        <w:tc>
          <w:tcPr>
            <w:tcW w:w="88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EF203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indikative/2023</w:t>
            </w:r>
          </w:p>
        </w:tc>
        <w:tc>
          <w:tcPr>
            <w:tcW w:w="85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EF203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indikative/2024</w:t>
            </w:r>
          </w:p>
        </w:tc>
        <w:tc>
          <w:tcPr>
            <w:tcW w:w="857" w:type="dxa"/>
            <w:gridSpan w:val="3"/>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14:paraId="5FEF204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indikative/2025</w:t>
            </w:r>
          </w:p>
        </w:tc>
        <w:tc>
          <w:tcPr>
            <w:tcW w:w="88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204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Kosto indikative Totale</w:t>
            </w:r>
          </w:p>
        </w:tc>
        <w:tc>
          <w:tcPr>
            <w:tcW w:w="2116" w:type="dxa"/>
            <w:gridSpan w:val="7"/>
            <w:tcBorders>
              <w:top w:val="single" w:sz="8" w:space="0" w:color="auto"/>
              <w:left w:val="nil"/>
              <w:bottom w:val="single" w:sz="8" w:space="0" w:color="auto"/>
              <w:right w:val="single" w:sz="8" w:space="0" w:color="000000"/>
            </w:tcBorders>
            <w:shd w:val="clear" w:color="auto" w:fill="auto"/>
            <w:vAlign w:val="center"/>
            <w:hideMark/>
          </w:tcPr>
          <w:p w14:paraId="5FEF204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2"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14:paraId="5FEF204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Hendeku financiar </w:t>
            </w:r>
          </w:p>
        </w:tc>
      </w:tr>
      <w:tr w:rsidR="002117FE" w:rsidRPr="00795698" w14:paraId="5FEF2053" w14:textId="77777777" w:rsidTr="002117FE">
        <w:trPr>
          <w:trHeight w:val="180"/>
          <w:jc w:val="center"/>
        </w:trPr>
        <w:tc>
          <w:tcPr>
            <w:tcW w:w="182" w:type="dxa"/>
            <w:vMerge/>
            <w:tcBorders>
              <w:top w:val="single" w:sz="4" w:space="0" w:color="auto"/>
              <w:left w:val="single" w:sz="8" w:space="0" w:color="auto"/>
              <w:bottom w:val="single" w:sz="4" w:space="0" w:color="000000"/>
              <w:right w:val="single" w:sz="4" w:space="0" w:color="auto"/>
            </w:tcBorders>
            <w:vAlign w:val="center"/>
            <w:hideMark/>
          </w:tcPr>
          <w:p w14:paraId="5FEF2045" w14:textId="77777777" w:rsidR="002117FE" w:rsidRPr="00795698" w:rsidRDefault="002117FE" w:rsidP="002117FE">
            <w:pPr>
              <w:rPr>
                <w:rFonts w:ascii="Arial" w:hAnsi="Arial" w:cs="Arial"/>
                <w:b/>
                <w:bCs/>
                <w:color w:val="000000"/>
                <w:sz w:val="6"/>
                <w:szCs w:val="6"/>
                <w:lang w:eastAsia="sq-AL"/>
              </w:rPr>
            </w:pPr>
          </w:p>
        </w:tc>
        <w:tc>
          <w:tcPr>
            <w:tcW w:w="1301" w:type="dxa"/>
            <w:vMerge/>
            <w:tcBorders>
              <w:top w:val="single" w:sz="4" w:space="0" w:color="auto"/>
              <w:left w:val="single" w:sz="4" w:space="0" w:color="auto"/>
              <w:bottom w:val="single" w:sz="4" w:space="0" w:color="000000"/>
              <w:right w:val="single" w:sz="4" w:space="0" w:color="auto"/>
            </w:tcBorders>
            <w:vAlign w:val="center"/>
            <w:hideMark/>
          </w:tcPr>
          <w:p w14:paraId="5FEF2046" w14:textId="77777777" w:rsidR="002117FE" w:rsidRPr="00795698" w:rsidRDefault="002117FE" w:rsidP="002117FE">
            <w:pPr>
              <w:rPr>
                <w:rFonts w:ascii="Arial" w:hAnsi="Arial" w:cs="Arial"/>
                <w:b/>
                <w:bCs/>
                <w:color w:val="000000"/>
                <w:sz w:val="6"/>
                <w:szCs w:val="6"/>
                <w:lang w:eastAsia="sq-AL"/>
              </w:rPr>
            </w:pPr>
          </w:p>
        </w:tc>
        <w:tc>
          <w:tcPr>
            <w:tcW w:w="498" w:type="dxa"/>
            <w:vMerge w:val="restart"/>
            <w:tcBorders>
              <w:top w:val="nil"/>
              <w:left w:val="single" w:sz="4" w:space="0" w:color="auto"/>
              <w:bottom w:val="single" w:sz="4" w:space="0" w:color="000000"/>
              <w:right w:val="single" w:sz="4" w:space="0" w:color="auto"/>
            </w:tcBorders>
            <w:shd w:val="clear" w:color="auto" w:fill="auto"/>
            <w:vAlign w:val="center"/>
            <w:hideMark/>
          </w:tcPr>
          <w:p w14:paraId="5FEF2047" w14:textId="57AB6365"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Referenca e Rezultatit me produktet e programit buxhetor</w:t>
            </w:r>
            <w:r w:rsidR="007C064A" w:rsidRPr="00795698">
              <w:rPr>
                <w:rFonts w:ascii="Arial" w:hAnsi="Arial" w:cs="Arial"/>
                <w:color w:val="000000"/>
                <w:sz w:val="6"/>
                <w:szCs w:val="6"/>
                <w:lang w:eastAsia="sq-AL"/>
              </w:rPr>
              <w:t xml:space="preserve"> </w:t>
            </w:r>
          </w:p>
        </w:tc>
        <w:tc>
          <w:tcPr>
            <w:tcW w:w="498" w:type="dxa"/>
            <w:vMerge w:val="restart"/>
            <w:tcBorders>
              <w:top w:val="nil"/>
              <w:left w:val="single" w:sz="4" w:space="0" w:color="auto"/>
              <w:bottom w:val="single" w:sz="4" w:space="0" w:color="000000"/>
              <w:right w:val="single" w:sz="4" w:space="0" w:color="auto"/>
            </w:tcBorders>
            <w:shd w:val="clear" w:color="auto" w:fill="auto"/>
            <w:vAlign w:val="center"/>
            <w:hideMark/>
          </w:tcPr>
          <w:p w14:paraId="5FEF204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përgjegjës</w:t>
            </w:r>
          </w:p>
        </w:tc>
        <w:tc>
          <w:tcPr>
            <w:tcW w:w="578" w:type="dxa"/>
            <w:vMerge w:val="restart"/>
            <w:tcBorders>
              <w:top w:val="nil"/>
              <w:left w:val="single" w:sz="4" w:space="0" w:color="auto"/>
              <w:bottom w:val="single" w:sz="4" w:space="0" w:color="000000"/>
              <w:right w:val="single" w:sz="4" w:space="0" w:color="auto"/>
            </w:tcBorders>
            <w:shd w:val="clear" w:color="auto" w:fill="auto"/>
            <w:vAlign w:val="center"/>
            <w:hideMark/>
          </w:tcPr>
          <w:p w14:paraId="5FEF204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Institucioni mbështetës</w:t>
            </w:r>
          </w:p>
        </w:tc>
        <w:tc>
          <w:tcPr>
            <w:tcW w:w="207" w:type="dxa"/>
            <w:vMerge w:val="restart"/>
            <w:tcBorders>
              <w:top w:val="nil"/>
              <w:left w:val="single" w:sz="4" w:space="0" w:color="auto"/>
              <w:bottom w:val="single" w:sz="4" w:space="0" w:color="000000"/>
              <w:right w:val="single" w:sz="4" w:space="0" w:color="auto"/>
            </w:tcBorders>
            <w:shd w:val="clear" w:color="auto" w:fill="auto"/>
            <w:vAlign w:val="center"/>
            <w:hideMark/>
          </w:tcPr>
          <w:p w14:paraId="5FEF204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Fillimit</w:t>
            </w:r>
          </w:p>
        </w:tc>
        <w:tc>
          <w:tcPr>
            <w:tcW w:w="260" w:type="dxa"/>
            <w:vMerge w:val="restart"/>
            <w:tcBorders>
              <w:top w:val="nil"/>
              <w:left w:val="single" w:sz="4" w:space="0" w:color="auto"/>
              <w:bottom w:val="single" w:sz="4" w:space="0" w:color="000000"/>
              <w:right w:val="single" w:sz="4" w:space="0" w:color="auto"/>
            </w:tcBorders>
            <w:shd w:val="clear" w:color="auto" w:fill="auto"/>
            <w:vAlign w:val="center"/>
            <w:hideMark/>
          </w:tcPr>
          <w:p w14:paraId="5FEF204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Afati Mbarimit</w:t>
            </w:r>
          </w:p>
        </w:tc>
        <w:tc>
          <w:tcPr>
            <w:tcW w:w="887" w:type="dxa"/>
            <w:gridSpan w:val="3"/>
            <w:vMerge/>
            <w:tcBorders>
              <w:top w:val="nil"/>
              <w:left w:val="single" w:sz="4" w:space="0" w:color="auto"/>
              <w:bottom w:val="single" w:sz="4" w:space="0" w:color="000000"/>
              <w:right w:val="single" w:sz="4" w:space="0" w:color="auto"/>
            </w:tcBorders>
            <w:vAlign w:val="center"/>
            <w:hideMark/>
          </w:tcPr>
          <w:p w14:paraId="5FEF204C" w14:textId="77777777" w:rsidR="002117FE" w:rsidRPr="00795698" w:rsidRDefault="002117FE" w:rsidP="002117FE">
            <w:pPr>
              <w:rPr>
                <w:rFonts w:ascii="Arial" w:hAnsi="Arial" w:cs="Arial"/>
                <w:b/>
                <w:bCs/>
                <w:color w:val="000000"/>
                <w:sz w:val="6"/>
                <w:szCs w:val="6"/>
                <w:lang w:eastAsia="sq-AL"/>
              </w:rPr>
            </w:pPr>
          </w:p>
        </w:tc>
        <w:tc>
          <w:tcPr>
            <w:tcW w:w="857" w:type="dxa"/>
            <w:gridSpan w:val="3"/>
            <w:vMerge/>
            <w:tcBorders>
              <w:top w:val="nil"/>
              <w:left w:val="single" w:sz="4" w:space="0" w:color="auto"/>
              <w:bottom w:val="single" w:sz="4" w:space="0" w:color="000000"/>
              <w:right w:val="single" w:sz="4" w:space="0" w:color="auto"/>
            </w:tcBorders>
            <w:vAlign w:val="center"/>
            <w:hideMark/>
          </w:tcPr>
          <w:p w14:paraId="5FEF204D" w14:textId="77777777" w:rsidR="002117FE" w:rsidRPr="00795698" w:rsidRDefault="002117FE" w:rsidP="002117FE">
            <w:pPr>
              <w:rPr>
                <w:rFonts w:ascii="Arial" w:hAnsi="Arial" w:cs="Arial"/>
                <w:b/>
                <w:bCs/>
                <w:color w:val="000000"/>
                <w:sz w:val="6"/>
                <w:szCs w:val="6"/>
                <w:lang w:eastAsia="sq-AL"/>
              </w:rPr>
            </w:pPr>
          </w:p>
        </w:tc>
        <w:tc>
          <w:tcPr>
            <w:tcW w:w="857" w:type="dxa"/>
            <w:gridSpan w:val="3"/>
            <w:vMerge/>
            <w:tcBorders>
              <w:top w:val="nil"/>
              <w:left w:val="single" w:sz="4" w:space="0" w:color="auto"/>
              <w:bottom w:val="single" w:sz="4" w:space="0" w:color="000000"/>
              <w:right w:val="single" w:sz="4" w:space="0" w:color="auto"/>
            </w:tcBorders>
            <w:vAlign w:val="center"/>
            <w:hideMark/>
          </w:tcPr>
          <w:p w14:paraId="5FEF204E" w14:textId="77777777" w:rsidR="002117FE" w:rsidRPr="00795698" w:rsidRDefault="002117FE" w:rsidP="002117FE">
            <w:pPr>
              <w:rPr>
                <w:rFonts w:ascii="Arial" w:hAnsi="Arial" w:cs="Arial"/>
                <w:b/>
                <w:bCs/>
                <w:color w:val="000000"/>
                <w:sz w:val="6"/>
                <w:szCs w:val="6"/>
                <w:lang w:eastAsia="sq-AL"/>
              </w:rPr>
            </w:pPr>
          </w:p>
        </w:tc>
        <w:tc>
          <w:tcPr>
            <w:tcW w:w="887" w:type="dxa"/>
            <w:gridSpan w:val="3"/>
            <w:vMerge/>
            <w:tcBorders>
              <w:top w:val="nil"/>
              <w:left w:val="single" w:sz="4" w:space="0" w:color="auto"/>
              <w:bottom w:val="single" w:sz="4" w:space="0" w:color="000000"/>
              <w:right w:val="single" w:sz="4" w:space="0" w:color="auto"/>
            </w:tcBorders>
            <w:vAlign w:val="center"/>
            <w:hideMark/>
          </w:tcPr>
          <w:p w14:paraId="5FEF204F" w14:textId="77777777" w:rsidR="002117FE" w:rsidRPr="00795698" w:rsidRDefault="002117FE" w:rsidP="002117FE">
            <w:pPr>
              <w:rPr>
                <w:rFonts w:ascii="Arial" w:hAnsi="Arial" w:cs="Arial"/>
                <w:b/>
                <w:bCs/>
                <w:color w:val="000000"/>
                <w:sz w:val="6"/>
                <w:szCs w:val="6"/>
                <w:lang w:eastAsia="sq-AL"/>
              </w:rPr>
            </w:pPr>
          </w:p>
        </w:tc>
        <w:tc>
          <w:tcPr>
            <w:tcW w:w="857" w:type="dxa"/>
            <w:gridSpan w:val="3"/>
            <w:tcBorders>
              <w:top w:val="single" w:sz="8" w:space="0" w:color="auto"/>
              <w:left w:val="nil"/>
              <w:bottom w:val="single" w:sz="8" w:space="0" w:color="auto"/>
              <w:right w:val="single" w:sz="8" w:space="0" w:color="000000"/>
            </w:tcBorders>
            <w:shd w:val="clear" w:color="auto" w:fill="auto"/>
            <w:vAlign w:val="center"/>
            <w:hideMark/>
          </w:tcPr>
          <w:p w14:paraId="5FEF2050" w14:textId="5838A49C"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PBA </w:t>
            </w:r>
            <w:r w:rsidR="006249E3" w:rsidRPr="00795698">
              <w:rPr>
                <w:rFonts w:ascii="Arial" w:hAnsi="Arial" w:cs="Arial"/>
                <w:b/>
                <w:bCs/>
                <w:color w:val="000000"/>
                <w:sz w:val="6"/>
                <w:szCs w:val="6"/>
                <w:lang w:eastAsia="sq-AL"/>
              </w:rPr>
              <w:t>2023–2025</w:t>
            </w:r>
            <w:r w:rsidRPr="00795698">
              <w:rPr>
                <w:rFonts w:ascii="Arial" w:hAnsi="Arial" w:cs="Arial"/>
                <w:b/>
                <w:bCs/>
                <w:color w:val="000000"/>
                <w:sz w:val="6"/>
                <w:szCs w:val="6"/>
                <w:lang w:eastAsia="sq-AL"/>
              </w:rPr>
              <w:t xml:space="preserve"> (në</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lekë)</w:t>
            </w:r>
          </w:p>
        </w:tc>
        <w:tc>
          <w:tcPr>
            <w:tcW w:w="1259" w:type="dxa"/>
            <w:gridSpan w:val="4"/>
            <w:tcBorders>
              <w:top w:val="single" w:sz="8" w:space="0" w:color="auto"/>
              <w:left w:val="nil"/>
              <w:bottom w:val="single" w:sz="8" w:space="0" w:color="auto"/>
              <w:right w:val="single" w:sz="8" w:space="0" w:color="000000"/>
            </w:tcBorders>
            <w:shd w:val="clear" w:color="auto" w:fill="auto"/>
            <w:vAlign w:val="center"/>
            <w:hideMark/>
          </w:tcPr>
          <w:p w14:paraId="5FEF205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Financim i Huaj (në lekë)</w:t>
            </w:r>
          </w:p>
        </w:tc>
        <w:tc>
          <w:tcPr>
            <w:tcW w:w="262" w:type="dxa"/>
            <w:vMerge/>
            <w:tcBorders>
              <w:top w:val="single" w:sz="4" w:space="0" w:color="auto"/>
              <w:left w:val="single" w:sz="8" w:space="0" w:color="auto"/>
              <w:bottom w:val="single" w:sz="4" w:space="0" w:color="000000"/>
              <w:right w:val="single" w:sz="8" w:space="0" w:color="auto"/>
            </w:tcBorders>
            <w:vAlign w:val="center"/>
            <w:hideMark/>
          </w:tcPr>
          <w:p w14:paraId="5FEF2052" w14:textId="77777777" w:rsidR="002117FE" w:rsidRPr="00795698" w:rsidRDefault="002117FE" w:rsidP="002117FE">
            <w:pPr>
              <w:rPr>
                <w:rFonts w:ascii="Arial" w:hAnsi="Arial" w:cs="Arial"/>
                <w:b/>
                <w:bCs/>
                <w:color w:val="000000"/>
                <w:sz w:val="6"/>
                <w:szCs w:val="6"/>
                <w:lang w:eastAsia="sq-AL"/>
              </w:rPr>
            </w:pPr>
          </w:p>
        </w:tc>
      </w:tr>
      <w:tr w:rsidR="002117FE" w:rsidRPr="00795698" w14:paraId="5FEF206F" w14:textId="77777777" w:rsidTr="002117FE">
        <w:trPr>
          <w:trHeight w:val="180"/>
          <w:jc w:val="center"/>
        </w:trPr>
        <w:tc>
          <w:tcPr>
            <w:tcW w:w="182" w:type="dxa"/>
            <w:vMerge/>
            <w:tcBorders>
              <w:top w:val="single" w:sz="4" w:space="0" w:color="auto"/>
              <w:left w:val="single" w:sz="8" w:space="0" w:color="auto"/>
              <w:bottom w:val="single" w:sz="4" w:space="0" w:color="000000"/>
              <w:right w:val="single" w:sz="4" w:space="0" w:color="auto"/>
            </w:tcBorders>
            <w:vAlign w:val="center"/>
            <w:hideMark/>
          </w:tcPr>
          <w:p w14:paraId="5FEF2054" w14:textId="77777777" w:rsidR="002117FE" w:rsidRPr="00795698" w:rsidRDefault="002117FE" w:rsidP="002117FE">
            <w:pPr>
              <w:rPr>
                <w:rFonts w:ascii="Arial" w:hAnsi="Arial" w:cs="Arial"/>
                <w:b/>
                <w:bCs/>
                <w:color w:val="000000"/>
                <w:sz w:val="6"/>
                <w:szCs w:val="6"/>
                <w:lang w:eastAsia="sq-AL"/>
              </w:rPr>
            </w:pPr>
          </w:p>
        </w:tc>
        <w:tc>
          <w:tcPr>
            <w:tcW w:w="1301" w:type="dxa"/>
            <w:vMerge/>
            <w:tcBorders>
              <w:top w:val="single" w:sz="4" w:space="0" w:color="auto"/>
              <w:left w:val="single" w:sz="4" w:space="0" w:color="auto"/>
              <w:bottom w:val="single" w:sz="4" w:space="0" w:color="000000"/>
              <w:right w:val="single" w:sz="4" w:space="0" w:color="auto"/>
            </w:tcBorders>
            <w:vAlign w:val="center"/>
            <w:hideMark/>
          </w:tcPr>
          <w:p w14:paraId="5FEF2055" w14:textId="77777777" w:rsidR="002117FE" w:rsidRPr="00795698" w:rsidRDefault="002117FE" w:rsidP="002117FE">
            <w:pPr>
              <w:rPr>
                <w:rFonts w:ascii="Arial" w:hAnsi="Arial" w:cs="Arial"/>
                <w:b/>
                <w:bCs/>
                <w:color w:val="000000"/>
                <w:sz w:val="6"/>
                <w:szCs w:val="6"/>
                <w:lang w:eastAsia="sq-AL"/>
              </w:rPr>
            </w:pPr>
          </w:p>
        </w:tc>
        <w:tc>
          <w:tcPr>
            <w:tcW w:w="498" w:type="dxa"/>
            <w:vMerge/>
            <w:tcBorders>
              <w:top w:val="nil"/>
              <w:left w:val="single" w:sz="4" w:space="0" w:color="auto"/>
              <w:bottom w:val="single" w:sz="4" w:space="0" w:color="000000"/>
              <w:right w:val="single" w:sz="4" w:space="0" w:color="auto"/>
            </w:tcBorders>
            <w:vAlign w:val="center"/>
            <w:hideMark/>
          </w:tcPr>
          <w:p w14:paraId="5FEF2056" w14:textId="77777777" w:rsidR="002117FE" w:rsidRPr="00795698" w:rsidRDefault="002117FE" w:rsidP="002117FE">
            <w:pPr>
              <w:rPr>
                <w:rFonts w:ascii="Arial" w:hAnsi="Arial" w:cs="Arial"/>
                <w:color w:val="000000"/>
                <w:sz w:val="6"/>
                <w:szCs w:val="6"/>
                <w:lang w:eastAsia="sq-AL"/>
              </w:rPr>
            </w:pPr>
          </w:p>
        </w:tc>
        <w:tc>
          <w:tcPr>
            <w:tcW w:w="498" w:type="dxa"/>
            <w:vMerge/>
            <w:tcBorders>
              <w:top w:val="nil"/>
              <w:left w:val="single" w:sz="4" w:space="0" w:color="auto"/>
              <w:bottom w:val="single" w:sz="4" w:space="0" w:color="000000"/>
              <w:right w:val="single" w:sz="4" w:space="0" w:color="auto"/>
            </w:tcBorders>
            <w:vAlign w:val="center"/>
            <w:hideMark/>
          </w:tcPr>
          <w:p w14:paraId="5FEF2057" w14:textId="77777777" w:rsidR="002117FE" w:rsidRPr="00795698" w:rsidRDefault="002117FE" w:rsidP="002117FE">
            <w:pPr>
              <w:rPr>
                <w:rFonts w:ascii="Arial" w:hAnsi="Arial" w:cs="Arial"/>
                <w:b/>
                <w:bCs/>
                <w:color w:val="000000"/>
                <w:sz w:val="6"/>
                <w:szCs w:val="6"/>
                <w:lang w:eastAsia="sq-AL"/>
              </w:rPr>
            </w:pPr>
          </w:p>
        </w:tc>
        <w:tc>
          <w:tcPr>
            <w:tcW w:w="578" w:type="dxa"/>
            <w:vMerge/>
            <w:tcBorders>
              <w:top w:val="nil"/>
              <w:left w:val="single" w:sz="4" w:space="0" w:color="auto"/>
              <w:bottom w:val="single" w:sz="4" w:space="0" w:color="000000"/>
              <w:right w:val="single" w:sz="4" w:space="0" w:color="auto"/>
            </w:tcBorders>
            <w:vAlign w:val="center"/>
            <w:hideMark/>
          </w:tcPr>
          <w:p w14:paraId="5FEF2058" w14:textId="77777777" w:rsidR="002117FE" w:rsidRPr="00795698" w:rsidRDefault="002117FE" w:rsidP="002117FE">
            <w:pPr>
              <w:rPr>
                <w:rFonts w:ascii="Arial" w:hAnsi="Arial" w:cs="Arial"/>
                <w:b/>
                <w:bCs/>
                <w:color w:val="000000"/>
                <w:sz w:val="6"/>
                <w:szCs w:val="6"/>
                <w:lang w:eastAsia="sq-AL"/>
              </w:rPr>
            </w:pPr>
          </w:p>
        </w:tc>
        <w:tc>
          <w:tcPr>
            <w:tcW w:w="207" w:type="dxa"/>
            <w:vMerge/>
            <w:tcBorders>
              <w:top w:val="nil"/>
              <w:left w:val="single" w:sz="4" w:space="0" w:color="auto"/>
              <w:bottom w:val="single" w:sz="4" w:space="0" w:color="000000"/>
              <w:right w:val="single" w:sz="4" w:space="0" w:color="auto"/>
            </w:tcBorders>
            <w:vAlign w:val="center"/>
            <w:hideMark/>
          </w:tcPr>
          <w:p w14:paraId="5FEF2059" w14:textId="77777777" w:rsidR="002117FE" w:rsidRPr="00795698" w:rsidRDefault="002117FE" w:rsidP="002117FE">
            <w:pPr>
              <w:rPr>
                <w:rFonts w:ascii="Arial" w:hAnsi="Arial" w:cs="Arial"/>
                <w:b/>
                <w:bCs/>
                <w:color w:val="000000"/>
                <w:sz w:val="6"/>
                <w:szCs w:val="6"/>
                <w:lang w:eastAsia="sq-AL"/>
              </w:rPr>
            </w:pPr>
          </w:p>
        </w:tc>
        <w:tc>
          <w:tcPr>
            <w:tcW w:w="260" w:type="dxa"/>
            <w:vMerge/>
            <w:tcBorders>
              <w:top w:val="nil"/>
              <w:left w:val="single" w:sz="4" w:space="0" w:color="auto"/>
              <w:bottom w:val="single" w:sz="4" w:space="0" w:color="000000"/>
              <w:right w:val="single" w:sz="4" w:space="0" w:color="auto"/>
            </w:tcBorders>
            <w:vAlign w:val="center"/>
            <w:hideMark/>
          </w:tcPr>
          <w:p w14:paraId="5FEF205A" w14:textId="77777777" w:rsidR="002117FE" w:rsidRPr="00795698" w:rsidRDefault="002117FE" w:rsidP="002117FE">
            <w:pPr>
              <w:rPr>
                <w:rFonts w:ascii="Arial" w:hAnsi="Arial" w:cs="Arial"/>
                <w:b/>
                <w:bCs/>
                <w:color w:val="000000"/>
                <w:sz w:val="6"/>
                <w:szCs w:val="6"/>
                <w:lang w:eastAsia="sq-AL"/>
              </w:rPr>
            </w:pPr>
          </w:p>
        </w:tc>
        <w:tc>
          <w:tcPr>
            <w:tcW w:w="306" w:type="dxa"/>
            <w:tcBorders>
              <w:top w:val="nil"/>
              <w:left w:val="nil"/>
              <w:bottom w:val="single" w:sz="4" w:space="0" w:color="auto"/>
              <w:right w:val="single" w:sz="4" w:space="0" w:color="auto"/>
            </w:tcBorders>
            <w:shd w:val="clear" w:color="auto" w:fill="auto"/>
            <w:vAlign w:val="center"/>
            <w:hideMark/>
          </w:tcPr>
          <w:p w14:paraId="5FEF205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75" w:type="dxa"/>
            <w:tcBorders>
              <w:top w:val="nil"/>
              <w:left w:val="nil"/>
              <w:bottom w:val="single" w:sz="4" w:space="0" w:color="auto"/>
              <w:right w:val="single" w:sz="4" w:space="0" w:color="auto"/>
            </w:tcBorders>
            <w:shd w:val="clear" w:color="auto" w:fill="auto"/>
            <w:vAlign w:val="center"/>
            <w:hideMark/>
          </w:tcPr>
          <w:p w14:paraId="5FEF205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4" w:space="0" w:color="auto"/>
              <w:right w:val="single" w:sz="4" w:space="0" w:color="auto"/>
            </w:tcBorders>
            <w:shd w:val="clear" w:color="auto" w:fill="auto"/>
            <w:vAlign w:val="center"/>
            <w:hideMark/>
          </w:tcPr>
          <w:p w14:paraId="5FEF205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4" w:space="0" w:color="auto"/>
              <w:right w:val="single" w:sz="4" w:space="0" w:color="auto"/>
            </w:tcBorders>
            <w:shd w:val="clear" w:color="auto" w:fill="auto"/>
            <w:vAlign w:val="center"/>
            <w:hideMark/>
          </w:tcPr>
          <w:p w14:paraId="5FEF205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nil"/>
              <w:bottom w:val="single" w:sz="4" w:space="0" w:color="auto"/>
              <w:right w:val="single" w:sz="4" w:space="0" w:color="auto"/>
            </w:tcBorders>
            <w:shd w:val="clear" w:color="auto" w:fill="auto"/>
            <w:vAlign w:val="center"/>
            <w:hideMark/>
          </w:tcPr>
          <w:p w14:paraId="5FEF205F"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4" w:space="0" w:color="auto"/>
              <w:right w:val="single" w:sz="4" w:space="0" w:color="auto"/>
            </w:tcBorders>
            <w:shd w:val="clear" w:color="auto" w:fill="auto"/>
            <w:vAlign w:val="center"/>
            <w:hideMark/>
          </w:tcPr>
          <w:p w14:paraId="5FEF206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4" w:space="0" w:color="auto"/>
              <w:right w:val="single" w:sz="4" w:space="0" w:color="auto"/>
            </w:tcBorders>
            <w:shd w:val="clear" w:color="auto" w:fill="auto"/>
            <w:vAlign w:val="center"/>
            <w:hideMark/>
          </w:tcPr>
          <w:p w14:paraId="5FEF206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nil"/>
              <w:bottom w:val="single" w:sz="4" w:space="0" w:color="auto"/>
              <w:right w:val="single" w:sz="4" w:space="0" w:color="auto"/>
            </w:tcBorders>
            <w:shd w:val="clear" w:color="auto" w:fill="auto"/>
            <w:vAlign w:val="center"/>
            <w:hideMark/>
          </w:tcPr>
          <w:p w14:paraId="5FEF206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4" w:space="0" w:color="auto"/>
              <w:right w:val="single" w:sz="4" w:space="0" w:color="auto"/>
            </w:tcBorders>
            <w:shd w:val="clear" w:color="auto" w:fill="auto"/>
            <w:vAlign w:val="center"/>
            <w:hideMark/>
          </w:tcPr>
          <w:p w14:paraId="5FEF206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single" w:sz="8" w:space="0" w:color="auto"/>
              <w:bottom w:val="single" w:sz="8" w:space="0" w:color="auto"/>
              <w:right w:val="nil"/>
            </w:tcBorders>
            <w:shd w:val="clear" w:color="auto" w:fill="auto"/>
            <w:vAlign w:val="center"/>
            <w:hideMark/>
          </w:tcPr>
          <w:p w14:paraId="5FEF206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75" w:type="dxa"/>
            <w:tcBorders>
              <w:top w:val="nil"/>
              <w:left w:val="nil"/>
              <w:bottom w:val="single" w:sz="8" w:space="0" w:color="auto"/>
              <w:right w:val="nil"/>
            </w:tcBorders>
            <w:shd w:val="clear" w:color="auto" w:fill="auto"/>
            <w:vAlign w:val="center"/>
            <w:hideMark/>
          </w:tcPr>
          <w:p w14:paraId="5FEF206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206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Kosto</w:t>
            </w:r>
          </w:p>
        </w:tc>
        <w:tc>
          <w:tcPr>
            <w:tcW w:w="306" w:type="dxa"/>
            <w:tcBorders>
              <w:top w:val="nil"/>
              <w:left w:val="nil"/>
              <w:bottom w:val="single" w:sz="8" w:space="0" w:color="auto"/>
              <w:right w:val="nil"/>
            </w:tcBorders>
            <w:shd w:val="clear" w:color="auto" w:fill="auto"/>
            <w:vAlign w:val="center"/>
            <w:hideMark/>
          </w:tcPr>
          <w:p w14:paraId="5FEF206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nil"/>
              <w:bottom w:val="single" w:sz="8" w:space="0" w:color="auto"/>
              <w:right w:val="nil"/>
            </w:tcBorders>
            <w:shd w:val="clear" w:color="auto" w:fill="auto"/>
            <w:vAlign w:val="center"/>
            <w:hideMark/>
          </w:tcPr>
          <w:p w14:paraId="5FEF206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306" w:type="dxa"/>
            <w:tcBorders>
              <w:top w:val="nil"/>
              <w:left w:val="nil"/>
              <w:bottom w:val="single" w:sz="8" w:space="0" w:color="auto"/>
              <w:right w:val="single" w:sz="8" w:space="0" w:color="auto"/>
            </w:tcBorders>
            <w:shd w:val="clear" w:color="auto" w:fill="auto"/>
            <w:vAlign w:val="center"/>
            <w:hideMark/>
          </w:tcPr>
          <w:p w14:paraId="5FEF206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BSH</w:t>
            </w:r>
          </w:p>
        </w:tc>
        <w:tc>
          <w:tcPr>
            <w:tcW w:w="275" w:type="dxa"/>
            <w:tcBorders>
              <w:top w:val="nil"/>
              <w:left w:val="nil"/>
              <w:bottom w:val="single" w:sz="8" w:space="0" w:color="auto"/>
              <w:right w:val="nil"/>
            </w:tcBorders>
            <w:shd w:val="clear" w:color="auto" w:fill="auto"/>
            <w:vAlign w:val="center"/>
            <w:hideMark/>
          </w:tcPr>
          <w:p w14:paraId="5FEF206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Korente</w:t>
            </w:r>
          </w:p>
        </w:tc>
        <w:tc>
          <w:tcPr>
            <w:tcW w:w="245" w:type="dxa"/>
            <w:tcBorders>
              <w:top w:val="nil"/>
              <w:left w:val="single" w:sz="8" w:space="0" w:color="auto"/>
              <w:bottom w:val="single" w:sz="8" w:space="0" w:color="auto"/>
              <w:right w:val="single" w:sz="8" w:space="0" w:color="auto"/>
            </w:tcBorders>
            <w:shd w:val="clear" w:color="auto" w:fill="auto"/>
            <w:vAlign w:val="center"/>
            <w:hideMark/>
          </w:tcPr>
          <w:p w14:paraId="5FEF206B"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Kapitale</w:t>
            </w:r>
          </w:p>
        </w:tc>
        <w:tc>
          <w:tcPr>
            <w:tcW w:w="464" w:type="dxa"/>
            <w:tcBorders>
              <w:top w:val="nil"/>
              <w:left w:val="nil"/>
              <w:bottom w:val="single" w:sz="8" w:space="0" w:color="auto"/>
              <w:right w:val="single" w:sz="8" w:space="0" w:color="auto"/>
            </w:tcBorders>
            <w:shd w:val="clear" w:color="auto" w:fill="auto"/>
            <w:vAlign w:val="center"/>
            <w:hideMark/>
          </w:tcPr>
          <w:p w14:paraId="5FEF206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Emri donatorit/Titullin e projektit </w:t>
            </w:r>
          </w:p>
        </w:tc>
        <w:tc>
          <w:tcPr>
            <w:tcW w:w="275" w:type="dxa"/>
            <w:tcBorders>
              <w:top w:val="nil"/>
              <w:left w:val="nil"/>
              <w:bottom w:val="single" w:sz="8" w:space="0" w:color="auto"/>
              <w:right w:val="single" w:sz="8" w:space="0" w:color="auto"/>
            </w:tcBorders>
            <w:shd w:val="clear" w:color="auto" w:fill="auto"/>
            <w:vAlign w:val="center"/>
            <w:hideMark/>
          </w:tcPr>
          <w:p w14:paraId="5FEF206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Total Financim i Huaj</w:t>
            </w:r>
          </w:p>
        </w:tc>
        <w:tc>
          <w:tcPr>
            <w:tcW w:w="262" w:type="dxa"/>
            <w:tcBorders>
              <w:top w:val="nil"/>
              <w:left w:val="single" w:sz="4" w:space="0" w:color="auto"/>
              <w:bottom w:val="single" w:sz="4" w:space="0" w:color="auto"/>
              <w:right w:val="single" w:sz="8" w:space="0" w:color="auto"/>
            </w:tcBorders>
            <w:shd w:val="clear" w:color="auto" w:fill="auto"/>
            <w:vAlign w:val="center"/>
            <w:hideMark/>
          </w:tcPr>
          <w:p w14:paraId="5FEF206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r>
      <w:tr w:rsidR="002117FE" w:rsidRPr="00795698" w14:paraId="5FEF208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07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w:t>
            </w:r>
          </w:p>
        </w:tc>
        <w:tc>
          <w:tcPr>
            <w:tcW w:w="1301" w:type="dxa"/>
            <w:tcBorders>
              <w:top w:val="nil"/>
              <w:left w:val="nil"/>
              <w:bottom w:val="single" w:sz="4" w:space="0" w:color="auto"/>
              <w:right w:val="single" w:sz="4" w:space="0" w:color="auto"/>
            </w:tcBorders>
            <w:shd w:val="clear" w:color="auto" w:fill="auto"/>
            <w:vAlign w:val="center"/>
            <w:hideMark/>
          </w:tcPr>
          <w:p w14:paraId="5FEF2071" w14:textId="0D815C8B" w:rsidR="002117FE" w:rsidRPr="00795698" w:rsidRDefault="002117FE" w:rsidP="002117FE">
            <w:pPr>
              <w:rPr>
                <w:rFonts w:ascii="Arial" w:hAnsi="Arial" w:cs="Arial"/>
                <w:b/>
                <w:bCs/>
                <w:color w:val="000000"/>
                <w:sz w:val="6"/>
                <w:szCs w:val="6"/>
                <w:lang w:eastAsia="sq-AL"/>
              </w:rPr>
            </w:pPr>
            <w:r w:rsidRPr="00795698">
              <w:rPr>
                <w:rFonts w:ascii="Arial" w:hAnsi="Arial" w:cs="Arial"/>
                <w:b/>
                <w:bCs/>
                <w:color w:val="000000"/>
                <w:sz w:val="6"/>
                <w:szCs w:val="6"/>
                <w:lang w:eastAsia="sq-AL"/>
              </w:rPr>
              <w:t>OBJEKTIVI SPECIFIK:Përmirësimi i infrastrukturës dhe ngritje kapacitetesh të punonjësve të institucioneve publik</w:t>
            </w:r>
            <w:r w:rsidR="007265E9" w:rsidRPr="00795698">
              <w:rPr>
                <w:rFonts w:ascii="Arial" w:hAnsi="Arial" w:cs="Arial"/>
                <w:b/>
                <w:bCs/>
                <w:color w:val="000000"/>
                <w:sz w:val="6"/>
                <w:szCs w:val="6"/>
                <w:lang w:eastAsia="sq-AL"/>
              </w:rPr>
              <w:t>e për zhvillimin e programeve të</w:t>
            </w:r>
            <w:r w:rsidRPr="00795698">
              <w:rPr>
                <w:rFonts w:ascii="Arial" w:hAnsi="Arial" w:cs="Arial"/>
                <w:b/>
                <w:bCs/>
                <w:color w:val="000000"/>
                <w:sz w:val="6"/>
                <w:szCs w:val="6"/>
                <w:lang w:eastAsia="sq-AL"/>
              </w:rPr>
              <w:t xml:space="preserve"> rehabilitimit dhe riintegrimit për personat e radikalizuar ose të kthyerit nga zonat e konfliktit</w:t>
            </w:r>
          </w:p>
        </w:tc>
        <w:tc>
          <w:tcPr>
            <w:tcW w:w="498" w:type="dxa"/>
            <w:tcBorders>
              <w:top w:val="nil"/>
              <w:left w:val="nil"/>
              <w:bottom w:val="single" w:sz="4" w:space="0" w:color="auto"/>
              <w:right w:val="single" w:sz="4" w:space="0" w:color="auto"/>
            </w:tcBorders>
            <w:shd w:val="clear" w:color="auto" w:fill="auto"/>
            <w:vAlign w:val="center"/>
            <w:hideMark/>
          </w:tcPr>
          <w:p w14:paraId="5FEF20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FEF20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noWrap/>
            <w:vAlign w:val="bottom"/>
            <w:hideMark/>
          </w:tcPr>
          <w:p w14:paraId="5FEF20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vAlign w:val="center"/>
            <w:hideMark/>
          </w:tcPr>
          <w:p w14:paraId="5FEF207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vAlign w:val="center"/>
            <w:hideMark/>
          </w:tcPr>
          <w:p w14:paraId="5FEF207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20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20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20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20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20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20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20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single" w:sz="4" w:space="0" w:color="auto"/>
              <w:left w:val="nil"/>
              <w:bottom w:val="single" w:sz="4" w:space="0" w:color="auto"/>
              <w:right w:val="single" w:sz="4" w:space="0" w:color="auto"/>
            </w:tcBorders>
            <w:shd w:val="clear" w:color="auto" w:fill="auto"/>
            <w:vAlign w:val="center"/>
            <w:hideMark/>
          </w:tcPr>
          <w:p w14:paraId="5FEF20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20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single" w:sz="4" w:space="0" w:color="auto"/>
              <w:left w:val="nil"/>
              <w:bottom w:val="single" w:sz="4" w:space="0" w:color="auto"/>
              <w:right w:val="single" w:sz="4" w:space="0" w:color="auto"/>
            </w:tcBorders>
            <w:shd w:val="clear" w:color="auto" w:fill="auto"/>
            <w:vAlign w:val="center"/>
            <w:hideMark/>
          </w:tcPr>
          <w:p w14:paraId="5FEF20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single" w:sz="4" w:space="0" w:color="auto"/>
              <w:left w:val="nil"/>
              <w:bottom w:val="single" w:sz="4" w:space="0" w:color="auto"/>
              <w:right w:val="single" w:sz="4" w:space="0" w:color="auto"/>
            </w:tcBorders>
            <w:shd w:val="clear" w:color="auto" w:fill="auto"/>
            <w:vAlign w:val="center"/>
            <w:hideMark/>
          </w:tcPr>
          <w:p w14:paraId="5FEF20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single" w:sz="4" w:space="0" w:color="auto"/>
              <w:left w:val="nil"/>
              <w:bottom w:val="single" w:sz="4" w:space="0" w:color="auto"/>
              <w:right w:val="single" w:sz="4" w:space="0" w:color="auto"/>
            </w:tcBorders>
            <w:shd w:val="clear" w:color="auto" w:fill="auto"/>
            <w:vAlign w:val="center"/>
            <w:hideMark/>
          </w:tcPr>
          <w:p w14:paraId="5FEF20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auto" w:fill="auto"/>
            <w:vAlign w:val="center"/>
            <w:hideMark/>
          </w:tcPr>
          <w:p w14:paraId="5FEF20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0A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08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auto" w:fill="auto"/>
            <w:vAlign w:val="center"/>
            <w:hideMark/>
          </w:tcPr>
          <w:p w14:paraId="5FEF208D" w14:textId="77777777" w:rsidR="002117FE" w:rsidRPr="00795698" w:rsidRDefault="002117FE" w:rsidP="002117FE">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498" w:type="dxa"/>
            <w:tcBorders>
              <w:top w:val="nil"/>
              <w:left w:val="nil"/>
              <w:bottom w:val="single" w:sz="4" w:space="0" w:color="auto"/>
              <w:right w:val="single" w:sz="4" w:space="0" w:color="auto"/>
            </w:tcBorders>
            <w:shd w:val="clear" w:color="auto" w:fill="auto"/>
            <w:vAlign w:val="center"/>
            <w:hideMark/>
          </w:tcPr>
          <w:p w14:paraId="5FEF20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FEF20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noWrap/>
            <w:vAlign w:val="bottom"/>
            <w:hideMark/>
          </w:tcPr>
          <w:p w14:paraId="5FEF20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vAlign w:val="center"/>
            <w:hideMark/>
          </w:tcPr>
          <w:p w14:paraId="5FEF209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vAlign w:val="center"/>
            <w:hideMark/>
          </w:tcPr>
          <w:p w14:paraId="5FEF209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20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20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20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0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vAlign w:val="center"/>
            <w:hideMark/>
          </w:tcPr>
          <w:p w14:paraId="5FEF20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auto" w:fill="auto"/>
            <w:vAlign w:val="center"/>
            <w:hideMark/>
          </w:tcPr>
          <w:p w14:paraId="5FEF20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A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auto" w:fill="auto"/>
            <w:vAlign w:val="center"/>
            <w:hideMark/>
          </w:tcPr>
          <w:p w14:paraId="5FEF20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0C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0A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3.1.1</w:t>
            </w:r>
          </w:p>
        </w:tc>
        <w:tc>
          <w:tcPr>
            <w:tcW w:w="1301" w:type="dxa"/>
            <w:tcBorders>
              <w:top w:val="nil"/>
              <w:left w:val="nil"/>
              <w:bottom w:val="single" w:sz="4" w:space="0" w:color="auto"/>
              <w:right w:val="single" w:sz="4" w:space="0" w:color="auto"/>
            </w:tcBorders>
            <w:shd w:val="clear" w:color="auto" w:fill="auto"/>
            <w:vAlign w:val="center"/>
            <w:hideMark/>
          </w:tcPr>
          <w:p w14:paraId="5FEF20A9"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Koordinimi me NJVV për hartimin e protokollit të menaxhimit të rasteve të ekstremizmit të dhunshëm në nivel vendor.</w:t>
            </w:r>
          </w:p>
        </w:tc>
        <w:tc>
          <w:tcPr>
            <w:tcW w:w="498" w:type="dxa"/>
            <w:tcBorders>
              <w:top w:val="nil"/>
              <w:left w:val="nil"/>
              <w:bottom w:val="single" w:sz="4" w:space="0" w:color="auto"/>
              <w:right w:val="single" w:sz="4" w:space="0" w:color="auto"/>
            </w:tcBorders>
            <w:shd w:val="clear" w:color="auto" w:fill="auto"/>
            <w:vAlign w:val="center"/>
            <w:hideMark/>
          </w:tcPr>
          <w:p w14:paraId="5FEF20AA" w14:textId="4A583EEA"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"Prefekturat dhe Funksionet e Deleguara", Kodi i Programit 01160</w:t>
            </w:r>
            <w:r w:rsidRPr="00795698">
              <w:rPr>
                <w:rFonts w:ascii="Arial" w:hAnsi="Arial" w:cs="Arial"/>
                <w:color w:val="000000"/>
                <w:sz w:val="6"/>
                <w:szCs w:val="6"/>
                <w:lang w:eastAsia="sq-AL"/>
              </w:rPr>
              <w:br/>
              <w:t>Kodi i produktit 91602AC</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noWrap/>
            <w:vAlign w:val="center"/>
            <w:hideMark/>
          </w:tcPr>
          <w:p w14:paraId="5FEF20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w:t>
            </w:r>
          </w:p>
        </w:tc>
        <w:tc>
          <w:tcPr>
            <w:tcW w:w="578" w:type="dxa"/>
            <w:tcBorders>
              <w:top w:val="nil"/>
              <w:left w:val="nil"/>
              <w:bottom w:val="single" w:sz="4" w:space="0" w:color="auto"/>
              <w:right w:val="single" w:sz="4" w:space="0" w:color="auto"/>
            </w:tcBorders>
            <w:shd w:val="clear" w:color="auto" w:fill="auto"/>
            <w:vAlign w:val="bottom"/>
            <w:hideMark/>
          </w:tcPr>
          <w:p w14:paraId="5FEF20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QKEDH; Të gjitha ministritë e linjës dhe institucionet </w:t>
            </w:r>
            <w:r w:rsidRPr="00795698">
              <w:rPr>
                <w:rFonts w:ascii="Arial" w:hAnsi="Arial" w:cs="Arial"/>
                <w:color w:val="000000"/>
                <w:sz w:val="6"/>
                <w:szCs w:val="6"/>
                <w:lang w:eastAsia="sq-AL"/>
              </w:rPr>
              <w:br/>
              <w:t>përkatëse mbështetëse të varësisë: Donatorë;</w:t>
            </w:r>
          </w:p>
        </w:tc>
        <w:tc>
          <w:tcPr>
            <w:tcW w:w="207" w:type="dxa"/>
            <w:tcBorders>
              <w:top w:val="nil"/>
              <w:left w:val="nil"/>
              <w:bottom w:val="single" w:sz="4" w:space="0" w:color="auto"/>
              <w:right w:val="single" w:sz="4" w:space="0" w:color="auto"/>
            </w:tcBorders>
            <w:shd w:val="clear" w:color="auto" w:fill="auto"/>
            <w:vAlign w:val="center"/>
            <w:hideMark/>
          </w:tcPr>
          <w:p w14:paraId="5FEF20A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0A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auto" w:fill="auto"/>
            <w:vAlign w:val="center"/>
            <w:hideMark/>
          </w:tcPr>
          <w:p w14:paraId="5FEF20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75" w:type="dxa"/>
            <w:tcBorders>
              <w:top w:val="nil"/>
              <w:left w:val="nil"/>
              <w:bottom w:val="single" w:sz="4" w:space="0" w:color="auto"/>
              <w:right w:val="single" w:sz="4" w:space="0" w:color="auto"/>
            </w:tcBorders>
            <w:shd w:val="clear" w:color="auto" w:fill="auto"/>
            <w:vAlign w:val="center"/>
            <w:hideMark/>
          </w:tcPr>
          <w:p w14:paraId="5FEF20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auto" w:fill="auto"/>
            <w:vAlign w:val="center"/>
            <w:hideMark/>
          </w:tcPr>
          <w:p w14:paraId="5FEF20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45" w:type="dxa"/>
            <w:tcBorders>
              <w:top w:val="nil"/>
              <w:left w:val="nil"/>
              <w:bottom w:val="single" w:sz="4" w:space="0" w:color="auto"/>
              <w:right w:val="single" w:sz="4" w:space="0" w:color="auto"/>
            </w:tcBorders>
            <w:shd w:val="clear" w:color="auto" w:fill="auto"/>
            <w:vAlign w:val="center"/>
            <w:hideMark/>
          </w:tcPr>
          <w:p w14:paraId="5FEF20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auto" w:fill="auto"/>
            <w:vAlign w:val="center"/>
            <w:hideMark/>
          </w:tcPr>
          <w:p w14:paraId="5FEF20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45" w:type="dxa"/>
            <w:tcBorders>
              <w:top w:val="nil"/>
              <w:left w:val="nil"/>
              <w:bottom w:val="single" w:sz="4" w:space="0" w:color="auto"/>
              <w:right w:val="single" w:sz="4" w:space="0" w:color="auto"/>
            </w:tcBorders>
            <w:shd w:val="clear" w:color="auto" w:fill="auto"/>
            <w:vAlign w:val="center"/>
            <w:hideMark/>
          </w:tcPr>
          <w:p w14:paraId="5FEF20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vAlign w:val="center"/>
            <w:hideMark/>
          </w:tcPr>
          <w:p w14:paraId="5FEF20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275" w:type="dxa"/>
            <w:tcBorders>
              <w:top w:val="nil"/>
              <w:left w:val="nil"/>
              <w:bottom w:val="single" w:sz="4" w:space="0" w:color="auto"/>
              <w:right w:val="single" w:sz="4" w:space="0" w:color="auto"/>
            </w:tcBorders>
            <w:shd w:val="clear" w:color="000000" w:fill="FFFFFF"/>
            <w:vAlign w:val="center"/>
            <w:hideMark/>
          </w:tcPr>
          <w:p w14:paraId="5FEF20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0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306" w:type="dxa"/>
            <w:tcBorders>
              <w:top w:val="nil"/>
              <w:left w:val="nil"/>
              <w:bottom w:val="single" w:sz="4" w:space="0" w:color="auto"/>
              <w:right w:val="single" w:sz="4" w:space="0" w:color="auto"/>
            </w:tcBorders>
            <w:shd w:val="clear" w:color="000000" w:fill="FFFFFF"/>
            <w:vAlign w:val="center"/>
            <w:hideMark/>
          </w:tcPr>
          <w:p w14:paraId="5FEF20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441,780</w:t>
            </w:r>
          </w:p>
        </w:tc>
        <w:tc>
          <w:tcPr>
            <w:tcW w:w="245" w:type="dxa"/>
            <w:tcBorders>
              <w:top w:val="nil"/>
              <w:left w:val="nil"/>
              <w:bottom w:val="single" w:sz="4" w:space="0" w:color="auto"/>
              <w:right w:val="single" w:sz="4" w:space="0" w:color="auto"/>
            </w:tcBorders>
            <w:shd w:val="clear" w:color="000000" w:fill="FFFFFF"/>
            <w:vAlign w:val="center"/>
            <w:hideMark/>
          </w:tcPr>
          <w:p w14:paraId="5FEF20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0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441,780</w:t>
            </w:r>
          </w:p>
        </w:tc>
        <w:tc>
          <w:tcPr>
            <w:tcW w:w="275" w:type="dxa"/>
            <w:tcBorders>
              <w:top w:val="nil"/>
              <w:left w:val="nil"/>
              <w:bottom w:val="single" w:sz="4" w:space="0" w:color="auto"/>
              <w:right w:val="single" w:sz="4" w:space="0" w:color="auto"/>
            </w:tcBorders>
            <w:shd w:val="clear" w:color="000000" w:fill="FFFFFF"/>
            <w:vAlign w:val="center"/>
            <w:hideMark/>
          </w:tcPr>
          <w:p w14:paraId="5FEF20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112,500</w:t>
            </w:r>
          </w:p>
        </w:tc>
        <w:tc>
          <w:tcPr>
            <w:tcW w:w="245" w:type="dxa"/>
            <w:tcBorders>
              <w:top w:val="nil"/>
              <w:left w:val="nil"/>
              <w:bottom w:val="single" w:sz="4" w:space="0" w:color="auto"/>
              <w:right w:val="single" w:sz="4" w:space="0" w:color="auto"/>
            </w:tcBorders>
            <w:shd w:val="clear" w:color="000000" w:fill="FFFFFF"/>
            <w:vAlign w:val="center"/>
            <w:hideMark/>
          </w:tcPr>
          <w:p w14:paraId="5FEF20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0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0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112,500</w:t>
            </w:r>
          </w:p>
        </w:tc>
        <w:tc>
          <w:tcPr>
            <w:tcW w:w="262" w:type="dxa"/>
            <w:tcBorders>
              <w:top w:val="nil"/>
              <w:left w:val="nil"/>
              <w:bottom w:val="single" w:sz="4" w:space="0" w:color="auto"/>
              <w:right w:val="single" w:sz="8" w:space="0" w:color="auto"/>
            </w:tcBorders>
            <w:shd w:val="clear" w:color="000000" w:fill="FFFFFF"/>
            <w:vAlign w:val="center"/>
            <w:hideMark/>
          </w:tcPr>
          <w:p w14:paraId="5FEF20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0D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0C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3.1.2</w:t>
            </w:r>
          </w:p>
        </w:tc>
        <w:tc>
          <w:tcPr>
            <w:tcW w:w="1301" w:type="dxa"/>
            <w:tcBorders>
              <w:top w:val="nil"/>
              <w:left w:val="nil"/>
              <w:bottom w:val="single" w:sz="4" w:space="0" w:color="auto"/>
              <w:right w:val="single" w:sz="4" w:space="0" w:color="auto"/>
            </w:tcBorders>
            <w:shd w:val="clear" w:color="auto" w:fill="auto"/>
            <w:vAlign w:val="center"/>
            <w:hideMark/>
          </w:tcPr>
          <w:p w14:paraId="5FEF20C5" w14:textId="61A4AC61"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Konsolidimi i kuadrit normativ për riorganizimin strukturor, rishikimin e</w:t>
            </w:r>
            <w:r w:rsidR="007C064A" w:rsidRPr="00795698">
              <w:rPr>
                <w:rFonts w:ascii="Arial" w:hAnsi="Arial" w:cs="Arial"/>
                <w:sz w:val="6"/>
                <w:szCs w:val="6"/>
                <w:lang w:eastAsia="sq-AL"/>
              </w:rPr>
              <w:t xml:space="preserve"> </w:t>
            </w:r>
            <w:r w:rsidRPr="00795698">
              <w:rPr>
                <w:rFonts w:ascii="Arial" w:hAnsi="Arial" w:cs="Arial"/>
                <w:sz w:val="6"/>
                <w:szCs w:val="6"/>
                <w:lang w:eastAsia="sq-AL"/>
              </w:rPr>
              <w:t>misionit dhe përgjegjësive të QKEDH, funksionimin dhe bashkëveprimin ndëristitucional të saj me synim rritjen e kapaciteteve dhe fuqizimin e statusit institucional dhe zgjerimin e spektrit të përgjegjësive të saj.</w:t>
            </w:r>
          </w:p>
        </w:tc>
        <w:tc>
          <w:tcPr>
            <w:tcW w:w="498" w:type="dxa"/>
            <w:tcBorders>
              <w:top w:val="nil"/>
              <w:left w:val="nil"/>
              <w:bottom w:val="single" w:sz="4" w:space="0" w:color="auto"/>
              <w:right w:val="single" w:sz="4" w:space="0" w:color="auto"/>
            </w:tcBorders>
            <w:shd w:val="clear" w:color="auto" w:fill="auto"/>
            <w:vAlign w:val="center"/>
            <w:hideMark/>
          </w:tcPr>
          <w:p w14:paraId="5FEF20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p>
        </w:tc>
        <w:tc>
          <w:tcPr>
            <w:tcW w:w="498" w:type="dxa"/>
            <w:tcBorders>
              <w:top w:val="nil"/>
              <w:left w:val="nil"/>
              <w:bottom w:val="single" w:sz="4" w:space="0" w:color="auto"/>
              <w:right w:val="single" w:sz="4" w:space="0" w:color="auto"/>
            </w:tcBorders>
            <w:shd w:val="clear" w:color="auto" w:fill="auto"/>
            <w:noWrap/>
            <w:vAlign w:val="center"/>
            <w:hideMark/>
          </w:tcPr>
          <w:p w14:paraId="5FEF20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noWrap/>
            <w:vAlign w:val="center"/>
            <w:hideMark/>
          </w:tcPr>
          <w:p w14:paraId="5FEF20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Ministria e Brendshme </w:t>
            </w:r>
          </w:p>
        </w:tc>
        <w:tc>
          <w:tcPr>
            <w:tcW w:w="207" w:type="dxa"/>
            <w:tcBorders>
              <w:top w:val="nil"/>
              <w:left w:val="nil"/>
              <w:bottom w:val="single" w:sz="4" w:space="0" w:color="auto"/>
              <w:right w:val="single" w:sz="4" w:space="0" w:color="auto"/>
            </w:tcBorders>
            <w:shd w:val="clear" w:color="auto" w:fill="auto"/>
            <w:vAlign w:val="center"/>
            <w:hideMark/>
          </w:tcPr>
          <w:p w14:paraId="5FEF20C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0C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2022</w:t>
            </w:r>
          </w:p>
        </w:tc>
        <w:tc>
          <w:tcPr>
            <w:tcW w:w="306" w:type="dxa"/>
            <w:tcBorders>
              <w:top w:val="nil"/>
              <w:left w:val="nil"/>
              <w:bottom w:val="single" w:sz="4" w:space="0" w:color="auto"/>
              <w:right w:val="single" w:sz="4" w:space="0" w:color="auto"/>
            </w:tcBorders>
            <w:shd w:val="clear" w:color="auto" w:fill="auto"/>
            <w:vAlign w:val="center"/>
            <w:hideMark/>
          </w:tcPr>
          <w:p w14:paraId="5FEF20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73,900</w:t>
            </w:r>
          </w:p>
        </w:tc>
        <w:tc>
          <w:tcPr>
            <w:tcW w:w="275" w:type="dxa"/>
            <w:tcBorders>
              <w:top w:val="nil"/>
              <w:left w:val="nil"/>
              <w:bottom w:val="single" w:sz="4" w:space="0" w:color="auto"/>
              <w:right w:val="single" w:sz="4" w:space="0" w:color="auto"/>
            </w:tcBorders>
            <w:shd w:val="clear" w:color="auto" w:fill="auto"/>
            <w:vAlign w:val="center"/>
            <w:hideMark/>
          </w:tcPr>
          <w:p w14:paraId="5FEF20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73,900</w:t>
            </w:r>
          </w:p>
        </w:tc>
        <w:tc>
          <w:tcPr>
            <w:tcW w:w="306" w:type="dxa"/>
            <w:tcBorders>
              <w:top w:val="nil"/>
              <w:left w:val="nil"/>
              <w:bottom w:val="single" w:sz="4" w:space="0" w:color="auto"/>
              <w:right w:val="single" w:sz="4" w:space="0" w:color="auto"/>
            </w:tcBorders>
            <w:shd w:val="clear" w:color="auto" w:fill="auto"/>
            <w:vAlign w:val="center"/>
            <w:hideMark/>
          </w:tcPr>
          <w:p w14:paraId="5FEF20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73,900</w:t>
            </w:r>
          </w:p>
        </w:tc>
        <w:tc>
          <w:tcPr>
            <w:tcW w:w="245" w:type="dxa"/>
            <w:tcBorders>
              <w:top w:val="nil"/>
              <w:left w:val="nil"/>
              <w:bottom w:val="single" w:sz="4" w:space="0" w:color="auto"/>
              <w:right w:val="single" w:sz="4" w:space="0" w:color="auto"/>
            </w:tcBorders>
            <w:shd w:val="clear" w:color="auto" w:fill="auto"/>
            <w:vAlign w:val="center"/>
            <w:hideMark/>
          </w:tcPr>
          <w:p w14:paraId="5FEF20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73,900</w:t>
            </w:r>
          </w:p>
        </w:tc>
        <w:tc>
          <w:tcPr>
            <w:tcW w:w="306" w:type="dxa"/>
            <w:tcBorders>
              <w:top w:val="nil"/>
              <w:left w:val="nil"/>
              <w:bottom w:val="single" w:sz="4" w:space="0" w:color="auto"/>
              <w:right w:val="single" w:sz="4" w:space="0" w:color="auto"/>
            </w:tcBorders>
            <w:shd w:val="clear" w:color="auto" w:fill="auto"/>
            <w:vAlign w:val="center"/>
            <w:hideMark/>
          </w:tcPr>
          <w:p w14:paraId="5FEF20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73,900</w:t>
            </w:r>
          </w:p>
        </w:tc>
        <w:tc>
          <w:tcPr>
            <w:tcW w:w="245" w:type="dxa"/>
            <w:tcBorders>
              <w:top w:val="nil"/>
              <w:left w:val="nil"/>
              <w:bottom w:val="single" w:sz="4" w:space="0" w:color="auto"/>
              <w:right w:val="single" w:sz="4" w:space="0" w:color="auto"/>
            </w:tcBorders>
            <w:shd w:val="clear" w:color="auto" w:fill="auto"/>
            <w:vAlign w:val="center"/>
            <w:hideMark/>
          </w:tcPr>
          <w:p w14:paraId="5FEF20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73,900</w:t>
            </w:r>
          </w:p>
        </w:tc>
        <w:tc>
          <w:tcPr>
            <w:tcW w:w="306" w:type="dxa"/>
            <w:tcBorders>
              <w:top w:val="nil"/>
              <w:left w:val="nil"/>
              <w:bottom w:val="single" w:sz="4" w:space="0" w:color="auto"/>
              <w:right w:val="single" w:sz="4" w:space="0" w:color="auto"/>
            </w:tcBorders>
            <w:shd w:val="clear" w:color="000000" w:fill="FFFFFF"/>
            <w:vAlign w:val="center"/>
            <w:hideMark/>
          </w:tcPr>
          <w:p w14:paraId="5FEF20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221,700</w:t>
            </w:r>
          </w:p>
        </w:tc>
        <w:tc>
          <w:tcPr>
            <w:tcW w:w="275" w:type="dxa"/>
            <w:tcBorders>
              <w:top w:val="nil"/>
              <w:left w:val="nil"/>
              <w:bottom w:val="single" w:sz="4" w:space="0" w:color="auto"/>
              <w:right w:val="single" w:sz="4" w:space="0" w:color="auto"/>
            </w:tcBorders>
            <w:shd w:val="clear" w:color="000000" w:fill="FFFFFF"/>
            <w:vAlign w:val="center"/>
            <w:hideMark/>
          </w:tcPr>
          <w:p w14:paraId="5FEF20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0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221,700</w:t>
            </w:r>
          </w:p>
        </w:tc>
        <w:tc>
          <w:tcPr>
            <w:tcW w:w="306" w:type="dxa"/>
            <w:tcBorders>
              <w:top w:val="nil"/>
              <w:left w:val="nil"/>
              <w:bottom w:val="single" w:sz="4" w:space="0" w:color="auto"/>
              <w:right w:val="single" w:sz="4" w:space="0" w:color="auto"/>
            </w:tcBorders>
            <w:shd w:val="clear" w:color="000000" w:fill="FFFFFF"/>
            <w:vAlign w:val="center"/>
            <w:hideMark/>
          </w:tcPr>
          <w:p w14:paraId="5FEF20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221,700</w:t>
            </w:r>
          </w:p>
        </w:tc>
        <w:tc>
          <w:tcPr>
            <w:tcW w:w="245" w:type="dxa"/>
            <w:tcBorders>
              <w:top w:val="nil"/>
              <w:left w:val="nil"/>
              <w:bottom w:val="single" w:sz="4" w:space="0" w:color="auto"/>
              <w:right w:val="single" w:sz="4" w:space="0" w:color="auto"/>
            </w:tcBorders>
            <w:shd w:val="clear" w:color="000000" w:fill="FFFFFF"/>
            <w:vAlign w:val="center"/>
            <w:hideMark/>
          </w:tcPr>
          <w:p w14:paraId="5FEF20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0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221,700</w:t>
            </w:r>
          </w:p>
        </w:tc>
        <w:tc>
          <w:tcPr>
            <w:tcW w:w="275" w:type="dxa"/>
            <w:tcBorders>
              <w:top w:val="nil"/>
              <w:left w:val="nil"/>
              <w:bottom w:val="single" w:sz="4" w:space="0" w:color="auto"/>
              <w:right w:val="single" w:sz="4" w:space="0" w:color="auto"/>
            </w:tcBorders>
            <w:shd w:val="clear" w:color="auto" w:fill="auto"/>
            <w:vAlign w:val="center"/>
            <w:hideMark/>
          </w:tcPr>
          <w:p w14:paraId="5FEF20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auto" w:fill="auto"/>
            <w:vAlign w:val="center"/>
            <w:hideMark/>
          </w:tcPr>
          <w:p w14:paraId="5FEF20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auto" w:fill="auto"/>
            <w:vAlign w:val="center"/>
            <w:hideMark/>
          </w:tcPr>
          <w:p w14:paraId="5FEF20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0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0F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0E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3.1.3</w:t>
            </w:r>
          </w:p>
        </w:tc>
        <w:tc>
          <w:tcPr>
            <w:tcW w:w="1301" w:type="dxa"/>
            <w:tcBorders>
              <w:top w:val="nil"/>
              <w:left w:val="nil"/>
              <w:bottom w:val="single" w:sz="4" w:space="0" w:color="auto"/>
              <w:right w:val="single" w:sz="4" w:space="0" w:color="auto"/>
            </w:tcBorders>
            <w:shd w:val="clear" w:color="auto" w:fill="auto"/>
            <w:vAlign w:val="center"/>
            <w:hideMark/>
          </w:tcPr>
          <w:p w14:paraId="5FEF20E1"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Analiza dhe vlerësimi i kuadrit rregullator për parandalimin e radikalizmit online dhe ekstremizmit të dhunshëm.</w:t>
            </w:r>
          </w:p>
        </w:tc>
        <w:tc>
          <w:tcPr>
            <w:tcW w:w="498" w:type="dxa"/>
            <w:tcBorders>
              <w:top w:val="nil"/>
              <w:left w:val="nil"/>
              <w:bottom w:val="single" w:sz="4" w:space="0" w:color="auto"/>
              <w:right w:val="single" w:sz="4" w:space="0" w:color="auto"/>
            </w:tcBorders>
            <w:shd w:val="clear" w:color="000000" w:fill="FFFFFF"/>
            <w:vAlign w:val="center"/>
            <w:hideMark/>
          </w:tcPr>
          <w:p w14:paraId="5FEF20E2" w14:textId="17A540CD"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noWrap/>
            <w:vAlign w:val="center"/>
            <w:hideMark/>
          </w:tcPr>
          <w:p w14:paraId="5FEF20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noWrap/>
            <w:vAlign w:val="center"/>
            <w:hideMark/>
          </w:tcPr>
          <w:p w14:paraId="5FEF20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20E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0E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auto" w:fill="auto"/>
            <w:vAlign w:val="center"/>
            <w:hideMark/>
          </w:tcPr>
          <w:p w14:paraId="5FEF20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92,380</w:t>
            </w:r>
          </w:p>
        </w:tc>
        <w:tc>
          <w:tcPr>
            <w:tcW w:w="275" w:type="dxa"/>
            <w:tcBorders>
              <w:top w:val="nil"/>
              <w:left w:val="nil"/>
              <w:bottom w:val="single" w:sz="4" w:space="0" w:color="auto"/>
              <w:right w:val="single" w:sz="4" w:space="0" w:color="auto"/>
            </w:tcBorders>
            <w:shd w:val="clear" w:color="auto" w:fill="auto"/>
            <w:vAlign w:val="center"/>
            <w:hideMark/>
          </w:tcPr>
          <w:p w14:paraId="5FEF20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92,380</w:t>
            </w:r>
          </w:p>
        </w:tc>
        <w:tc>
          <w:tcPr>
            <w:tcW w:w="306" w:type="dxa"/>
            <w:tcBorders>
              <w:top w:val="nil"/>
              <w:left w:val="nil"/>
              <w:bottom w:val="single" w:sz="4" w:space="0" w:color="auto"/>
              <w:right w:val="single" w:sz="4" w:space="0" w:color="auto"/>
            </w:tcBorders>
            <w:shd w:val="clear" w:color="auto" w:fill="auto"/>
            <w:vAlign w:val="center"/>
            <w:hideMark/>
          </w:tcPr>
          <w:p w14:paraId="5FEF20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92,380</w:t>
            </w:r>
          </w:p>
        </w:tc>
        <w:tc>
          <w:tcPr>
            <w:tcW w:w="245" w:type="dxa"/>
            <w:tcBorders>
              <w:top w:val="nil"/>
              <w:left w:val="nil"/>
              <w:bottom w:val="single" w:sz="4" w:space="0" w:color="auto"/>
              <w:right w:val="single" w:sz="4" w:space="0" w:color="auto"/>
            </w:tcBorders>
            <w:shd w:val="clear" w:color="auto" w:fill="auto"/>
            <w:vAlign w:val="center"/>
            <w:hideMark/>
          </w:tcPr>
          <w:p w14:paraId="5FEF20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92,380</w:t>
            </w:r>
          </w:p>
        </w:tc>
        <w:tc>
          <w:tcPr>
            <w:tcW w:w="306" w:type="dxa"/>
            <w:tcBorders>
              <w:top w:val="nil"/>
              <w:left w:val="nil"/>
              <w:bottom w:val="single" w:sz="4" w:space="0" w:color="auto"/>
              <w:right w:val="single" w:sz="4" w:space="0" w:color="auto"/>
            </w:tcBorders>
            <w:shd w:val="clear" w:color="auto" w:fill="auto"/>
            <w:vAlign w:val="center"/>
            <w:hideMark/>
          </w:tcPr>
          <w:p w14:paraId="5FEF20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92,380</w:t>
            </w:r>
          </w:p>
        </w:tc>
        <w:tc>
          <w:tcPr>
            <w:tcW w:w="245" w:type="dxa"/>
            <w:tcBorders>
              <w:top w:val="nil"/>
              <w:left w:val="nil"/>
              <w:bottom w:val="single" w:sz="4" w:space="0" w:color="auto"/>
              <w:right w:val="single" w:sz="4" w:space="0" w:color="auto"/>
            </w:tcBorders>
            <w:shd w:val="clear" w:color="auto" w:fill="auto"/>
            <w:vAlign w:val="center"/>
            <w:hideMark/>
          </w:tcPr>
          <w:p w14:paraId="5FEF20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0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92,380</w:t>
            </w:r>
          </w:p>
        </w:tc>
        <w:tc>
          <w:tcPr>
            <w:tcW w:w="306" w:type="dxa"/>
            <w:tcBorders>
              <w:top w:val="nil"/>
              <w:left w:val="nil"/>
              <w:bottom w:val="single" w:sz="4" w:space="0" w:color="auto"/>
              <w:right w:val="single" w:sz="4" w:space="0" w:color="auto"/>
            </w:tcBorders>
            <w:shd w:val="clear" w:color="000000" w:fill="FFFFFF"/>
            <w:vAlign w:val="center"/>
            <w:hideMark/>
          </w:tcPr>
          <w:p w14:paraId="5FEF20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277,140</w:t>
            </w:r>
          </w:p>
        </w:tc>
        <w:tc>
          <w:tcPr>
            <w:tcW w:w="275" w:type="dxa"/>
            <w:tcBorders>
              <w:top w:val="nil"/>
              <w:left w:val="nil"/>
              <w:bottom w:val="single" w:sz="4" w:space="0" w:color="auto"/>
              <w:right w:val="single" w:sz="4" w:space="0" w:color="auto"/>
            </w:tcBorders>
            <w:shd w:val="clear" w:color="000000" w:fill="FFFFFF"/>
            <w:vAlign w:val="center"/>
            <w:hideMark/>
          </w:tcPr>
          <w:p w14:paraId="5FEF20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0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277,140</w:t>
            </w:r>
          </w:p>
        </w:tc>
        <w:tc>
          <w:tcPr>
            <w:tcW w:w="306" w:type="dxa"/>
            <w:tcBorders>
              <w:top w:val="nil"/>
              <w:left w:val="nil"/>
              <w:bottom w:val="single" w:sz="4" w:space="0" w:color="auto"/>
              <w:right w:val="single" w:sz="4" w:space="0" w:color="auto"/>
            </w:tcBorders>
            <w:shd w:val="clear" w:color="000000" w:fill="FFFFFF"/>
            <w:vAlign w:val="center"/>
            <w:hideMark/>
          </w:tcPr>
          <w:p w14:paraId="5FEF20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277,140</w:t>
            </w:r>
          </w:p>
        </w:tc>
        <w:tc>
          <w:tcPr>
            <w:tcW w:w="245" w:type="dxa"/>
            <w:tcBorders>
              <w:top w:val="nil"/>
              <w:left w:val="nil"/>
              <w:bottom w:val="single" w:sz="4" w:space="0" w:color="auto"/>
              <w:right w:val="single" w:sz="4" w:space="0" w:color="auto"/>
            </w:tcBorders>
            <w:shd w:val="clear" w:color="000000" w:fill="FFFFFF"/>
            <w:vAlign w:val="center"/>
            <w:hideMark/>
          </w:tcPr>
          <w:p w14:paraId="5FEF20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0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277,140</w:t>
            </w:r>
          </w:p>
        </w:tc>
        <w:tc>
          <w:tcPr>
            <w:tcW w:w="275" w:type="dxa"/>
            <w:tcBorders>
              <w:top w:val="nil"/>
              <w:left w:val="nil"/>
              <w:bottom w:val="single" w:sz="4" w:space="0" w:color="auto"/>
              <w:right w:val="single" w:sz="4" w:space="0" w:color="auto"/>
            </w:tcBorders>
            <w:shd w:val="clear" w:color="auto" w:fill="auto"/>
            <w:vAlign w:val="center"/>
            <w:hideMark/>
          </w:tcPr>
          <w:p w14:paraId="5FEF20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auto" w:fill="auto"/>
            <w:vAlign w:val="center"/>
            <w:hideMark/>
          </w:tcPr>
          <w:p w14:paraId="5FEF20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auto" w:fill="auto"/>
            <w:vAlign w:val="center"/>
            <w:hideMark/>
          </w:tcPr>
          <w:p w14:paraId="5FEF20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0F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0F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1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0F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3.1.4</w:t>
            </w:r>
          </w:p>
        </w:tc>
        <w:tc>
          <w:tcPr>
            <w:tcW w:w="1301" w:type="dxa"/>
            <w:tcBorders>
              <w:top w:val="nil"/>
              <w:left w:val="nil"/>
              <w:bottom w:val="single" w:sz="4" w:space="0" w:color="auto"/>
              <w:right w:val="single" w:sz="4" w:space="0" w:color="auto"/>
            </w:tcBorders>
            <w:shd w:val="clear" w:color="auto" w:fill="auto"/>
            <w:vAlign w:val="center"/>
            <w:hideMark/>
          </w:tcPr>
          <w:p w14:paraId="5FEF20FD"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Miratimi i protokollit dhe i aktit administrativ që përcakton institucionet përgjegjëse dhe afatet kohore në zbatimin e masave në trajtim të individët e radikalizuar dhe ekstremistët e dhunshëm.</w:t>
            </w:r>
          </w:p>
        </w:tc>
        <w:tc>
          <w:tcPr>
            <w:tcW w:w="498" w:type="dxa"/>
            <w:tcBorders>
              <w:top w:val="nil"/>
              <w:left w:val="nil"/>
              <w:bottom w:val="single" w:sz="4" w:space="0" w:color="auto"/>
              <w:right w:val="single" w:sz="4" w:space="0" w:color="auto"/>
            </w:tcBorders>
            <w:shd w:val="clear" w:color="000000" w:fill="FFFFFF"/>
            <w:vAlign w:val="center"/>
            <w:hideMark/>
          </w:tcPr>
          <w:p w14:paraId="5FEF20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Policia e Shtetit, Kodi i Programit 03140</w:t>
            </w:r>
            <w:r w:rsidRPr="00795698">
              <w:rPr>
                <w:rFonts w:ascii="Arial" w:hAnsi="Arial" w:cs="Arial"/>
                <w:color w:val="000000"/>
                <w:sz w:val="6"/>
                <w:szCs w:val="6"/>
                <w:lang w:eastAsia="sq-AL"/>
              </w:rPr>
              <w:br/>
              <w:t xml:space="preserve">Kodi i produktit buxhetor </w:t>
            </w:r>
          </w:p>
        </w:tc>
        <w:tc>
          <w:tcPr>
            <w:tcW w:w="498" w:type="dxa"/>
            <w:tcBorders>
              <w:top w:val="nil"/>
              <w:left w:val="nil"/>
              <w:bottom w:val="single" w:sz="4" w:space="0" w:color="auto"/>
              <w:right w:val="single" w:sz="4" w:space="0" w:color="auto"/>
            </w:tcBorders>
            <w:shd w:val="clear" w:color="000000" w:fill="FFFFFF"/>
            <w:vAlign w:val="center"/>
            <w:hideMark/>
          </w:tcPr>
          <w:p w14:paraId="5FEF20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Ministria e Brendshme</w:t>
            </w:r>
          </w:p>
        </w:tc>
        <w:tc>
          <w:tcPr>
            <w:tcW w:w="578" w:type="dxa"/>
            <w:tcBorders>
              <w:top w:val="nil"/>
              <w:left w:val="nil"/>
              <w:bottom w:val="single" w:sz="4" w:space="0" w:color="auto"/>
              <w:right w:val="single" w:sz="4" w:space="0" w:color="auto"/>
            </w:tcBorders>
            <w:shd w:val="clear" w:color="auto" w:fill="auto"/>
            <w:vAlign w:val="center"/>
            <w:hideMark/>
          </w:tcPr>
          <w:p w14:paraId="5FEF21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QKEDH; Të gjitha ministritë e linjës dhe institucionet </w:t>
            </w:r>
            <w:r w:rsidRPr="00795698">
              <w:rPr>
                <w:rFonts w:ascii="Arial" w:hAnsi="Arial" w:cs="Arial"/>
                <w:color w:val="000000"/>
                <w:sz w:val="6"/>
                <w:szCs w:val="6"/>
                <w:lang w:eastAsia="sq-AL"/>
              </w:rPr>
              <w:br/>
              <w:t>përkatëse mbështetëse të varësisë: Donatorë;</w:t>
            </w:r>
          </w:p>
        </w:tc>
        <w:tc>
          <w:tcPr>
            <w:tcW w:w="207" w:type="dxa"/>
            <w:tcBorders>
              <w:top w:val="nil"/>
              <w:left w:val="nil"/>
              <w:bottom w:val="single" w:sz="4" w:space="0" w:color="auto"/>
              <w:right w:val="single" w:sz="4" w:space="0" w:color="auto"/>
            </w:tcBorders>
            <w:shd w:val="clear" w:color="auto" w:fill="auto"/>
            <w:vAlign w:val="center"/>
            <w:hideMark/>
          </w:tcPr>
          <w:p w14:paraId="5FEF210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0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2024</w:t>
            </w:r>
          </w:p>
        </w:tc>
        <w:tc>
          <w:tcPr>
            <w:tcW w:w="306" w:type="dxa"/>
            <w:tcBorders>
              <w:top w:val="nil"/>
              <w:left w:val="nil"/>
              <w:bottom w:val="single" w:sz="4" w:space="0" w:color="auto"/>
              <w:right w:val="single" w:sz="4" w:space="0" w:color="auto"/>
            </w:tcBorders>
            <w:shd w:val="clear" w:color="000000" w:fill="FFFFFF"/>
            <w:noWrap/>
            <w:vAlign w:val="center"/>
            <w:hideMark/>
          </w:tcPr>
          <w:p w14:paraId="5FEF21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275" w:type="dxa"/>
            <w:tcBorders>
              <w:top w:val="nil"/>
              <w:left w:val="nil"/>
              <w:bottom w:val="single" w:sz="4" w:space="0" w:color="auto"/>
              <w:right w:val="single" w:sz="4" w:space="0" w:color="auto"/>
            </w:tcBorders>
            <w:shd w:val="clear" w:color="auto" w:fill="auto"/>
            <w:vAlign w:val="center"/>
            <w:hideMark/>
          </w:tcPr>
          <w:p w14:paraId="5FEF21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306" w:type="dxa"/>
            <w:tcBorders>
              <w:top w:val="nil"/>
              <w:left w:val="nil"/>
              <w:bottom w:val="single" w:sz="4" w:space="0" w:color="auto"/>
              <w:right w:val="single" w:sz="4" w:space="0" w:color="auto"/>
            </w:tcBorders>
            <w:shd w:val="clear" w:color="000000" w:fill="FFFFFF"/>
            <w:noWrap/>
            <w:vAlign w:val="center"/>
            <w:hideMark/>
          </w:tcPr>
          <w:p w14:paraId="5FEF21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245" w:type="dxa"/>
            <w:tcBorders>
              <w:top w:val="nil"/>
              <w:left w:val="nil"/>
              <w:bottom w:val="single" w:sz="4" w:space="0" w:color="auto"/>
              <w:right w:val="single" w:sz="4" w:space="0" w:color="auto"/>
            </w:tcBorders>
            <w:shd w:val="clear" w:color="auto" w:fill="auto"/>
            <w:vAlign w:val="center"/>
            <w:hideMark/>
          </w:tcPr>
          <w:p w14:paraId="5FEF21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306" w:type="dxa"/>
            <w:tcBorders>
              <w:top w:val="nil"/>
              <w:left w:val="nil"/>
              <w:bottom w:val="single" w:sz="4" w:space="0" w:color="auto"/>
              <w:right w:val="single" w:sz="4" w:space="0" w:color="auto"/>
            </w:tcBorders>
            <w:shd w:val="clear" w:color="000000" w:fill="FFFFFF"/>
            <w:noWrap/>
            <w:vAlign w:val="center"/>
            <w:hideMark/>
          </w:tcPr>
          <w:p w14:paraId="5FEF21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245" w:type="dxa"/>
            <w:tcBorders>
              <w:top w:val="nil"/>
              <w:left w:val="nil"/>
              <w:bottom w:val="single" w:sz="4" w:space="0" w:color="auto"/>
              <w:right w:val="single" w:sz="4" w:space="0" w:color="auto"/>
            </w:tcBorders>
            <w:shd w:val="clear" w:color="auto" w:fill="auto"/>
            <w:vAlign w:val="center"/>
            <w:hideMark/>
          </w:tcPr>
          <w:p w14:paraId="5FEF21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306" w:type="dxa"/>
            <w:tcBorders>
              <w:top w:val="nil"/>
              <w:left w:val="nil"/>
              <w:bottom w:val="single" w:sz="4" w:space="0" w:color="auto"/>
              <w:right w:val="single" w:sz="4" w:space="0" w:color="auto"/>
            </w:tcBorders>
            <w:shd w:val="clear" w:color="000000" w:fill="FFFFFF"/>
            <w:vAlign w:val="center"/>
            <w:hideMark/>
          </w:tcPr>
          <w:p w14:paraId="5FEF21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110,850</w:t>
            </w:r>
          </w:p>
        </w:tc>
        <w:tc>
          <w:tcPr>
            <w:tcW w:w="275" w:type="dxa"/>
            <w:tcBorders>
              <w:top w:val="nil"/>
              <w:left w:val="nil"/>
              <w:bottom w:val="single" w:sz="4" w:space="0" w:color="auto"/>
              <w:right w:val="single" w:sz="4" w:space="0" w:color="auto"/>
            </w:tcBorders>
            <w:shd w:val="clear" w:color="000000" w:fill="FFFFFF"/>
            <w:vAlign w:val="center"/>
            <w:hideMark/>
          </w:tcPr>
          <w:p w14:paraId="5FEF21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110,850</w:t>
            </w:r>
          </w:p>
        </w:tc>
        <w:tc>
          <w:tcPr>
            <w:tcW w:w="306" w:type="dxa"/>
            <w:tcBorders>
              <w:top w:val="nil"/>
              <w:left w:val="nil"/>
              <w:bottom w:val="single" w:sz="4" w:space="0" w:color="auto"/>
              <w:right w:val="single" w:sz="4" w:space="0" w:color="auto"/>
            </w:tcBorders>
            <w:shd w:val="clear" w:color="000000" w:fill="FFFFFF"/>
            <w:vAlign w:val="center"/>
            <w:hideMark/>
          </w:tcPr>
          <w:p w14:paraId="5FEF21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110,850</w:t>
            </w:r>
          </w:p>
        </w:tc>
        <w:tc>
          <w:tcPr>
            <w:tcW w:w="245" w:type="dxa"/>
            <w:tcBorders>
              <w:top w:val="nil"/>
              <w:left w:val="nil"/>
              <w:bottom w:val="single" w:sz="4" w:space="0" w:color="auto"/>
              <w:right w:val="single" w:sz="4" w:space="0" w:color="auto"/>
            </w:tcBorders>
            <w:shd w:val="clear" w:color="000000" w:fill="FFFFFF"/>
            <w:vAlign w:val="center"/>
            <w:hideMark/>
          </w:tcPr>
          <w:p w14:paraId="5FEF21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110,850</w:t>
            </w:r>
          </w:p>
        </w:tc>
        <w:tc>
          <w:tcPr>
            <w:tcW w:w="275" w:type="dxa"/>
            <w:tcBorders>
              <w:top w:val="nil"/>
              <w:left w:val="nil"/>
              <w:bottom w:val="single" w:sz="4" w:space="0" w:color="auto"/>
              <w:right w:val="single" w:sz="4" w:space="0" w:color="auto"/>
            </w:tcBorders>
            <w:shd w:val="clear" w:color="auto" w:fill="auto"/>
            <w:vAlign w:val="center"/>
            <w:hideMark/>
          </w:tcPr>
          <w:p w14:paraId="5FEF21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auto" w:fill="auto"/>
            <w:vAlign w:val="center"/>
            <w:hideMark/>
          </w:tcPr>
          <w:p w14:paraId="5FEF21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1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1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3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1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3.1.5</w:t>
            </w:r>
          </w:p>
        </w:tc>
        <w:tc>
          <w:tcPr>
            <w:tcW w:w="1301" w:type="dxa"/>
            <w:tcBorders>
              <w:top w:val="nil"/>
              <w:left w:val="nil"/>
              <w:bottom w:val="single" w:sz="4" w:space="0" w:color="auto"/>
              <w:right w:val="single" w:sz="4" w:space="0" w:color="auto"/>
            </w:tcBorders>
            <w:shd w:val="clear" w:color="auto" w:fill="auto"/>
            <w:vAlign w:val="center"/>
            <w:hideMark/>
          </w:tcPr>
          <w:p w14:paraId="5FEF2119"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Vendosja në funksion të QKEDH i një programi kompjuterik analitik me bazë të dhënash digjitale të dedikuar për përpunim informacioni për rastet dhe profilet që lidhen me ekstremizmin e dhunshëm në interes të analizave për rrezikun ndaj radikalizmin.</w:t>
            </w:r>
          </w:p>
        </w:tc>
        <w:tc>
          <w:tcPr>
            <w:tcW w:w="498" w:type="dxa"/>
            <w:tcBorders>
              <w:top w:val="nil"/>
              <w:left w:val="nil"/>
              <w:bottom w:val="single" w:sz="4" w:space="0" w:color="auto"/>
              <w:right w:val="single" w:sz="4" w:space="0" w:color="auto"/>
            </w:tcBorders>
            <w:shd w:val="clear" w:color="auto" w:fill="auto"/>
            <w:vAlign w:val="center"/>
            <w:hideMark/>
          </w:tcPr>
          <w:p w14:paraId="5FEF21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M160911</w:t>
            </w:r>
          </w:p>
        </w:tc>
        <w:tc>
          <w:tcPr>
            <w:tcW w:w="498" w:type="dxa"/>
            <w:tcBorders>
              <w:top w:val="nil"/>
              <w:left w:val="nil"/>
              <w:bottom w:val="single" w:sz="4" w:space="0" w:color="auto"/>
              <w:right w:val="single" w:sz="4" w:space="0" w:color="auto"/>
            </w:tcBorders>
            <w:shd w:val="clear" w:color="auto" w:fill="auto"/>
            <w:vAlign w:val="center"/>
            <w:hideMark/>
          </w:tcPr>
          <w:p w14:paraId="5FEF21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1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211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1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noWrap/>
            <w:vAlign w:val="center"/>
            <w:hideMark/>
          </w:tcPr>
          <w:p w14:paraId="5FEF21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75" w:type="dxa"/>
            <w:tcBorders>
              <w:top w:val="nil"/>
              <w:left w:val="nil"/>
              <w:bottom w:val="single" w:sz="4" w:space="0" w:color="auto"/>
              <w:right w:val="single" w:sz="4" w:space="0" w:color="auto"/>
            </w:tcBorders>
            <w:shd w:val="clear" w:color="000000" w:fill="FFFFFF"/>
            <w:noWrap/>
            <w:vAlign w:val="center"/>
            <w:hideMark/>
          </w:tcPr>
          <w:p w14:paraId="5FEF21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auto" w:fill="auto"/>
            <w:vAlign w:val="center"/>
            <w:hideMark/>
          </w:tcPr>
          <w:p w14:paraId="5FEF21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noWrap/>
            <w:vAlign w:val="center"/>
            <w:hideMark/>
          </w:tcPr>
          <w:p w14:paraId="5FEF21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noWrap/>
            <w:vAlign w:val="center"/>
            <w:hideMark/>
          </w:tcPr>
          <w:p w14:paraId="5FEF21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1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noWrap/>
            <w:vAlign w:val="center"/>
            <w:hideMark/>
          </w:tcPr>
          <w:p w14:paraId="5FEF21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75" w:type="dxa"/>
            <w:tcBorders>
              <w:top w:val="nil"/>
              <w:left w:val="nil"/>
              <w:bottom w:val="single" w:sz="4" w:space="0" w:color="auto"/>
              <w:right w:val="single" w:sz="4" w:space="0" w:color="auto"/>
            </w:tcBorders>
            <w:shd w:val="clear" w:color="000000" w:fill="FFFFFF"/>
            <w:vAlign w:val="center"/>
            <w:hideMark/>
          </w:tcPr>
          <w:p w14:paraId="5FEF21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vAlign w:val="center"/>
            <w:hideMark/>
          </w:tcPr>
          <w:p w14:paraId="5FEF21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306" w:type="dxa"/>
            <w:tcBorders>
              <w:top w:val="nil"/>
              <w:left w:val="nil"/>
              <w:bottom w:val="single" w:sz="4" w:space="0" w:color="auto"/>
              <w:right w:val="single" w:sz="4" w:space="0" w:color="auto"/>
            </w:tcBorders>
            <w:shd w:val="clear" w:color="000000" w:fill="FFFFFF"/>
            <w:vAlign w:val="center"/>
            <w:hideMark/>
          </w:tcPr>
          <w:p w14:paraId="5FEF21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45" w:type="dxa"/>
            <w:tcBorders>
              <w:top w:val="nil"/>
              <w:left w:val="nil"/>
              <w:bottom w:val="single" w:sz="4" w:space="0" w:color="auto"/>
              <w:right w:val="single" w:sz="4" w:space="0" w:color="auto"/>
            </w:tcBorders>
            <w:shd w:val="clear" w:color="000000" w:fill="FFFFFF"/>
            <w:vAlign w:val="center"/>
            <w:hideMark/>
          </w:tcPr>
          <w:p w14:paraId="5FEF21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500,000</w:t>
            </w:r>
          </w:p>
        </w:tc>
        <w:tc>
          <w:tcPr>
            <w:tcW w:w="275" w:type="dxa"/>
            <w:tcBorders>
              <w:top w:val="nil"/>
              <w:left w:val="nil"/>
              <w:bottom w:val="single" w:sz="4" w:space="0" w:color="auto"/>
              <w:right w:val="single" w:sz="4" w:space="0" w:color="auto"/>
            </w:tcBorders>
            <w:shd w:val="clear" w:color="000000" w:fill="FFFFFF"/>
            <w:vAlign w:val="center"/>
            <w:hideMark/>
          </w:tcPr>
          <w:p w14:paraId="5FEF21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1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3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1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4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34"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3.1.6</w:t>
            </w:r>
          </w:p>
        </w:tc>
        <w:tc>
          <w:tcPr>
            <w:tcW w:w="1301" w:type="dxa"/>
            <w:tcBorders>
              <w:top w:val="nil"/>
              <w:left w:val="nil"/>
              <w:bottom w:val="single" w:sz="4" w:space="0" w:color="auto"/>
              <w:right w:val="single" w:sz="4" w:space="0" w:color="auto"/>
            </w:tcBorders>
            <w:shd w:val="clear" w:color="auto" w:fill="auto"/>
            <w:vAlign w:val="center"/>
            <w:hideMark/>
          </w:tcPr>
          <w:p w14:paraId="5FEF2135"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Ngritja e strukturës përgjegjëse në QKEDH për përdorimin e programit kompjuterik analitik me bazë të dhënash digjitale i dedikuar për rastet e ekstremizmit të dhunshëm.</w:t>
            </w:r>
          </w:p>
        </w:tc>
        <w:tc>
          <w:tcPr>
            <w:tcW w:w="498" w:type="dxa"/>
            <w:tcBorders>
              <w:top w:val="nil"/>
              <w:left w:val="nil"/>
              <w:bottom w:val="single" w:sz="4" w:space="0" w:color="auto"/>
              <w:right w:val="single" w:sz="4" w:space="0" w:color="auto"/>
            </w:tcBorders>
            <w:shd w:val="clear" w:color="000000" w:fill="FFFFFF"/>
            <w:vAlign w:val="center"/>
            <w:hideMark/>
          </w:tcPr>
          <w:p w14:paraId="5FEF2136" w14:textId="3D5C9500"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1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1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213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3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noWrap/>
            <w:vAlign w:val="center"/>
            <w:hideMark/>
          </w:tcPr>
          <w:p w14:paraId="5FEF21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75" w:type="dxa"/>
            <w:tcBorders>
              <w:top w:val="nil"/>
              <w:left w:val="nil"/>
              <w:bottom w:val="single" w:sz="4" w:space="0" w:color="auto"/>
              <w:right w:val="single" w:sz="4" w:space="0" w:color="auto"/>
            </w:tcBorders>
            <w:shd w:val="clear" w:color="000000" w:fill="FFFFFF"/>
            <w:noWrap/>
            <w:vAlign w:val="center"/>
            <w:hideMark/>
          </w:tcPr>
          <w:p w14:paraId="5FEF21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noWrap/>
            <w:vAlign w:val="center"/>
            <w:hideMark/>
          </w:tcPr>
          <w:p w14:paraId="5FEF21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45" w:type="dxa"/>
            <w:tcBorders>
              <w:top w:val="nil"/>
              <w:left w:val="nil"/>
              <w:bottom w:val="single" w:sz="4" w:space="0" w:color="auto"/>
              <w:right w:val="single" w:sz="4" w:space="0" w:color="auto"/>
            </w:tcBorders>
            <w:shd w:val="clear" w:color="000000" w:fill="FFFFFF"/>
            <w:noWrap/>
            <w:vAlign w:val="center"/>
            <w:hideMark/>
          </w:tcPr>
          <w:p w14:paraId="5FEF21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noWrap/>
            <w:vAlign w:val="center"/>
            <w:hideMark/>
          </w:tcPr>
          <w:p w14:paraId="5FEF21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45" w:type="dxa"/>
            <w:tcBorders>
              <w:top w:val="nil"/>
              <w:left w:val="nil"/>
              <w:bottom w:val="single" w:sz="4" w:space="0" w:color="auto"/>
              <w:right w:val="single" w:sz="4" w:space="0" w:color="auto"/>
            </w:tcBorders>
            <w:shd w:val="clear" w:color="000000" w:fill="FFFFFF"/>
            <w:noWrap/>
            <w:vAlign w:val="center"/>
            <w:hideMark/>
          </w:tcPr>
          <w:p w14:paraId="5FEF21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vAlign w:val="center"/>
            <w:hideMark/>
          </w:tcPr>
          <w:p w14:paraId="5FEF21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275" w:type="dxa"/>
            <w:tcBorders>
              <w:top w:val="nil"/>
              <w:left w:val="nil"/>
              <w:bottom w:val="single" w:sz="4" w:space="0" w:color="auto"/>
              <w:right w:val="single" w:sz="4" w:space="0" w:color="auto"/>
            </w:tcBorders>
            <w:shd w:val="clear" w:color="000000" w:fill="FFFFFF"/>
            <w:vAlign w:val="center"/>
            <w:hideMark/>
          </w:tcPr>
          <w:p w14:paraId="5FEF21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306" w:type="dxa"/>
            <w:tcBorders>
              <w:top w:val="nil"/>
              <w:left w:val="nil"/>
              <w:bottom w:val="single" w:sz="4" w:space="0" w:color="auto"/>
              <w:right w:val="single" w:sz="4" w:space="0" w:color="auto"/>
            </w:tcBorders>
            <w:shd w:val="clear" w:color="000000" w:fill="FFFFFF"/>
            <w:vAlign w:val="center"/>
            <w:hideMark/>
          </w:tcPr>
          <w:p w14:paraId="5FEF214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45" w:type="dxa"/>
            <w:tcBorders>
              <w:top w:val="nil"/>
              <w:left w:val="nil"/>
              <w:bottom w:val="single" w:sz="4" w:space="0" w:color="auto"/>
              <w:right w:val="single" w:sz="4" w:space="0" w:color="auto"/>
            </w:tcBorders>
            <w:shd w:val="clear" w:color="000000" w:fill="FFFFFF"/>
            <w:vAlign w:val="center"/>
            <w:hideMark/>
          </w:tcPr>
          <w:p w14:paraId="5FEF214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4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450,000</w:t>
            </w:r>
          </w:p>
        </w:tc>
        <w:tc>
          <w:tcPr>
            <w:tcW w:w="275" w:type="dxa"/>
            <w:tcBorders>
              <w:top w:val="nil"/>
              <w:left w:val="nil"/>
              <w:bottom w:val="single" w:sz="4" w:space="0" w:color="auto"/>
              <w:right w:val="single" w:sz="4" w:space="0" w:color="auto"/>
            </w:tcBorders>
            <w:shd w:val="clear" w:color="000000" w:fill="FFFFFF"/>
            <w:vAlign w:val="center"/>
            <w:hideMark/>
          </w:tcPr>
          <w:p w14:paraId="5FEF21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104,280</w:t>
            </w:r>
          </w:p>
        </w:tc>
        <w:tc>
          <w:tcPr>
            <w:tcW w:w="245" w:type="dxa"/>
            <w:tcBorders>
              <w:top w:val="nil"/>
              <w:left w:val="nil"/>
              <w:bottom w:val="single" w:sz="4" w:space="0" w:color="auto"/>
              <w:right w:val="single" w:sz="4" w:space="0" w:color="auto"/>
            </w:tcBorders>
            <w:shd w:val="clear" w:color="000000" w:fill="FFFFFF"/>
            <w:vAlign w:val="center"/>
            <w:hideMark/>
          </w:tcPr>
          <w:p w14:paraId="5FEF21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4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104,280</w:t>
            </w:r>
          </w:p>
        </w:tc>
        <w:tc>
          <w:tcPr>
            <w:tcW w:w="262" w:type="dxa"/>
            <w:tcBorders>
              <w:top w:val="nil"/>
              <w:left w:val="nil"/>
              <w:bottom w:val="single" w:sz="4" w:space="0" w:color="auto"/>
              <w:right w:val="single" w:sz="8" w:space="0" w:color="auto"/>
            </w:tcBorders>
            <w:shd w:val="clear" w:color="auto" w:fill="auto"/>
            <w:vAlign w:val="center"/>
            <w:hideMark/>
          </w:tcPr>
          <w:p w14:paraId="5FEF21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6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50"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3.1.7</w:t>
            </w:r>
          </w:p>
        </w:tc>
        <w:tc>
          <w:tcPr>
            <w:tcW w:w="1301" w:type="dxa"/>
            <w:tcBorders>
              <w:top w:val="nil"/>
              <w:left w:val="nil"/>
              <w:bottom w:val="single" w:sz="4" w:space="0" w:color="auto"/>
              <w:right w:val="single" w:sz="4" w:space="0" w:color="auto"/>
            </w:tcBorders>
            <w:shd w:val="clear" w:color="auto" w:fill="auto"/>
            <w:vAlign w:val="center"/>
            <w:hideMark/>
          </w:tcPr>
          <w:p w14:paraId="5FEF2151" w14:textId="0A04D8AD"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Ngritja e kapaciteteve të strukturës përgjegjëse për përdorimin e programit kompjuterik</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me bazë të dhënash digjitale </w:t>
            </w:r>
            <w:r w:rsidRPr="00795698">
              <w:rPr>
                <w:rFonts w:ascii="Arial" w:hAnsi="Arial" w:cs="Arial"/>
                <w:color w:val="000000"/>
                <w:sz w:val="6"/>
                <w:szCs w:val="6"/>
                <w:lang w:eastAsia="sq-AL"/>
              </w:rPr>
              <w:lastRenderedPageBreak/>
              <w:t>i dedikuar për rastet e ekstremizmit të dhunshëm.</w:t>
            </w:r>
          </w:p>
        </w:tc>
        <w:tc>
          <w:tcPr>
            <w:tcW w:w="498" w:type="dxa"/>
            <w:tcBorders>
              <w:top w:val="nil"/>
              <w:left w:val="nil"/>
              <w:bottom w:val="single" w:sz="4" w:space="0" w:color="auto"/>
              <w:right w:val="single" w:sz="4" w:space="0" w:color="auto"/>
            </w:tcBorders>
            <w:shd w:val="clear" w:color="000000" w:fill="FFFFFF"/>
            <w:vAlign w:val="center"/>
            <w:hideMark/>
          </w:tcPr>
          <w:p w14:paraId="5FEF2152" w14:textId="4F829EAA"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 xml:space="preserve">Programi Buxhetor "Planifikimi, </w:t>
            </w:r>
            <w:r w:rsidRPr="00795698">
              <w:rPr>
                <w:rFonts w:ascii="Arial" w:hAnsi="Arial" w:cs="Arial"/>
                <w:color w:val="000000"/>
                <w:sz w:val="6"/>
                <w:szCs w:val="6"/>
                <w:lang w:eastAsia="sq-AL"/>
              </w:rPr>
              <w:lastRenderedPageBreak/>
              <w:t>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1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QKEDH</w:t>
            </w:r>
          </w:p>
        </w:tc>
        <w:tc>
          <w:tcPr>
            <w:tcW w:w="578" w:type="dxa"/>
            <w:tcBorders>
              <w:top w:val="nil"/>
              <w:left w:val="nil"/>
              <w:bottom w:val="single" w:sz="4" w:space="0" w:color="auto"/>
              <w:right w:val="single" w:sz="4" w:space="0" w:color="auto"/>
            </w:tcBorders>
            <w:shd w:val="clear" w:color="auto" w:fill="auto"/>
            <w:vAlign w:val="center"/>
            <w:hideMark/>
          </w:tcPr>
          <w:p w14:paraId="5FEF21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Donatorë</w:t>
            </w:r>
          </w:p>
        </w:tc>
        <w:tc>
          <w:tcPr>
            <w:tcW w:w="207" w:type="dxa"/>
            <w:tcBorders>
              <w:top w:val="nil"/>
              <w:left w:val="nil"/>
              <w:bottom w:val="single" w:sz="4" w:space="0" w:color="auto"/>
              <w:right w:val="single" w:sz="4" w:space="0" w:color="auto"/>
            </w:tcBorders>
            <w:shd w:val="clear" w:color="auto" w:fill="auto"/>
            <w:vAlign w:val="center"/>
            <w:hideMark/>
          </w:tcPr>
          <w:p w14:paraId="5FEF215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5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306" w:type="dxa"/>
            <w:tcBorders>
              <w:top w:val="nil"/>
              <w:left w:val="nil"/>
              <w:bottom w:val="single" w:sz="4" w:space="0" w:color="auto"/>
              <w:right w:val="single" w:sz="4" w:space="0" w:color="auto"/>
            </w:tcBorders>
            <w:shd w:val="clear" w:color="000000" w:fill="FFFFFF"/>
            <w:noWrap/>
            <w:vAlign w:val="center"/>
            <w:hideMark/>
          </w:tcPr>
          <w:p w14:paraId="5FEF21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135,000</w:t>
            </w:r>
          </w:p>
        </w:tc>
        <w:tc>
          <w:tcPr>
            <w:tcW w:w="275" w:type="dxa"/>
            <w:tcBorders>
              <w:top w:val="nil"/>
              <w:left w:val="nil"/>
              <w:bottom w:val="single" w:sz="4" w:space="0" w:color="auto"/>
              <w:right w:val="single" w:sz="4" w:space="0" w:color="auto"/>
            </w:tcBorders>
            <w:shd w:val="clear" w:color="000000" w:fill="FFFFFF"/>
            <w:noWrap/>
            <w:vAlign w:val="center"/>
            <w:hideMark/>
          </w:tcPr>
          <w:p w14:paraId="5FEF21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135,000</w:t>
            </w:r>
          </w:p>
        </w:tc>
        <w:tc>
          <w:tcPr>
            <w:tcW w:w="306" w:type="dxa"/>
            <w:tcBorders>
              <w:top w:val="nil"/>
              <w:left w:val="nil"/>
              <w:bottom w:val="single" w:sz="4" w:space="0" w:color="auto"/>
              <w:right w:val="single" w:sz="4" w:space="0" w:color="auto"/>
            </w:tcBorders>
            <w:shd w:val="clear" w:color="000000" w:fill="FFFFFF"/>
            <w:noWrap/>
            <w:vAlign w:val="center"/>
            <w:hideMark/>
          </w:tcPr>
          <w:p w14:paraId="5FEF21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135,000</w:t>
            </w:r>
          </w:p>
        </w:tc>
        <w:tc>
          <w:tcPr>
            <w:tcW w:w="245" w:type="dxa"/>
            <w:tcBorders>
              <w:top w:val="nil"/>
              <w:left w:val="nil"/>
              <w:bottom w:val="single" w:sz="4" w:space="0" w:color="auto"/>
              <w:right w:val="single" w:sz="4" w:space="0" w:color="auto"/>
            </w:tcBorders>
            <w:shd w:val="clear" w:color="000000" w:fill="FFFFFF"/>
            <w:noWrap/>
            <w:vAlign w:val="center"/>
            <w:hideMark/>
          </w:tcPr>
          <w:p w14:paraId="5FEF21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1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135,000</w:t>
            </w:r>
          </w:p>
        </w:tc>
        <w:tc>
          <w:tcPr>
            <w:tcW w:w="306" w:type="dxa"/>
            <w:tcBorders>
              <w:top w:val="nil"/>
              <w:left w:val="nil"/>
              <w:bottom w:val="single" w:sz="4" w:space="0" w:color="auto"/>
              <w:right w:val="single" w:sz="4" w:space="0" w:color="auto"/>
            </w:tcBorders>
            <w:shd w:val="clear" w:color="000000" w:fill="FFFFFF"/>
            <w:noWrap/>
            <w:vAlign w:val="center"/>
            <w:hideMark/>
          </w:tcPr>
          <w:p w14:paraId="5FEF21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135,000</w:t>
            </w:r>
          </w:p>
        </w:tc>
        <w:tc>
          <w:tcPr>
            <w:tcW w:w="245" w:type="dxa"/>
            <w:tcBorders>
              <w:top w:val="nil"/>
              <w:left w:val="nil"/>
              <w:bottom w:val="single" w:sz="4" w:space="0" w:color="auto"/>
              <w:right w:val="single" w:sz="4" w:space="0" w:color="auto"/>
            </w:tcBorders>
            <w:shd w:val="clear" w:color="000000" w:fill="FFFFFF"/>
            <w:noWrap/>
            <w:vAlign w:val="center"/>
            <w:hideMark/>
          </w:tcPr>
          <w:p w14:paraId="5FEF21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vAlign w:val="center"/>
            <w:hideMark/>
          </w:tcPr>
          <w:p w14:paraId="5FEF21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135,000</w:t>
            </w:r>
          </w:p>
        </w:tc>
        <w:tc>
          <w:tcPr>
            <w:tcW w:w="306" w:type="dxa"/>
            <w:tcBorders>
              <w:top w:val="nil"/>
              <w:left w:val="nil"/>
              <w:bottom w:val="single" w:sz="4" w:space="0" w:color="auto"/>
              <w:right w:val="single" w:sz="4" w:space="0" w:color="auto"/>
            </w:tcBorders>
            <w:shd w:val="clear" w:color="000000" w:fill="FFFFFF"/>
            <w:vAlign w:val="center"/>
            <w:hideMark/>
          </w:tcPr>
          <w:p w14:paraId="5FEF21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405,000</w:t>
            </w:r>
          </w:p>
        </w:tc>
        <w:tc>
          <w:tcPr>
            <w:tcW w:w="275" w:type="dxa"/>
            <w:tcBorders>
              <w:top w:val="nil"/>
              <w:left w:val="nil"/>
              <w:bottom w:val="single" w:sz="4" w:space="0" w:color="auto"/>
              <w:right w:val="single" w:sz="4" w:space="0" w:color="auto"/>
            </w:tcBorders>
            <w:shd w:val="clear" w:color="000000" w:fill="FFFFFF"/>
            <w:vAlign w:val="center"/>
            <w:hideMark/>
          </w:tcPr>
          <w:p w14:paraId="5FEF21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405,000</w:t>
            </w:r>
          </w:p>
        </w:tc>
        <w:tc>
          <w:tcPr>
            <w:tcW w:w="306" w:type="dxa"/>
            <w:tcBorders>
              <w:top w:val="nil"/>
              <w:left w:val="nil"/>
              <w:bottom w:val="single" w:sz="4" w:space="0" w:color="auto"/>
              <w:right w:val="single" w:sz="4" w:space="0" w:color="auto"/>
            </w:tcBorders>
            <w:shd w:val="clear" w:color="000000" w:fill="FFFFFF"/>
            <w:vAlign w:val="center"/>
            <w:hideMark/>
          </w:tcPr>
          <w:p w14:paraId="5FEF21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405,000</w:t>
            </w:r>
          </w:p>
        </w:tc>
        <w:tc>
          <w:tcPr>
            <w:tcW w:w="245" w:type="dxa"/>
            <w:tcBorders>
              <w:top w:val="nil"/>
              <w:left w:val="nil"/>
              <w:bottom w:val="single" w:sz="4" w:space="0" w:color="auto"/>
              <w:right w:val="single" w:sz="4" w:space="0" w:color="auto"/>
            </w:tcBorders>
            <w:shd w:val="clear" w:color="000000" w:fill="FFFFFF"/>
            <w:vAlign w:val="center"/>
            <w:hideMark/>
          </w:tcPr>
          <w:p w14:paraId="5FEF21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405,000</w:t>
            </w:r>
          </w:p>
        </w:tc>
        <w:tc>
          <w:tcPr>
            <w:tcW w:w="275" w:type="dxa"/>
            <w:tcBorders>
              <w:top w:val="nil"/>
              <w:left w:val="nil"/>
              <w:bottom w:val="single" w:sz="4" w:space="0" w:color="auto"/>
              <w:right w:val="single" w:sz="4" w:space="0" w:color="auto"/>
            </w:tcBorders>
            <w:shd w:val="clear" w:color="000000" w:fill="FFFFFF"/>
            <w:vAlign w:val="center"/>
            <w:hideMark/>
          </w:tcPr>
          <w:p w14:paraId="5FEF21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16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6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6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1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8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6C"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3.1.8</w:t>
            </w:r>
          </w:p>
        </w:tc>
        <w:tc>
          <w:tcPr>
            <w:tcW w:w="1301" w:type="dxa"/>
            <w:tcBorders>
              <w:top w:val="nil"/>
              <w:left w:val="nil"/>
              <w:bottom w:val="single" w:sz="4" w:space="0" w:color="auto"/>
              <w:right w:val="single" w:sz="4" w:space="0" w:color="auto"/>
            </w:tcBorders>
            <w:shd w:val="clear" w:color="auto" w:fill="auto"/>
            <w:vAlign w:val="center"/>
            <w:hideMark/>
          </w:tcPr>
          <w:p w14:paraId="5FEF216D"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Trajnimi i strukturave rajonale dhe vendore të AKPA për përfshirjen e programet e nxitjes së punësimit të personave të radikalizuar ose të kthyerve nga zonat e konfliktit;</w:t>
            </w:r>
          </w:p>
        </w:tc>
        <w:tc>
          <w:tcPr>
            <w:tcW w:w="498" w:type="dxa"/>
            <w:tcBorders>
              <w:top w:val="nil"/>
              <w:left w:val="nil"/>
              <w:bottom w:val="single" w:sz="4" w:space="0" w:color="auto"/>
              <w:right w:val="single" w:sz="4" w:space="0" w:color="auto"/>
            </w:tcBorders>
            <w:shd w:val="clear" w:color="auto" w:fill="auto"/>
            <w:vAlign w:val="center"/>
            <w:hideMark/>
          </w:tcPr>
          <w:p w14:paraId="5FEF21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000000" w:fill="FFFFFF"/>
            <w:vAlign w:val="center"/>
            <w:hideMark/>
          </w:tcPr>
          <w:p w14:paraId="5FEF21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21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MFE; AKPA; Donatorë </w:t>
            </w:r>
          </w:p>
        </w:tc>
        <w:tc>
          <w:tcPr>
            <w:tcW w:w="207" w:type="dxa"/>
            <w:tcBorders>
              <w:top w:val="nil"/>
              <w:left w:val="nil"/>
              <w:bottom w:val="single" w:sz="4" w:space="0" w:color="auto"/>
              <w:right w:val="single" w:sz="4" w:space="0" w:color="auto"/>
            </w:tcBorders>
            <w:shd w:val="clear" w:color="auto" w:fill="auto"/>
            <w:vAlign w:val="center"/>
            <w:hideMark/>
          </w:tcPr>
          <w:p w14:paraId="5FEF217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7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1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258,660</w:t>
            </w:r>
          </w:p>
        </w:tc>
        <w:tc>
          <w:tcPr>
            <w:tcW w:w="275" w:type="dxa"/>
            <w:tcBorders>
              <w:top w:val="nil"/>
              <w:left w:val="nil"/>
              <w:bottom w:val="single" w:sz="4" w:space="0" w:color="auto"/>
              <w:right w:val="single" w:sz="4" w:space="0" w:color="auto"/>
            </w:tcBorders>
            <w:shd w:val="clear" w:color="000000" w:fill="FFFFFF"/>
            <w:noWrap/>
            <w:vAlign w:val="center"/>
            <w:hideMark/>
          </w:tcPr>
          <w:p w14:paraId="5FEF21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258,660</w:t>
            </w:r>
          </w:p>
        </w:tc>
        <w:tc>
          <w:tcPr>
            <w:tcW w:w="306" w:type="dxa"/>
            <w:tcBorders>
              <w:top w:val="nil"/>
              <w:left w:val="nil"/>
              <w:bottom w:val="single" w:sz="4" w:space="0" w:color="auto"/>
              <w:right w:val="single" w:sz="4" w:space="0" w:color="auto"/>
            </w:tcBorders>
            <w:shd w:val="clear" w:color="000000" w:fill="FFFFFF"/>
            <w:noWrap/>
            <w:vAlign w:val="center"/>
            <w:hideMark/>
          </w:tcPr>
          <w:p w14:paraId="5FEF21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258,660</w:t>
            </w:r>
          </w:p>
        </w:tc>
        <w:tc>
          <w:tcPr>
            <w:tcW w:w="245" w:type="dxa"/>
            <w:tcBorders>
              <w:top w:val="nil"/>
              <w:left w:val="nil"/>
              <w:bottom w:val="single" w:sz="4" w:space="0" w:color="auto"/>
              <w:right w:val="single" w:sz="4" w:space="0" w:color="auto"/>
            </w:tcBorders>
            <w:shd w:val="clear" w:color="000000" w:fill="FFFFFF"/>
            <w:noWrap/>
            <w:vAlign w:val="center"/>
            <w:hideMark/>
          </w:tcPr>
          <w:p w14:paraId="5FEF21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258,660</w:t>
            </w:r>
          </w:p>
        </w:tc>
        <w:tc>
          <w:tcPr>
            <w:tcW w:w="306" w:type="dxa"/>
            <w:tcBorders>
              <w:top w:val="nil"/>
              <w:left w:val="nil"/>
              <w:bottom w:val="single" w:sz="4" w:space="0" w:color="auto"/>
              <w:right w:val="single" w:sz="4" w:space="0" w:color="auto"/>
            </w:tcBorders>
            <w:shd w:val="clear" w:color="000000" w:fill="FFFFFF"/>
            <w:noWrap/>
            <w:vAlign w:val="center"/>
            <w:hideMark/>
          </w:tcPr>
          <w:p w14:paraId="5FEF21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258,660</w:t>
            </w:r>
          </w:p>
        </w:tc>
        <w:tc>
          <w:tcPr>
            <w:tcW w:w="245" w:type="dxa"/>
            <w:tcBorders>
              <w:top w:val="nil"/>
              <w:left w:val="nil"/>
              <w:bottom w:val="single" w:sz="4" w:space="0" w:color="auto"/>
              <w:right w:val="single" w:sz="4" w:space="0" w:color="auto"/>
            </w:tcBorders>
            <w:shd w:val="clear" w:color="000000" w:fill="FFFFFF"/>
            <w:noWrap/>
            <w:vAlign w:val="center"/>
            <w:hideMark/>
          </w:tcPr>
          <w:p w14:paraId="5FEF21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258,660</w:t>
            </w:r>
          </w:p>
        </w:tc>
        <w:tc>
          <w:tcPr>
            <w:tcW w:w="306" w:type="dxa"/>
            <w:tcBorders>
              <w:top w:val="nil"/>
              <w:left w:val="nil"/>
              <w:bottom w:val="single" w:sz="4" w:space="0" w:color="auto"/>
              <w:right w:val="single" w:sz="4" w:space="0" w:color="auto"/>
            </w:tcBorders>
            <w:shd w:val="clear" w:color="000000" w:fill="FFFFFF"/>
            <w:vAlign w:val="center"/>
            <w:hideMark/>
          </w:tcPr>
          <w:p w14:paraId="5FEF21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775,980</w:t>
            </w:r>
          </w:p>
        </w:tc>
        <w:tc>
          <w:tcPr>
            <w:tcW w:w="275" w:type="dxa"/>
            <w:tcBorders>
              <w:top w:val="nil"/>
              <w:left w:val="nil"/>
              <w:bottom w:val="single" w:sz="4" w:space="0" w:color="auto"/>
              <w:right w:val="single" w:sz="4" w:space="0" w:color="auto"/>
            </w:tcBorders>
            <w:shd w:val="clear" w:color="000000" w:fill="FFFFFF"/>
            <w:vAlign w:val="center"/>
            <w:hideMark/>
          </w:tcPr>
          <w:p w14:paraId="5FEF21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775,980</w:t>
            </w:r>
          </w:p>
        </w:tc>
        <w:tc>
          <w:tcPr>
            <w:tcW w:w="306" w:type="dxa"/>
            <w:tcBorders>
              <w:top w:val="nil"/>
              <w:left w:val="nil"/>
              <w:bottom w:val="single" w:sz="4" w:space="0" w:color="auto"/>
              <w:right w:val="single" w:sz="4" w:space="0" w:color="auto"/>
            </w:tcBorders>
            <w:shd w:val="clear" w:color="000000" w:fill="FFFFFF"/>
            <w:vAlign w:val="center"/>
            <w:hideMark/>
          </w:tcPr>
          <w:p w14:paraId="5FEF21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775,980</w:t>
            </w:r>
          </w:p>
        </w:tc>
        <w:tc>
          <w:tcPr>
            <w:tcW w:w="245" w:type="dxa"/>
            <w:tcBorders>
              <w:top w:val="nil"/>
              <w:left w:val="nil"/>
              <w:bottom w:val="single" w:sz="4" w:space="0" w:color="auto"/>
              <w:right w:val="single" w:sz="4" w:space="0" w:color="auto"/>
            </w:tcBorders>
            <w:shd w:val="clear" w:color="000000" w:fill="FFFFFF"/>
            <w:vAlign w:val="center"/>
            <w:hideMark/>
          </w:tcPr>
          <w:p w14:paraId="5FEF21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775,980</w:t>
            </w:r>
          </w:p>
        </w:tc>
        <w:tc>
          <w:tcPr>
            <w:tcW w:w="275" w:type="dxa"/>
            <w:tcBorders>
              <w:top w:val="nil"/>
              <w:left w:val="nil"/>
              <w:bottom w:val="single" w:sz="4" w:space="0" w:color="auto"/>
              <w:right w:val="single" w:sz="4" w:space="0" w:color="auto"/>
            </w:tcBorders>
            <w:shd w:val="clear" w:color="000000" w:fill="FFFFFF"/>
            <w:vAlign w:val="center"/>
            <w:hideMark/>
          </w:tcPr>
          <w:p w14:paraId="5FEF21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1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1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A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8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3.1.9</w:t>
            </w:r>
          </w:p>
        </w:tc>
        <w:tc>
          <w:tcPr>
            <w:tcW w:w="1301" w:type="dxa"/>
            <w:tcBorders>
              <w:top w:val="nil"/>
              <w:left w:val="nil"/>
              <w:bottom w:val="single" w:sz="4" w:space="0" w:color="auto"/>
              <w:right w:val="single" w:sz="4" w:space="0" w:color="auto"/>
            </w:tcBorders>
            <w:shd w:val="clear" w:color="auto" w:fill="auto"/>
            <w:vAlign w:val="center"/>
            <w:hideMark/>
          </w:tcPr>
          <w:p w14:paraId="5FEF2189" w14:textId="690E57CD"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Aftësimi i aktorëve të arsimit për të ndihmuar në procesin 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deradikalizmit dhe të riintegrimit.</w:t>
            </w:r>
          </w:p>
        </w:tc>
        <w:tc>
          <w:tcPr>
            <w:tcW w:w="498" w:type="dxa"/>
            <w:tcBorders>
              <w:top w:val="nil"/>
              <w:left w:val="nil"/>
              <w:bottom w:val="single" w:sz="4" w:space="0" w:color="auto"/>
              <w:right w:val="single" w:sz="4" w:space="0" w:color="auto"/>
            </w:tcBorders>
            <w:shd w:val="clear" w:color="000000" w:fill="FFFFFF"/>
            <w:vAlign w:val="center"/>
            <w:hideMark/>
          </w:tcPr>
          <w:p w14:paraId="5FEF218A" w14:textId="6F215032"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1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18C" w14:textId="77777777" w:rsidR="002117FE" w:rsidRPr="00795698" w:rsidRDefault="002117FE" w:rsidP="002117FE">
            <w:pPr>
              <w:spacing w:after="240"/>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MAS; Donatorë </w:t>
            </w:r>
          </w:p>
        </w:tc>
        <w:tc>
          <w:tcPr>
            <w:tcW w:w="207" w:type="dxa"/>
            <w:tcBorders>
              <w:top w:val="nil"/>
              <w:left w:val="nil"/>
              <w:bottom w:val="single" w:sz="4" w:space="0" w:color="auto"/>
              <w:right w:val="single" w:sz="4" w:space="0" w:color="auto"/>
            </w:tcBorders>
            <w:shd w:val="clear" w:color="auto" w:fill="auto"/>
            <w:vAlign w:val="center"/>
            <w:hideMark/>
          </w:tcPr>
          <w:p w14:paraId="5FEF218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8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1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275" w:type="dxa"/>
            <w:tcBorders>
              <w:top w:val="nil"/>
              <w:left w:val="nil"/>
              <w:bottom w:val="single" w:sz="4" w:space="0" w:color="auto"/>
              <w:right w:val="single" w:sz="4" w:space="0" w:color="auto"/>
            </w:tcBorders>
            <w:shd w:val="clear" w:color="000000" w:fill="FFFFFF"/>
            <w:noWrap/>
            <w:vAlign w:val="center"/>
            <w:hideMark/>
          </w:tcPr>
          <w:p w14:paraId="5FEF21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306" w:type="dxa"/>
            <w:tcBorders>
              <w:top w:val="nil"/>
              <w:left w:val="nil"/>
              <w:bottom w:val="single" w:sz="4" w:space="0" w:color="auto"/>
              <w:right w:val="single" w:sz="4" w:space="0" w:color="auto"/>
            </w:tcBorders>
            <w:shd w:val="clear" w:color="000000" w:fill="FFFFFF"/>
            <w:noWrap/>
            <w:vAlign w:val="center"/>
            <w:hideMark/>
          </w:tcPr>
          <w:p w14:paraId="5FEF21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245" w:type="dxa"/>
            <w:tcBorders>
              <w:top w:val="nil"/>
              <w:left w:val="nil"/>
              <w:bottom w:val="single" w:sz="4" w:space="0" w:color="auto"/>
              <w:right w:val="single" w:sz="4" w:space="0" w:color="auto"/>
            </w:tcBorders>
            <w:shd w:val="clear" w:color="000000" w:fill="FFFFFF"/>
            <w:noWrap/>
            <w:vAlign w:val="center"/>
            <w:hideMark/>
          </w:tcPr>
          <w:p w14:paraId="5FEF21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306" w:type="dxa"/>
            <w:tcBorders>
              <w:top w:val="nil"/>
              <w:left w:val="nil"/>
              <w:bottom w:val="single" w:sz="4" w:space="0" w:color="auto"/>
              <w:right w:val="single" w:sz="4" w:space="0" w:color="auto"/>
            </w:tcBorders>
            <w:shd w:val="clear" w:color="000000" w:fill="FFFFFF"/>
            <w:noWrap/>
            <w:vAlign w:val="center"/>
            <w:hideMark/>
          </w:tcPr>
          <w:p w14:paraId="5FEF21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245" w:type="dxa"/>
            <w:tcBorders>
              <w:top w:val="nil"/>
              <w:left w:val="nil"/>
              <w:bottom w:val="single" w:sz="4" w:space="0" w:color="auto"/>
              <w:right w:val="single" w:sz="4" w:space="0" w:color="auto"/>
            </w:tcBorders>
            <w:shd w:val="clear" w:color="000000" w:fill="FFFFFF"/>
            <w:noWrap/>
            <w:vAlign w:val="center"/>
            <w:hideMark/>
          </w:tcPr>
          <w:p w14:paraId="5FEF21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36,950</w:t>
            </w:r>
          </w:p>
        </w:tc>
        <w:tc>
          <w:tcPr>
            <w:tcW w:w="306" w:type="dxa"/>
            <w:tcBorders>
              <w:top w:val="nil"/>
              <w:left w:val="nil"/>
              <w:bottom w:val="single" w:sz="4" w:space="0" w:color="auto"/>
              <w:right w:val="single" w:sz="4" w:space="0" w:color="auto"/>
            </w:tcBorders>
            <w:shd w:val="clear" w:color="000000" w:fill="FFFFFF"/>
            <w:vAlign w:val="center"/>
            <w:hideMark/>
          </w:tcPr>
          <w:p w14:paraId="5FEF21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110,850</w:t>
            </w:r>
          </w:p>
        </w:tc>
        <w:tc>
          <w:tcPr>
            <w:tcW w:w="275" w:type="dxa"/>
            <w:tcBorders>
              <w:top w:val="nil"/>
              <w:left w:val="nil"/>
              <w:bottom w:val="single" w:sz="4" w:space="0" w:color="auto"/>
              <w:right w:val="single" w:sz="4" w:space="0" w:color="auto"/>
            </w:tcBorders>
            <w:shd w:val="clear" w:color="000000" w:fill="FFFFFF"/>
            <w:vAlign w:val="center"/>
            <w:hideMark/>
          </w:tcPr>
          <w:p w14:paraId="5FEF21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110,850</w:t>
            </w:r>
          </w:p>
        </w:tc>
        <w:tc>
          <w:tcPr>
            <w:tcW w:w="306" w:type="dxa"/>
            <w:tcBorders>
              <w:top w:val="nil"/>
              <w:left w:val="nil"/>
              <w:bottom w:val="single" w:sz="4" w:space="0" w:color="auto"/>
              <w:right w:val="single" w:sz="4" w:space="0" w:color="auto"/>
            </w:tcBorders>
            <w:shd w:val="clear" w:color="000000" w:fill="FFFFFF"/>
            <w:vAlign w:val="center"/>
            <w:hideMark/>
          </w:tcPr>
          <w:p w14:paraId="5FEF21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70,047</w:t>
            </w:r>
          </w:p>
        </w:tc>
        <w:tc>
          <w:tcPr>
            <w:tcW w:w="245" w:type="dxa"/>
            <w:tcBorders>
              <w:top w:val="nil"/>
              <w:left w:val="nil"/>
              <w:bottom w:val="single" w:sz="4" w:space="0" w:color="auto"/>
              <w:right w:val="single" w:sz="4" w:space="0" w:color="auto"/>
            </w:tcBorders>
            <w:shd w:val="clear" w:color="000000" w:fill="FFFFFF"/>
            <w:vAlign w:val="center"/>
            <w:hideMark/>
          </w:tcPr>
          <w:p w14:paraId="5FEF21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70,047</w:t>
            </w:r>
          </w:p>
        </w:tc>
        <w:tc>
          <w:tcPr>
            <w:tcW w:w="275" w:type="dxa"/>
            <w:tcBorders>
              <w:top w:val="nil"/>
              <w:left w:val="nil"/>
              <w:bottom w:val="single" w:sz="4" w:space="0" w:color="auto"/>
              <w:right w:val="single" w:sz="4" w:space="0" w:color="auto"/>
            </w:tcBorders>
            <w:shd w:val="clear" w:color="000000" w:fill="FFFFFF"/>
            <w:vAlign w:val="center"/>
            <w:hideMark/>
          </w:tcPr>
          <w:p w14:paraId="5FEF21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40,803</w:t>
            </w:r>
          </w:p>
        </w:tc>
        <w:tc>
          <w:tcPr>
            <w:tcW w:w="245" w:type="dxa"/>
            <w:tcBorders>
              <w:top w:val="nil"/>
              <w:left w:val="nil"/>
              <w:bottom w:val="single" w:sz="4" w:space="0" w:color="auto"/>
              <w:right w:val="single" w:sz="4" w:space="0" w:color="auto"/>
            </w:tcBorders>
            <w:shd w:val="clear" w:color="000000" w:fill="FFFFFF"/>
            <w:vAlign w:val="center"/>
            <w:hideMark/>
          </w:tcPr>
          <w:p w14:paraId="5FEF21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40,803</w:t>
            </w:r>
          </w:p>
        </w:tc>
        <w:tc>
          <w:tcPr>
            <w:tcW w:w="262" w:type="dxa"/>
            <w:tcBorders>
              <w:top w:val="nil"/>
              <w:left w:val="nil"/>
              <w:bottom w:val="single" w:sz="4" w:space="0" w:color="auto"/>
              <w:right w:val="single" w:sz="8" w:space="0" w:color="auto"/>
            </w:tcBorders>
            <w:shd w:val="clear" w:color="auto" w:fill="auto"/>
            <w:vAlign w:val="center"/>
            <w:hideMark/>
          </w:tcPr>
          <w:p w14:paraId="5FEF21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B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A4"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3.1.10</w:t>
            </w:r>
          </w:p>
        </w:tc>
        <w:tc>
          <w:tcPr>
            <w:tcW w:w="1301" w:type="dxa"/>
            <w:tcBorders>
              <w:top w:val="nil"/>
              <w:left w:val="nil"/>
              <w:bottom w:val="single" w:sz="4" w:space="0" w:color="auto"/>
              <w:right w:val="single" w:sz="4" w:space="0" w:color="auto"/>
            </w:tcBorders>
            <w:shd w:val="clear" w:color="auto" w:fill="auto"/>
            <w:vAlign w:val="center"/>
            <w:hideMark/>
          </w:tcPr>
          <w:p w14:paraId="5FEF21A5" w14:textId="023CA325"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Zhvillimi i programeve pilot të deradikalizimit dhe riintegrimit që synojnë ndërhyrjet në zonat problematike,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për arsimin bazë dhe të mesëm.</w:t>
            </w:r>
          </w:p>
        </w:tc>
        <w:tc>
          <w:tcPr>
            <w:tcW w:w="498" w:type="dxa"/>
            <w:tcBorders>
              <w:top w:val="nil"/>
              <w:left w:val="nil"/>
              <w:bottom w:val="single" w:sz="4" w:space="0" w:color="auto"/>
              <w:right w:val="single" w:sz="4" w:space="0" w:color="auto"/>
            </w:tcBorders>
            <w:shd w:val="clear" w:color="auto" w:fill="auto"/>
            <w:vAlign w:val="center"/>
            <w:hideMark/>
          </w:tcPr>
          <w:p w14:paraId="5FEF21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auto" w:fill="auto"/>
            <w:vAlign w:val="center"/>
            <w:hideMark/>
          </w:tcPr>
          <w:p w14:paraId="5FEF21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1A8" w14:textId="77777777" w:rsidR="002117FE" w:rsidRPr="00795698" w:rsidRDefault="002117FE" w:rsidP="002117FE">
            <w:pPr>
              <w:spacing w:after="240"/>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MAS; Donatorë </w:t>
            </w:r>
          </w:p>
        </w:tc>
        <w:tc>
          <w:tcPr>
            <w:tcW w:w="207" w:type="dxa"/>
            <w:tcBorders>
              <w:top w:val="nil"/>
              <w:left w:val="nil"/>
              <w:bottom w:val="single" w:sz="4" w:space="0" w:color="auto"/>
              <w:right w:val="single" w:sz="4" w:space="0" w:color="auto"/>
            </w:tcBorders>
            <w:shd w:val="clear" w:color="auto" w:fill="auto"/>
            <w:vAlign w:val="center"/>
            <w:hideMark/>
          </w:tcPr>
          <w:p w14:paraId="5FEF21A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A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1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44,340</w:t>
            </w:r>
          </w:p>
        </w:tc>
        <w:tc>
          <w:tcPr>
            <w:tcW w:w="275" w:type="dxa"/>
            <w:tcBorders>
              <w:top w:val="nil"/>
              <w:left w:val="nil"/>
              <w:bottom w:val="single" w:sz="4" w:space="0" w:color="auto"/>
              <w:right w:val="single" w:sz="4" w:space="0" w:color="auto"/>
            </w:tcBorders>
            <w:shd w:val="clear" w:color="000000" w:fill="FFFFFF"/>
            <w:noWrap/>
            <w:vAlign w:val="center"/>
            <w:hideMark/>
          </w:tcPr>
          <w:p w14:paraId="5FEF21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44,340</w:t>
            </w:r>
          </w:p>
        </w:tc>
        <w:tc>
          <w:tcPr>
            <w:tcW w:w="306" w:type="dxa"/>
            <w:tcBorders>
              <w:top w:val="nil"/>
              <w:left w:val="nil"/>
              <w:bottom w:val="single" w:sz="4" w:space="0" w:color="auto"/>
              <w:right w:val="single" w:sz="4" w:space="0" w:color="auto"/>
            </w:tcBorders>
            <w:shd w:val="clear" w:color="000000" w:fill="FFFFFF"/>
            <w:noWrap/>
            <w:vAlign w:val="center"/>
            <w:hideMark/>
          </w:tcPr>
          <w:p w14:paraId="5FEF21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44,340</w:t>
            </w:r>
          </w:p>
        </w:tc>
        <w:tc>
          <w:tcPr>
            <w:tcW w:w="245" w:type="dxa"/>
            <w:tcBorders>
              <w:top w:val="nil"/>
              <w:left w:val="nil"/>
              <w:bottom w:val="single" w:sz="4" w:space="0" w:color="auto"/>
              <w:right w:val="single" w:sz="4" w:space="0" w:color="auto"/>
            </w:tcBorders>
            <w:shd w:val="clear" w:color="000000" w:fill="FFFFFF"/>
            <w:noWrap/>
            <w:vAlign w:val="center"/>
            <w:hideMark/>
          </w:tcPr>
          <w:p w14:paraId="5FEF21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44,340</w:t>
            </w:r>
          </w:p>
        </w:tc>
        <w:tc>
          <w:tcPr>
            <w:tcW w:w="306" w:type="dxa"/>
            <w:tcBorders>
              <w:top w:val="nil"/>
              <w:left w:val="nil"/>
              <w:bottom w:val="single" w:sz="4" w:space="0" w:color="auto"/>
              <w:right w:val="single" w:sz="4" w:space="0" w:color="auto"/>
            </w:tcBorders>
            <w:shd w:val="clear" w:color="000000" w:fill="FFFFFF"/>
            <w:noWrap/>
            <w:vAlign w:val="center"/>
            <w:hideMark/>
          </w:tcPr>
          <w:p w14:paraId="5FEF21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44,340</w:t>
            </w:r>
          </w:p>
        </w:tc>
        <w:tc>
          <w:tcPr>
            <w:tcW w:w="245" w:type="dxa"/>
            <w:tcBorders>
              <w:top w:val="nil"/>
              <w:left w:val="nil"/>
              <w:bottom w:val="single" w:sz="4" w:space="0" w:color="auto"/>
              <w:right w:val="single" w:sz="4" w:space="0" w:color="auto"/>
            </w:tcBorders>
            <w:shd w:val="clear" w:color="000000" w:fill="FFFFFF"/>
            <w:noWrap/>
            <w:vAlign w:val="center"/>
            <w:hideMark/>
          </w:tcPr>
          <w:p w14:paraId="5FEF21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44,340</w:t>
            </w:r>
          </w:p>
        </w:tc>
        <w:tc>
          <w:tcPr>
            <w:tcW w:w="306" w:type="dxa"/>
            <w:tcBorders>
              <w:top w:val="nil"/>
              <w:left w:val="nil"/>
              <w:bottom w:val="single" w:sz="4" w:space="0" w:color="auto"/>
              <w:right w:val="single" w:sz="4" w:space="0" w:color="auto"/>
            </w:tcBorders>
            <w:shd w:val="clear" w:color="000000" w:fill="FFFFFF"/>
            <w:vAlign w:val="center"/>
            <w:hideMark/>
          </w:tcPr>
          <w:p w14:paraId="5FEF21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133,020</w:t>
            </w:r>
          </w:p>
        </w:tc>
        <w:tc>
          <w:tcPr>
            <w:tcW w:w="275" w:type="dxa"/>
            <w:tcBorders>
              <w:top w:val="nil"/>
              <w:left w:val="nil"/>
              <w:bottom w:val="single" w:sz="4" w:space="0" w:color="auto"/>
              <w:right w:val="single" w:sz="4" w:space="0" w:color="auto"/>
            </w:tcBorders>
            <w:shd w:val="clear" w:color="000000" w:fill="FFFFFF"/>
            <w:vAlign w:val="center"/>
            <w:hideMark/>
          </w:tcPr>
          <w:p w14:paraId="5FEF21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133,020</w:t>
            </w:r>
          </w:p>
        </w:tc>
        <w:tc>
          <w:tcPr>
            <w:tcW w:w="306" w:type="dxa"/>
            <w:tcBorders>
              <w:top w:val="nil"/>
              <w:left w:val="nil"/>
              <w:bottom w:val="single" w:sz="4" w:space="0" w:color="auto"/>
              <w:right w:val="single" w:sz="4" w:space="0" w:color="auto"/>
            </w:tcBorders>
            <w:shd w:val="clear" w:color="000000" w:fill="FFFFFF"/>
            <w:vAlign w:val="center"/>
            <w:hideMark/>
          </w:tcPr>
          <w:p w14:paraId="5FEF21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73,020</w:t>
            </w:r>
          </w:p>
        </w:tc>
        <w:tc>
          <w:tcPr>
            <w:tcW w:w="245" w:type="dxa"/>
            <w:tcBorders>
              <w:top w:val="nil"/>
              <w:left w:val="nil"/>
              <w:bottom w:val="single" w:sz="4" w:space="0" w:color="auto"/>
              <w:right w:val="single" w:sz="4" w:space="0" w:color="auto"/>
            </w:tcBorders>
            <w:shd w:val="clear" w:color="000000" w:fill="FFFFFF"/>
            <w:vAlign w:val="center"/>
            <w:hideMark/>
          </w:tcPr>
          <w:p w14:paraId="5FEF21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73,020</w:t>
            </w:r>
          </w:p>
        </w:tc>
        <w:tc>
          <w:tcPr>
            <w:tcW w:w="275" w:type="dxa"/>
            <w:tcBorders>
              <w:top w:val="nil"/>
              <w:left w:val="nil"/>
              <w:bottom w:val="single" w:sz="4" w:space="0" w:color="auto"/>
              <w:right w:val="single" w:sz="4" w:space="0" w:color="auto"/>
            </w:tcBorders>
            <w:shd w:val="clear" w:color="000000" w:fill="FFFFFF"/>
            <w:vAlign w:val="center"/>
            <w:hideMark/>
          </w:tcPr>
          <w:p w14:paraId="5FEF21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45" w:type="dxa"/>
            <w:tcBorders>
              <w:top w:val="nil"/>
              <w:left w:val="nil"/>
              <w:bottom w:val="single" w:sz="4" w:space="0" w:color="auto"/>
              <w:right w:val="single" w:sz="4" w:space="0" w:color="auto"/>
            </w:tcBorders>
            <w:shd w:val="clear" w:color="000000" w:fill="FFFFFF"/>
            <w:vAlign w:val="center"/>
            <w:hideMark/>
          </w:tcPr>
          <w:p w14:paraId="5FEF21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B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60,000</w:t>
            </w:r>
          </w:p>
        </w:tc>
        <w:tc>
          <w:tcPr>
            <w:tcW w:w="262" w:type="dxa"/>
            <w:tcBorders>
              <w:top w:val="nil"/>
              <w:left w:val="nil"/>
              <w:bottom w:val="single" w:sz="4" w:space="0" w:color="auto"/>
              <w:right w:val="single" w:sz="8" w:space="0" w:color="auto"/>
            </w:tcBorders>
            <w:shd w:val="clear" w:color="auto" w:fill="auto"/>
            <w:vAlign w:val="center"/>
            <w:hideMark/>
          </w:tcPr>
          <w:p w14:paraId="5FEF21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D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C0"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3.1.11</w:t>
            </w:r>
          </w:p>
        </w:tc>
        <w:tc>
          <w:tcPr>
            <w:tcW w:w="1301" w:type="dxa"/>
            <w:tcBorders>
              <w:top w:val="nil"/>
              <w:left w:val="nil"/>
              <w:bottom w:val="single" w:sz="4" w:space="0" w:color="auto"/>
              <w:right w:val="single" w:sz="4" w:space="0" w:color="auto"/>
            </w:tcBorders>
            <w:shd w:val="clear" w:color="auto" w:fill="auto"/>
            <w:vAlign w:val="center"/>
            <w:hideMark/>
          </w:tcPr>
          <w:p w14:paraId="5FEF21C1" w14:textId="07899C51"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Zhvillimi dhe zbatimi i projekteve pilot të deradikalizimit dhe riintegrimit që synojnë ndërhyrjet në zonat problematike.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21C2" w14:textId="49455780"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1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1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 Donatorë</w:t>
            </w:r>
          </w:p>
        </w:tc>
        <w:tc>
          <w:tcPr>
            <w:tcW w:w="207" w:type="dxa"/>
            <w:tcBorders>
              <w:top w:val="nil"/>
              <w:left w:val="nil"/>
              <w:bottom w:val="single" w:sz="4" w:space="0" w:color="auto"/>
              <w:right w:val="single" w:sz="4" w:space="0" w:color="auto"/>
            </w:tcBorders>
            <w:shd w:val="clear" w:color="auto" w:fill="auto"/>
            <w:vAlign w:val="center"/>
            <w:hideMark/>
          </w:tcPr>
          <w:p w14:paraId="5FEF21C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C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1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141,500</w:t>
            </w:r>
          </w:p>
        </w:tc>
        <w:tc>
          <w:tcPr>
            <w:tcW w:w="275" w:type="dxa"/>
            <w:tcBorders>
              <w:top w:val="nil"/>
              <w:left w:val="nil"/>
              <w:bottom w:val="single" w:sz="4" w:space="0" w:color="auto"/>
              <w:right w:val="single" w:sz="4" w:space="0" w:color="auto"/>
            </w:tcBorders>
            <w:shd w:val="clear" w:color="000000" w:fill="FFFFFF"/>
            <w:noWrap/>
            <w:vAlign w:val="center"/>
            <w:hideMark/>
          </w:tcPr>
          <w:p w14:paraId="5FEF21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141,500</w:t>
            </w:r>
          </w:p>
        </w:tc>
        <w:tc>
          <w:tcPr>
            <w:tcW w:w="306" w:type="dxa"/>
            <w:tcBorders>
              <w:top w:val="nil"/>
              <w:left w:val="nil"/>
              <w:bottom w:val="single" w:sz="4" w:space="0" w:color="auto"/>
              <w:right w:val="single" w:sz="4" w:space="0" w:color="auto"/>
            </w:tcBorders>
            <w:shd w:val="clear" w:color="000000" w:fill="FFFFFF"/>
            <w:noWrap/>
            <w:vAlign w:val="center"/>
            <w:hideMark/>
          </w:tcPr>
          <w:p w14:paraId="5FEF21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91,500</w:t>
            </w:r>
          </w:p>
        </w:tc>
        <w:tc>
          <w:tcPr>
            <w:tcW w:w="245" w:type="dxa"/>
            <w:tcBorders>
              <w:top w:val="nil"/>
              <w:left w:val="nil"/>
              <w:bottom w:val="single" w:sz="4" w:space="0" w:color="auto"/>
              <w:right w:val="single" w:sz="4" w:space="0" w:color="auto"/>
            </w:tcBorders>
            <w:shd w:val="clear" w:color="000000" w:fill="FFFFFF"/>
            <w:noWrap/>
            <w:vAlign w:val="center"/>
            <w:hideMark/>
          </w:tcPr>
          <w:p w14:paraId="5FEF21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91,500</w:t>
            </w:r>
          </w:p>
        </w:tc>
        <w:tc>
          <w:tcPr>
            <w:tcW w:w="306" w:type="dxa"/>
            <w:tcBorders>
              <w:top w:val="nil"/>
              <w:left w:val="nil"/>
              <w:bottom w:val="single" w:sz="4" w:space="0" w:color="auto"/>
              <w:right w:val="single" w:sz="4" w:space="0" w:color="auto"/>
            </w:tcBorders>
            <w:shd w:val="clear" w:color="000000" w:fill="FFFFFF"/>
            <w:noWrap/>
            <w:vAlign w:val="center"/>
            <w:hideMark/>
          </w:tcPr>
          <w:p w14:paraId="5FEF21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91,500</w:t>
            </w:r>
          </w:p>
        </w:tc>
        <w:tc>
          <w:tcPr>
            <w:tcW w:w="245" w:type="dxa"/>
            <w:tcBorders>
              <w:top w:val="nil"/>
              <w:left w:val="nil"/>
              <w:bottom w:val="single" w:sz="4" w:space="0" w:color="auto"/>
              <w:right w:val="single" w:sz="4" w:space="0" w:color="auto"/>
            </w:tcBorders>
            <w:shd w:val="clear" w:color="000000" w:fill="FFFFFF"/>
            <w:noWrap/>
            <w:vAlign w:val="center"/>
            <w:hideMark/>
          </w:tcPr>
          <w:p w14:paraId="5FEF21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91,500</w:t>
            </w:r>
          </w:p>
        </w:tc>
        <w:tc>
          <w:tcPr>
            <w:tcW w:w="306" w:type="dxa"/>
            <w:tcBorders>
              <w:top w:val="nil"/>
              <w:left w:val="nil"/>
              <w:bottom w:val="single" w:sz="4" w:space="0" w:color="auto"/>
              <w:right w:val="single" w:sz="4" w:space="0" w:color="auto"/>
            </w:tcBorders>
            <w:shd w:val="clear" w:color="000000" w:fill="FFFFFF"/>
            <w:vAlign w:val="center"/>
            <w:hideMark/>
          </w:tcPr>
          <w:p w14:paraId="5FEF21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324,500</w:t>
            </w:r>
          </w:p>
        </w:tc>
        <w:tc>
          <w:tcPr>
            <w:tcW w:w="275" w:type="dxa"/>
            <w:tcBorders>
              <w:top w:val="nil"/>
              <w:left w:val="nil"/>
              <w:bottom w:val="single" w:sz="4" w:space="0" w:color="auto"/>
              <w:right w:val="single" w:sz="4" w:space="0" w:color="auto"/>
            </w:tcBorders>
            <w:shd w:val="clear" w:color="000000" w:fill="FFFFFF"/>
            <w:vAlign w:val="center"/>
            <w:hideMark/>
          </w:tcPr>
          <w:p w14:paraId="5FEF21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324,500</w:t>
            </w:r>
          </w:p>
        </w:tc>
        <w:tc>
          <w:tcPr>
            <w:tcW w:w="306" w:type="dxa"/>
            <w:tcBorders>
              <w:top w:val="nil"/>
              <w:left w:val="nil"/>
              <w:bottom w:val="single" w:sz="4" w:space="0" w:color="auto"/>
              <w:right w:val="single" w:sz="4" w:space="0" w:color="auto"/>
            </w:tcBorders>
            <w:shd w:val="clear" w:color="000000" w:fill="FFFFFF"/>
            <w:vAlign w:val="center"/>
            <w:hideMark/>
          </w:tcPr>
          <w:p w14:paraId="5FEF21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124,500</w:t>
            </w:r>
          </w:p>
        </w:tc>
        <w:tc>
          <w:tcPr>
            <w:tcW w:w="245" w:type="dxa"/>
            <w:tcBorders>
              <w:top w:val="nil"/>
              <w:left w:val="nil"/>
              <w:bottom w:val="single" w:sz="4" w:space="0" w:color="auto"/>
              <w:right w:val="single" w:sz="4" w:space="0" w:color="auto"/>
            </w:tcBorders>
            <w:shd w:val="clear" w:color="000000" w:fill="FFFFFF"/>
            <w:vAlign w:val="center"/>
            <w:hideMark/>
          </w:tcPr>
          <w:p w14:paraId="5FEF21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124,500</w:t>
            </w:r>
          </w:p>
        </w:tc>
        <w:tc>
          <w:tcPr>
            <w:tcW w:w="275" w:type="dxa"/>
            <w:tcBorders>
              <w:top w:val="nil"/>
              <w:left w:val="nil"/>
              <w:bottom w:val="single" w:sz="4" w:space="0" w:color="auto"/>
              <w:right w:val="single" w:sz="4" w:space="0" w:color="auto"/>
            </w:tcBorders>
            <w:shd w:val="clear" w:color="000000" w:fill="FFFFFF"/>
            <w:vAlign w:val="center"/>
            <w:hideMark/>
          </w:tcPr>
          <w:p w14:paraId="5FEF21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45" w:type="dxa"/>
            <w:tcBorders>
              <w:top w:val="nil"/>
              <w:left w:val="nil"/>
              <w:bottom w:val="single" w:sz="4" w:space="0" w:color="auto"/>
              <w:right w:val="single" w:sz="4" w:space="0" w:color="auto"/>
            </w:tcBorders>
            <w:shd w:val="clear" w:color="000000" w:fill="FFFFFF"/>
            <w:vAlign w:val="center"/>
            <w:hideMark/>
          </w:tcPr>
          <w:p w14:paraId="5FEF21D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D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D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200,000</w:t>
            </w:r>
          </w:p>
        </w:tc>
        <w:tc>
          <w:tcPr>
            <w:tcW w:w="262" w:type="dxa"/>
            <w:tcBorders>
              <w:top w:val="nil"/>
              <w:left w:val="nil"/>
              <w:bottom w:val="single" w:sz="4" w:space="0" w:color="auto"/>
              <w:right w:val="single" w:sz="8" w:space="0" w:color="auto"/>
            </w:tcBorders>
            <w:shd w:val="clear" w:color="auto" w:fill="auto"/>
            <w:vAlign w:val="center"/>
            <w:hideMark/>
          </w:tcPr>
          <w:p w14:paraId="5FEF21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1F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DC"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3.1.12</w:t>
            </w:r>
          </w:p>
        </w:tc>
        <w:tc>
          <w:tcPr>
            <w:tcW w:w="1301" w:type="dxa"/>
            <w:tcBorders>
              <w:top w:val="nil"/>
              <w:left w:val="nil"/>
              <w:bottom w:val="single" w:sz="4" w:space="0" w:color="auto"/>
              <w:right w:val="single" w:sz="4" w:space="0" w:color="auto"/>
            </w:tcBorders>
            <w:shd w:val="clear" w:color="auto" w:fill="auto"/>
            <w:vAlign w:val="center"/>
            <w:hideMark/>
          </w:tcPr>
          <w:p w14:paraId="5FEF21DD"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Ngritja e kapaciteteve dhe ndërveprimit mes administratorëve socialë, NJMF, punonjësve sociale të NJVRN dhe përfaqësuesve të mekanizmit kundër dhunës në familje për identifikimin e hershëm të rasteve të radikalizimit dhe EDH dhe rritjen e bashkëpunimit për adresimin e tyre.</w:t>
            </w:r>
          </w:p>
        </w:tc>
        <w:tc>
          <w:tcPr>
            <w:tcW w:w="498" w:type="dxa"/>
            <w:tcBorders>
              <w:top w:val="nil"/>
              <w:left w:val="nil"/>
              <w:bottom w:val="single" w:sz="4" w:space="0" w:color="auto"/>
              <w:right w:val="single" w:sz="4" w:space="0" w:color="auto"/>
            </w:tcBorders>
            <w:shd w:val="clear" w:color="000000" w:fill="FFFFFF"/>
            <w:vAlign w:val="center"/>
            <w:hideMark/>
          </w:tcPr>
          <w:p w14:paraId="5FEF21DE" w14:textId="580F187C"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1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1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MSHMS; Donatorë</w:t>
            </w:r>
          </w:p>
        </w:tc>
        <w:tc>
          <w:tcPr>
            <w:tcW w:w="207" w:type="dxa"/>
            <w:tcBorders>
              <w:top w:val="nil"/>
              <w:left w:val="nil"/>
              <w:bottom w:val="single" w:sz="4" w:space="0" w:color="auto"/>
              <w:right w:val="single" w:sz="4" w:space="0" w:color="auto"/>
            </w:tcBorders>
            <w:shd w:val="clear" w:color="auto" w:fill="auto"/>
            <w:vAlign w:val="center"/>
            <w:hideMark/>
          </w:tcPr>
          <w:p w14:paraId="5FEF21E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E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1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75" w:type="dxa"/>
            <w:tcBorders>
              <w:top w:val="nil"/>
              <w:left w:val="nil"/>
              <w:bottom w:val="single" w:sz="4" w:space="0" w:color="auto"/>
              <w:right w:val="single" w:sz="4" w:space="0" w:color="auto"/>
            </w:tcBorders>
            <w:shd w:val="clear" w:color="000000" w:fill="FFFFFF"/>
            <w:noWrap/>
            <w:vAlign w:val="center"/>
            <w:hideMark/>
          </w:tcPr>
          <w:p w14:paraId="5FEF21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noWrap/>
            <w:vAlign w:val="center"/>
            <w:hideMark/>
          </w:tcPr>
          <w:p w14:paraId="5FEF21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45" w:type="dxa"/>
            <w:tcBorders>
              <w:top w:val="nil"/>
              <w:left w:val="nil"/>
              <w:bottom w:val="single" w:sz="4" w:space="0" w:color="auto"/>
              <w:right w:val="single" w:sz="4" w:space="0" w:color="auto"/>
            </w:tcBorders>
            <w:shd w:val="clear" w:color="000000" w:fill="FFFFFF"/>
            <w:noWrap/>
            <w:vAlign w:val="center"/>
            <w:hideMark/>
          </w:tcPr>
          <w:p w14:paraId="5FEF21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noWrap/>
            <w:vAlign w:val="center"/>
            <w:hideMark/>
          </w:tcPr>
          <w:p w14:paraId="5FEF21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245" w:type="dxa"/>
            <w:tcBorders>
              <w:top w:val="nil"/>
              <w:left w:val="nil"/>
              <w:bottom w:val="single" w:sz="4" w:space="0" w:color="auto"/>
              <w:right w:val="single" w:sz="4" w:space="0" w:color="auto"/>
            </w:tcBorders>
            <w:shd w:val="clear" w:color="000000" w:fill="FFFFFF"/>
            <w:noWrap/>
            <w:vAlign w:val="center"/>
            <w:hideMark/>
          </w:tcPr>
          <w:p w14:paraId="5FEF21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1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184,760</w:t>
            </w:r>
          </w:p>
        </w:tc>
        <w:tc>
          <w:tcPr>
            <w:tcW w:w="306" w:type="dxa"/>
            <w:tcBorders>
              <w:top w:val="nil"/>
              <w:left w:val="nil"/>
              <w:bottom w:val="single" w:sz="4" w:space="0" w:color="auto"/>
              <w:right w:val="single" w:sz="4" w:space="0" w:color="auto"/>
            </w:tcBorders>
            <w:shd w:val="clear" w:color="000000" w:fill="FFFFFF"/>
            <w:vAlign w:val="center"/>
            <w:hideMark/>
          </w:tcPr>
          <w:p w14:paraId="5FEF21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275" w:type="dxa"/>
            <w:tcBorders>
              <w:top w:val="nil"/>
              <w:left w:val="nil"/>
              <w:bottom w:val="single" w:sz="4" w:space="0" w:color="auto"/>
              <w:right w:val="single" w:sz="4" w:space="0" w:color="auto"/>
            </w:tcBorders>
            <w:shd w:val="clear" w:color="000000" w:fill="FFFFFF"/>
            <w:vAlign w:val="center"/>
            <w:hideMark/>
          </w:tcPr>
          <w:p w14:paraId="5FEF21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306" w:type="dxa"/>
            <w:tcBorders>
              <w:top w:val="nil"/>
              <w:left w:val="nil"/>
              <w:bottom w:val="single" w:sz="4" w:space="0" w:color="auto"/>
              <w:right w:val="single" w:sz="4" w:space="0" w:color="auto"/>
            </w:tcBorders>
            <w:shd w:val="clear" w:color="000000" w:fill="FFFFFF"/>
            <w:vAlign w:val="center"/>
            <w:hideMark/>
          </w:tcPr>
          <w:p w14:paraId="5FEF21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245" w:type="dxa"/>
            <w:tcBorders>
              <w:top w:val="nil"/>
              <w:left w:val="nil"/>
              <w:bottom w:val="single" w:sz="4" w:space="0" w:color="auto"/>
              <w:right w:val="single" w:sz="4" w:space="0" w:color="auto"/>
            </w:tcBorders>
            <w:shd w:val="clear" w:color="000000" w:fill="FFFFFF"/>
            <w:vAlign w:val="center"/>
            <w:hideMark/>
          </w:tcPr>
          <w:p w14:paraId="5FEF21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1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554,280</w:t>
            </w:r>
          </w:p>
        </w:tc>
        <w:tc>
          <w:tcPr>
            <w:tcW w:w="275" w:type="dxa"/>
            <w:tcBorders>
              <w:top w:val="nil"/>
              <w:left w:val="nil"/>
              <w:bottom w:val="single" w:sz="4" w:space="0" w:color="auto"/>
              <w:right w:val="single" w:sz="4" w:space="0" w:color="auto"/>
            </w:tcBorders>
            <w:shd w:val="clear" w:color="000000" w:fill="FFFFFF"/>
            <w:vAlign w:val="center"/>
            <w:hideMark/>
          </w:tcPr>
          <w:p w14:paraId="5FEF21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1F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1F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1F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1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21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1F8"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3.1.13</w:t>
            </w:r>
          </w:p>
        </w:tc>
        <w:tc>
          <w:tcPr>
            <w:tcW w:w="1301" w:type="dxa"/>
            <w:tcBorders>
              <w:top w:val="nil"/>
              <w:left w:val="nil"/>
              <w:bottom w:val="single" w:sz="4" w:space="0" w:color="auto"/>
              <w:right w:val="single" w:sz="4" w:space="0" w:color="auto"/>
            </w:tcBorders>
            <w:shd w:val="clear" w:color="auto" w:fill="auto"/>
            <w:vAlign w:val="center"/>
            <w:hideMark/>
          </w:tcPr>
          <w:p w14:paraId="5FEF21F9"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Koordinimi me NJVV për raportimin pranë QKEDH të rasteve të menaxhuara nga NJVV (vlerësimi fillestar, vlerësimi i thelluar, hartimi i planit të ndërhyrjes, dhe ndjekja e zbatimit të PIN (plani individual i ndërhyrjes) për rastet që shfaqin shenjat e para të radikalizmit.</w:t>
            </w:r>
          </w:p>
        </w:tc>
        <w:tc>
          <w:tcPr>
            <w:tcW w:w="498" w:type="dxa"/>
            <w:tcBorders>
              <w:top w:val="nil"/>
              <w:left w:val="nil"/>
              <w:bottom w:val="single" w:sz="4" w:space="0" w:color="auto"/>
              <w:right w:val="single" w:sz="4" w:space="0" w:color="auto"/>
            </w:tcBorders>
            <w:shd w:val="clear" w:color="auto" w:fill="auto"/>
            <w:vAlign w:val="center"/>
            <w:hideMark/>
          </w:tcPr>
          <w:p w14:paraId="5FEF21FA" w14:textId="51545A91"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"Prefekturat dhe Funksionet e Deleguara", Kodi i Programit 01160</w:t>
            </w:r>
            <w:r w:rsidRPr="00795698">
              <w:rPr>
                <w:rFonts w:ascii="Arial" w:hAnsi="Arial" w:cs="Arial"/>
                <w:color w:val="000000"/>
                <w:sz w:val="6"/>
                <w:szCs w:val="6"/>
                <w:lang w:eastAsia="sq-AL"/>
              </w:rPr>
              <w:br/>
              <w:t>Kodi i produktit 91602AC</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1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w:t>
            </w:r>
          </w:p>
        </w:tc>
        <w:tc>
          <w:tcPr>
            <w:tcW w:w="578" w:type="dxa"/>
            <w:tcBorders>
              <w:top w:val="nil"/>
              <w:left w:val="nil"/>
              <w:bottom w:val="single" w:sz="4" w:space="0" w:color="auto"/>
              <w:right w:val="single" w:sz="4" w:space="0" w:color="auto"/>
            </w:tcBorders>
            <w:shd w:val="clear" w:color="000000" w:fill="FFFFFF"/>
            <w:vAlign w:val="center"/>
            <w:hideMark/>
          </w:tcPr>
          <w:p w14:paraId="5FEF21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 QKEDH; Institucionet e varësisë së</w:t>
            </w:r>
            <w:r w:rsidRPr="00795698">
              <w:rPr>
                <w:rFonts w:ascii="Arial" w:hAnsi="Arial" w:cs="Arial"/>
                <w:color w:val="000000"/>
                <w:sz w:val="6"/>
                <w:szCs w:val="6"/>
                <w:lang w:eastAsia="sq-AL"/>
              </w:rPr>
              <w:br/>
              <w:t>ministrive të linjës;</w:t>
            </w:r>
          </w:p>
        </w:tc>
        <w:tc>
          <w:tcPr>
            <w:tcW w:w="207" w:type="dxa"/>
            <w:tcBorders>
              <w:top w:val="nil"/>
              <w:left w:val="nil"/>
              <w:bottom w:val="single" w:sz="4" w:space="0" w:color="auto"/>
              <w:right w:val="single" w:sz="4" w:space="0" w:color="auto"/>
            </w:tcBorders>
            <w:shd w:val="clear" w:color="auto" w:fill="auto"/>
            <w:vAlign w:val="center"/>
            <w:hideMark/>
          </w:tcPr>
          <w:p w14:paraId="5FEF21F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1F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1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169,600</w:t>
            </w:r>
          </w:p>
        </w:tc>
        <w:tc>
          <w:tcPr>
            <w:tcW w:w="275" w:type="dxa"/>
            <w:tcBorders>
              <w:top w:val="nil"/>
              <w:left w:val="nil"/>
              <w:bottom w:val="single" w:sz="4" w:space="0" w:color="auto"/>
              <w:right w:val="single" w:sz="4" w:space="0" w:color="auto"/>
            </w:tcBorders>
            <w:shd w:val="clear" w:color="000000" w:fill="FFFFFF"/>
            <w:noWrap/>
            <w:vAlign w:val="center"/>
            <w:hideMark/>
          </w:tcPr>
          <w:p w14:paraId="5FEF22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2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169,600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169,600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2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169,600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169,600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2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169,600</w:t>
            </w:r>
          </w:p>
        </w:tc>
        <w:tc>
          <w:tcPr>
            <w:tcW w:w="306" w:type="dxa"/>
            <w:tcBorders>
              <w:top w:val="nil"/>
              <w:left w:val="nil"/>
              <w:bottom w:val="single" w:sz="4" w:space="0" w:color="auto"/>
              <w:right w:val="single" w:sz="4" w:space="0" w:color="auto"/>
            </w:tcBorders>
            <w:shd w:val="clear" w:color="000000" w:fill="FFFFFF"/>
            <w:vAlign w:val="center"/>
            <w:hideMark/>
          </w:tcPr>
          <w:p w14:paraId="5FEF22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508,800</w:t>
            </w:r>
          </w:p>
        </w:tc>
        <w:tc>
          <w:tcPr>
            <w:tcW w:w="275" w:type="dxa"/>
            <w:tcBorders>
              <w:top w:val="nil"/>
              <w:left w:val="nil"/>
              <w:bottom w:val="single" w:sz="4" w:space="0" w:color="auto"/>
              <w:right w:val="single" w:sz="4" w:space="0" w:color="auto"/>
            </w:tcBorders>
            <w:shd w:val="clear" w:color="000000" w:fill="FFFFFF"/>
            <w:vAlign w:val="center"/>
            <w:hideMark/>
          </w:tcPr>
          <w:p w14:paraId="5FEF22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508,800</w:t>
            </w:r>
          </w:p>
        </w:tc>
        <w:tc>
          <w:tcPr>
            <w:tcW w:w="306" w:type="dxa"/>
            <w:tcBorders>
              <w:top w:val="nil"/>
              <w:left w:val="nil"/>
              <w:bottom w:val="single" w:sz="4" w:space="0" w:color="auto"/>
              <w:right w:val="single" w:sz="4" w:space="0" w:color="auto"/>
            </w:tcBorders>
            <w:shd w:val="clear" w:color="000000" w:fill="FFFFFF"/>
            <w:vAlign w:val="center"/>
            <w:hideMark/>
          </w:tcPr>
          <w:p w14:paraId="5FEF22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508,800</w:t>
            </w:r>
          </w:p>
        </w:tc>
        <w:tc>
          <w:tcPr>
            <w:tcW w:w="245" w:type="dxa"/>
            <w:tcBorders>
              <w:top w:val="nil"/>
              <w:left w:val="nil"/>
              <w:bottom w:val="single" w:sz="4" w:space="0" w:color="auto"/>
              <w:right w:val="single" w:sz="4" w:space="0" w:color="auto"/>
            </w:tcBorders>
            <w:shd w:val="clear" w:color="000000" w:fill="FFFFFF"/>
            <w:vAlign w:val="center"/>
            <w:hideMark/>
          </w:tcPr>
          <w:p w14:paraId="5FEF22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508,800</w:t>
            </w:r>
          </w:p>
        </w:tc>
        <w:tc>
          <w:tcPr>
            <w:tcW w:w="275" w:type="dxa"/>
            <w:tcBorders>
              <w:top w:val="nil"/>
              <w:left w:val="nil"/>
              <w:bottom w:val="single" w:sz="4" w:space="0" w:color="auto"/>
              <w:right w:val="single" w:sz="4" w:space="0" w:color="auto"/>
            </w:tcBorders>
            <w:shd w:val="clear" w:color="000000" w:fill="FFFFFF"/>
            <w:vAlign w:val="center"/>
            <w:hideMark/>
          </w:tcPr>
          <w:p w14:paraId="5FEF22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20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21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21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auto" w:fill="auto"/>
            <w:vAlign w:val="center"/>
            <w:hideMark/>
          </w:tcPr>
          <w:p w14:paraId="5FEF22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22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vAlign w:val="center"/>
            <w:hideMark/>
          </w:tcPr>
          <w:p w14:paraId="5FEF2214" w14:textId="77777777" w:rsidR="002117FE" w:rsidRPr="00795698" w:rsidRDefault="002117FE" w:rsidP="002117FE">
            <w:pPr>
              <w:jc w:val="center"/>
              <w:rPr>
                <w:rFonts w:ascii="Arial" w:hAnsi="Arial" w:cs="Arial"/>
                <w:b/>
                <w:bCs/>
                <w:sz w:val="6"/>
                <w:szCs w:val="6"/>
                <w:lang w:eastAsia="sq-AL"/>
              </w:rPr>
            </w:pPr>
            <w:r w:rsidRPr="00795698">
              <w:rPr>
                <w:rFonts w:ascii="Arial" w:hAnsi="Arial" w:cs="Arial"/>
                <w:b/>
                <w:bCs/>
                <w:sz w:val="6"/>
                <w:szCs w:val="6"/>
                <w:lang w:eastAsia="sq-AL"/>
              </w:rPr>
              <w:t>3.1.14</w:t>
            </w:r>
          </w:p>
        </w:tc>
        <w:tc>
          <w:tcPr>
            <w:tcW w:w="1301" w:type="dxa"/>
            <w:tcBorders>
              <w:top w:val="nil"/>
              <w:left w:val="nil"/>
              <w:bottom w:val="single" w:sz="4" w:space="0" w:color="auto"/>
              <w:right w:val="single" w:sz="4" w:space="0" w:color="auto"/>
            </w:tcBorders>
            <w:shd w:val="clear" w:color="auto" w:fill="auto"/>
            <w:vAlign w:val="center"/>
            <w:hideMark/>
          </w:tcPr>
          <w:p w14:paraId="5FEF2215" w14:textId="52B7003C"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Ofrimi i mbështetjes psiko-sociale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për</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fëmijet të kthyer nga zona të luftës të cilët ndjekin arsimin dhe fëmijë në rrezik radikalizimi, të identifikuar si të radikalizuar.</w:t>
            </w:r>
          </w:p>
        </w:tc>
        <w:tc>
          <w:tcPr>
            <w:tcW w:w="498" w:type="dxa"/>
            <w:tcBorders>
              <w:top w:val="nil"/>
              <w:left w:val="nil"/>
              <w:bottom w:val="single" w:sz="4" w:space="0" w:color="auto"/>
              <w:right w:val="single" w:sz="4" w:space="0" w:color="auto"/>
            </w:tcBorders>
            <w:shd w:val="clear" w:color="000000" w:fill="FFFFFF"/>
            <w:vAlign w:val="center"/>
            <w:hideMark/>
          </w:tcPr>
          <w:p w14:paraId="5FEF221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 Arsimi Bazë", Kodi i Progamit Buxhetor 09120, Kodi i Produktit 91103AF</w:t>
            </w:r>
          </w:p>
        </w:tc>
        <w:tc>
          <w:tcPr>
            <w:tcW w:w="498" w:type="dxa"/>
            <w:tcBorders>
              <w:top w:val="nil"/>
              <w:left w:val="nil"/>
              <w:bottom w:val="single" w:sz="4" w:space="0" w:color="auto"/>
              <w:right w:val="single" w:sz="4" w:space="0" w:color="auto"/>
            </w:tcBorders>
            <w:shd w:val="clear" w:color="auto" w:fill="auto"/>
            <w:vAlign w:val="center"/>
            <w:hideMark/>
          </w:tcPr>
          <w:p w14:paraId="5FEF22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MAS</w:t>
            </w:r>
          </w:p>
        </w:tc>
        <w:tc>
          <w:tcPr>
            <w:tcW w:w="578" w:type="dxa"/>
            <w:tcBorders>
              <w:top w:val="nil"/>
              <w:left w:val="nil"/>
              <w:bottom w:val="single" w:sz="4" w:space="0" w:color="auto"/>
              <w:right w:val="single" w:sz="4" w:space="0" w:color="auto"/>
            </w:tcBorders>
            <w:shd w:val="clear" w:color="auto" w:fill="auto"/>
            <w:vAlign w:val="center"/>
            <w:hideMark/>
          </w:tcPr>
          <w:p w14:paraId="5FEF2218" w14:textId="77777777" w:rsidR="002117FE" w:rsidRPr="00795698" w:rsidRDefault="002117FE" w:rsidP="002117FE">
            <w:pPr>
              <w:spacing w:after="240"/>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MAS; Donatorë; </w:t>
            </w:r>
          </w:p>
        </w:tc>
        <w:tc>
          <w:tcPr>
            <w:tcW w:w="207" w:type="dxa"/>
            <w:tcBorders>
              <w:top w:val="nil"/>
              <w:left w:val="nil"/>
              <w:bottom w:val="single" w:sz="4" w:space="0" w:color="auto"/>
              <w:right w:val="single" w:sz="4" w:space="0" w:color="auto"/>
            </w:tcBorders>
            <w:shd w:val="clear" w:color="auto" w:fill="auto"/>
            <w:vAlign w:val="center"/>
            <w:hideMark/>
          </w:tcPr>
          <w:p w14:paraId="5FEF221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21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2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214,120</w:t>
            </w:r>
          </w:p>
        </w:tc>
        <w:tc>
          <w:tcPr>
            <w:tcW w:w="275" w:type="dxa"/>
            <w:tcBorders>
              <w:top w:val="nil"/>
              <w:left w:val="nil"/>
              <w:bottom w:val="single" w:sz="4" w:space="0" w:color="auto"/>
              <w:right w:val="single" w:sz="4" w:space="0" w:color="auto"/>
            </w:tcBorders>
            <w:shd w:val="clear" w:color="000000" w:fill="FFFFFF"/>
            <w:noWrap/>
            <w:vAlign w:val="center"/>
            <w:hideMark/>
          </w:tcPr>
          <w:p w14:paraId="5FEF22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2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214,120</w:t>
            </w:r>
          </w:p>
        </w:tc>
        <w:tc>
          <w:tcPr>
            <w:tcW w:w="306" w:type="dxa"/>
            <w:tcBorders>
              <w:top w:val="nil"/>
              <w:left w:val="nil"/>
              <w:bottom w:val="single" w:sz="4" w:space="0" w:color="auto"/>
              <w:right w:val="single" w:sz="4" w:space="0" w:color="auto"/>
            </w:tcBorders>
            <w:shd w:val="clear" w:color="000000" w:fill="FFFFFF"/>
            <w:noWrap/>
            <w:vAlign w:val="center"/>
            <w:hideMark/>
          </w:tcPr>
          <w:p w14:paraId="5FEF22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214,120</w:t>
            </w:r>
          </w:p>
        </w:tc>
        <w:tc>
          <w:tcPr>
            <w:tcW w:w="245" w:type="dxa"/>
            <w:tcBorders>
              <w:top w:val="nil"/>
              <w:left w:val="nil"/>
              <w:bottom w:val="single" w:sz="4" w:space="0" w:color="auto"/>
              <w:right w:val="single" w:sz="4" w:space="0" w:color="auto"/>
            </w:tcBorders>
            <w:shd w:val="clear" w:color="000000" w:fill="FFFFFF"/>
            <w:noWrap/>
            <w:vAlign w:val="center"/>
            <w:hideMark/>
          </w:tcPr>
          <w:p w14:paraId="5FEF22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2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214,120</w:t>
            </w:r>
          </w:p>
        </w:tc>
        <w:tc>
          <w:tcPr>
            <w:tcW w:w="306" w:type="dxa"/>
            <w:tcBorders>
              <w:top w:val="nil"/>
              <w:left w:val="nil"/>
              <w:bottom w:val="single" w:sz="4" w:space="0" w:color="auto"/>
              <w:right w:val="single" w:sz="4" w:space="0" w:color="auto"/>
            </w:tcBorders>
            <w:shd w:val="clear" w:color="000000" w:fill="FFFFFF"/>
            <w:noWrap/>
            <w:vAlign w:val="center"/>
            <w:hideMark/>
          </w:tcPr>
          <w:p w14:paraId="5FEF22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214,120</w:t>
            </w:r>
          </w:p>
        </w:tc>
        <w:tc>
          <w:tcPr>
            <w:tcW w:w="245" w:type="dxa"/>
            <w:tcBorders>
              <w:top w:val="nil"/>
              <w:left w:val="nil"/>
              <w:bottom w:val="single" w:sz="4" w:space="0" w:color="auto"/>
              <w:right w:val="single" w:sz="4" w:space="0" w:color="auto"/>
            </w:tcBorders>
            <w:shd w:val="clear" w:color="000000" w:fill="FFFFFF"/>
            <w:noWrap/>
            <w:vAlign w:val="center"/>
            <w:hideMark/>
          </w:tcPr>
          <w:p w14:paraId="5FEF22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auto" w:fill="auto"/>
            <w:vAlign w:val="center"/>
            <w:hideMark/>
          </w:tcPr>
          <w:p w14:paraId="5FEF22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214,120</w:t>
            </w:r>
          </w:p>
        </w:tc>
        <w:tc>
          <w:tcPr>
            <w:tcW w:w="306" w:type="dxa"/>
            <w:tcBorders>
              <w:top w:val="nil"/>
              <w:left w:val="nil"/>
              <w:bottom w:val="single" w:sz="4" w:space="0" w:color="auto"/>
              <w:right w:val="single" w:sz="4" w:space="0" w:color="auto"/>
            </w:tcBorders>
            <w:shd w:val="clear" w:color="000000" w:fill="FFFFFF"/>
            <w:vAlign w:val="center"/>
            <w:hideMark/>
          </w:tcPr>
          <w:p w14:paraId="5FEF22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642,360</w:t>
            </w:r>
          </w:p>
        </w:tc>
        <w:tc>
          <w:tcPr>
            <w:tcW w:w="275" w:type="dxa"/>
            <w:tcBorders>
              <w:top w:val="nil"/>
              <w:left w:val="nil"/>
              <w:bottom w:val="single" w:sz="4" w:space="0" w:color="auto"/>
              <w:right w:val="single" w:sz="4" w:space="0" w:color="auto"/>
            </w:tcBorders>
            <w:shd w:val="clear" w:color="000000" w:fill="FFFFFF"/>
            <w:vAlign w:val="center"/>
            <w:hideMark/>
          </w:tcPr>
          <w:p w14:paraId="5FEF22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642,360</w:t>
            </w:r>
          </w:p>
        </w:tc>
        <w:tc>
          <w:tcPr>
            <w:tcW w:w="306" w:type="dxa"/>
            <w:tcBorders>
              <w:top w:val="nil"/>
              <w:left w:val="nil"/>
              <w:bottom w:val="single" w:sz="4" w:space="0" w:color="auto"/>
              <w:right w:val="single" w:sz="4" w:space="0" w:color="auto"/>
            </w:tcBorders>
            <w:shd w:val="clear" w:color="000000" w:fill="FFFFFF"/>
            <w:vAlign w:val="center"/>
            <w:hideMark/>
          </w:tcPr>
          <w:p w14:paraId="5FEF22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45" w:type="dxa"/>
            <w:tcBorders>
              <w:top w:val="nil"/>
              <w:left w:val="nil"/>
              <w:bottom w:val="single" w:sz="4" w:space="0" w:color="auto"/>
              <w:right w:val="single" w:sz="4" w:space="0" w:color="auto"/>
            </w:tcBorders>
            <w:shd w:val="clear" w:color="000000" w:fill="FFFFFF"/>
            <w:vAlign w:val="center"/>
            <w:hideMark/>
          </w:tcPr>
          <w:p w14:paraId="5FEF22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300,000</w:t>
            </w:r>
          </w:p>
        </w:tc>
        <w:tc>
          <w:tcPr>
            <w:tcW w:w="275" w:type="dxa"/>
            <w:tcBorders>
              <w:top w:val="nil"/>
              <w:left w:val="nil"/>
              <w:bottom w:val="single" w:sz="4" w:space="0" w:color="auto"/>
              <w:right w:val="single" w:sz="4" w:space="0" w:color="auto"/>
            </w:tcBorders>
            <w:shd w:val="clear" w:color="000000" w:fill="FFFFFF"/>
            <w:vAlign w:val="center"/>
            <w:hideMark/>
          </w:tcPr>
          <w:p w14:paraId="5FEF22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342,360</w:t>
            </w:r>
          </w:p>
        </w:tc>
        <w:tc>
          <w:tcPr>
            <w:tcW w:w="245" w:type="dxa"/>
            <w:tcBorders>
              <w:top w:val="nil"/>
              <w:left w:val="nil"/>
              <w:bottom w:val="single" w:sz="4" w:space="0" w:color="auto"/>
              <w:right w:val="single" w:sz="4" w:space="0" w:color="auto"/>
            </w:tcBorders>
            <w:shd w:val="clear" w:color="000000" w:fill="FFFFFF"/>
            <w:vAlign w:val="center"/>
            <w:hideMark/>
          </w:tcPr>
          <w:p w14:paraId="5FEF22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2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vAlign w:val="center"/>
            <w:hideMark/>
          </w:tcPr>
          <w:p w14:paraId="5FEF22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342,360</w:t>
            </w:r>
          </w:p>
        </w:tc>
        <w:tc>
          <w:tcPr>
            <w:tcW w:w="262" w:type="dxa"/>
            <w:tcBorders>
              <w:top w:val="nil"/>
              <w:left w:val="nil"/>
              <w:bottom w:val="single" w:sz="4" w:space="0" w:color="auto"/>
              <w:right w:val="single" w:sz="8" w:space="0" w:color="auto"/>
            </w:tcBorders>
            <w:shd w:val="clear" w:color="auto" w:fill="auto"/>
            <w:vAlign w:val="center"/>
            <w:hideMark/>
          </w:tcPr>
          <w:p w14:paraId="5FEF22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24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223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2231"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3.1</w:t>
            </w:r>
          </w:p>
        </w:tc>
        <w:tc>
          <w:tcPr>
            <w:tcW w:w="498" w:type="dxa"/>
            <w:tcBorders>
              <w:top w:val="nil"/>
              <w:left w:val="nil"/>
              <w:bottom w:val="single" w:sz="4" w:space="0" w:color="auto"/>
              <w:right w:val="single" w:sz="4" w:space="0" w:color="auto"/>
            </w:tcBorders>
            <w:shd w:val="clear" w:color="000000" w:fill="D9D9D9"/>
            <w:vAlign w:val="center"/>
            <w:hideMark/>
          </w:tcPr>
          <w:p w14:paraId="5FEF223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223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223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223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223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223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1,757,680</w:t>
            </w:r>
          </w:p>
        </w:tc>
        <w:tc>
          <w:tcPr>
            <w:tcW w:w="275" w:type="dxa"/>
            <w:tcBorders>
              <w:top w:val="nil"/>
              <w:left w:val="nil"/>
              <w:bottom w:val="single" w:sz="4" w:space="0" w:color="auto"/>
              <w:right w:val="single" w:sz="4" w:space="0" w:color="auto"/>
            </w:tcBorders>
            <w:shd w:val="clear" w:color="000000" w:fill="D9D9D9"/>
            <w:vAlign w:val="center"/>
            <w:hideMark/>
          </w:tcPr>
          <w:p w14:paraId="5FEF223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D9D9D9"/>
            <w:vAlign w:val="center"/>
            <w:hideMark/>
          </w:tcPr>
          <w:p w14:paraId="5FEF223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2,257,680</w:t>
            </w:r>
          </w:p>
        </w:tc>
        <w:tc>
          <w:tcPr>
            <w:tcW w:w="306" w:type="dxa"/>
            <w:tcBorders>
              <w:top w:val="nil"/>
              <w:left w:val="nil"/>
              <w:bottom w:val="single" w:sz="4" w:space="0" w:color="auto"/>
              <w:right w:val="single" w:sz="4" w:space="0" w:color="auto"/>
            </w:tcBorders>
            <w:shd w:val="clear" w:color="000000" w:fill="D9D9D9"/>
            <w:vAlign w:val="center"/>
            <w:hideMark/>
          </w:tcPr>
          <w:p w14:paraId="5FEF223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1,707,680</w:t>
            </w:r>
          </w:p>
        </w:tc>
        <w:tc>
          <w:tcPr>
            <w:tcW w:w="245" w:type="dxa"/>
            <w:tcBorders>
              <w:top w:val="nil"/>
              <w:left w:val="nil"/>
              <w:bottom w:val="single" w:sz="4" w:space="0" w:color="auto"/>
              <w:right w:val="single" w:sz="4" w:space="0" w:color="auto"/>
            </w:tcBorders>
            <w:shd w:val="clear" w:color="000000" w:fill="D9D9D9"/>
            <w:vAlign w:val="center"/>
            <w:hideMark/>
          </w:tcPr>
          <w:p w14:paraId="5FEF223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23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1,707,680</w:t>
            </w:r>
          </w:p>
        </w:tc>
        <w:tc>
          <w:tcPr>
            <w:tcW w:w="306" w:type="dxa"/>
            <w:tcBorders>
              <w:top w:val="nil"/>
              <w:left w:val="nil"/>
              <w:bottom w:val="single" w:sz="4" w:space="0" w:color="auto"/>
              <w:right w:val="single" w:sz="4" w:space="0" w:color="auto"/>
            </w:tcBorders>
            <w:shd w:val="clear" w:color="000000" w:fill="D9D9D9"/>
            <w:vAlign w:val="center"/>
            <w:hideMark/>
          </w:tcPr>
          <w:p w14:paraId="5FEF223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1,707,680</w:t>
            </w:r>
          </w:p>
        </w:tc>
        <w:tc>
          <w:tcPr>
            <w:tcW w:w="245" w:type="dxa"/>
            <w:tcBorders>
              <w:top w:val="nil"/>
              <w:left w:val="nil"/>
              <w:bottom w:val="single" w:sz="4" w:space="0" w:color="auto"/>
              <w:right w:val="single" w:sz="4" w:space="0" w:color="auto"/>
            </w:tcBorders>
            <w:shd w:val="clear" w:color="000000" w:fill="D9D9D9"/>
            <w:vAlign w:val="center"/>
            <w:hideMark/>
          </w:tcPr>
          <w:p w14:paraId="5FEF223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23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1,707,680</w:t>
            </w:r>
          </w:p>
        </w:tc>
        <w:tc>
          <w:tcPr>
            <w:tcW w:w="306" w:type="dxa"/>
            <w:tcBorders>
              <w:top w:val="nil"/>
              <w:left w:val="nil"/>
              <w:bottom w:val="single" w:sz="4" w:space="0" w:color="auto"/>
              <w:right w:val="single" w:sz="4" w:space="0" w:color="auto"/>
            </w:tcBorders>
            <w:shd w:val="clear" w:color="000000" w:fill="D9D9D9"/>
            <w:vAlign w:val="center"/>
            <w:hideMark/>
          </w:tcPr>
          <w:p w14:paraId="5FEF224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5,173,040</w:t>
            </w:r>
          </w:p>
        </w:tc>
        <w:tc>
          <w:tcPr>
            <w:tcW w:w="275" w:type="dxa"/>
            <w:tcBorders>
              <w:top w:val="nil"/>
              <w:left w:val="nil"/>
              <w:bottom w:val="single" w:sz="4" w:space="0" w:color="auto"/>
              <w:right w:val="single" w:sz="4" w:space="0" w:color="auto"/>
            </w:tcBorders>
            <w:shd w:val="clear" w:color="000000" w:fill="D9D9D9"/>
            <w:vAlign w:val="center"/>
            <w:hideMark/>
          </w:tcPr>
          <w:p w14:paraId="5FEF224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D9D9D9"/>
            <w:vAlign w:val="center"/>
            <w:hideMark/>
          </w:tcPr>
          <w:p w14:paraId="5FEF224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5,673,040</w:t>
            </w:r>
          </w:p>
        </w:tc>
        <w:tc>
          <w:tcPr>
            <w:tcW w:w="306" w:type="dxa"/>
            <w:tcBorders>
              <w:top w:val="nil"/>
              <w:left w:val="nil"/>
              <w:bottom w:val="single" w:sz="4" w:space="0" w:color="auto"/>
              <w:right w:val="single" w:sz="4" w:space="0" w:color="auto"/>
            </w:tcBorders>
            <w:shd w:val="clear" w:color="000000" w:fill="D9D9D9"/>
            <w:vAlign w:val="center"/>
            <w:hideMark/>
          </w:tcPr>
          <w:p w14:paraId="5FEF224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4,813,097</w:t>
            </w:r>
          </w:p>
        </w:tc>
        <w:tc>
          <w:tcPr>
            <w:tcW w:w="245" w:type="dxa"/>
            <w:tcBorders>
              <w:top w:val="nil"/>
              <w:left w:val="nil"/>
              <w:bottom w:val="single" w:sz="4" w:space="0" w:color="auto"/>
              <w:right w:val="single" w:sz="4" w:space="0" w:color="auto"/>
            </w:tcBorders>
            <w:shd w:val="clear" w:color="000000" w:fill="D9D9D9"/>
            <w:vAlign w:val="center"/>
            <w:hideMark/>
          </w:tcPr>
          <w:p w14:paraId="5FEF224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24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4,813,097</w:t>
            </w:r>
          </w:p>
        </w:tc>
        <w:tc>
          <w:tcPr>
            <w:tcW w:w="275" w:type="dxa"/>
            <w:tcBorders>
              <w:top w:val="nil"/>
              <w:left w:val="nil"/>
              <w:bottom w:val="single" w:sz="4" w:space="0" w:color="auto"/>
              <w:right w:val="single" w:sz="4" w:space="0" w:color="auto"/>
            </w:tcBorders>
            <w:shd w:val="clear" w:color="000000" w:fill="D9D9D9"/>
            <w:vAlign w:val="center"/>
            <w:hideMark/>
          </w:tcPr>
          <w:p w14:paraId="5FEF224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859,943</w:t>
            </w:r>
          </w:p>
        </w:tc>
        <w:tc>
          <w:tcPr>
            <w:tcW w:w="245" w:type="dxa"/>
            <w:tcBorders>
              <w:top w:val="nil"/>
              <w:left w:val="nil"/>
              <w:bottom w:val="single" w:sz="4" w:space="0" w:color="auto"/>
              <w:right w:val="single" w:sz="4" w:space="0" w:color="auto"/>
            </w:tcBorders>
            <w:shd w:val="clear" w:color="000000" w:fill="D9D9D9"/>
            <w:vAlign w:val="center"/>
            <w:hideMark/>
          </w:tcPr>
          <w:p w14:paraId="5FEF224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224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224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859,943</w:t>
            </w:r>
          </w:p>
        </w:tc>
        <w:tc>
          <w:tcPr>
            <w:tcW w:w="262" w:type="dxa"/>
            <w:tcBorders>
              <w:top w:val="nil"/>
              <w:left w:val="nil"/>
              <w:bottom w:val="single" w:sz="4" w:space="0" w:color="auto"/>
              <w:right w:val="single" w:sz="4" w:space="0" w:color="auto"/>
            </w:tcBorders>
            <w:shd w:val="clear" w:color="000000" w:fill="D9D9D9"/>
            <w:vAlign w:val="center"/>
            <w:hideMark/>
          </w:tcPr>
          <w:p w14:paraId="5FEF224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226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4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w:t>
            </w:r>
          </w:p>
        </w:tc>
        <w:tc>
          <w:tcPr>
            <w:tcW w:w="1301" w:type="dxa"/>
            <w:tcBorders>
              <w:top w:val="nil"/>
              <w:left w:val="nil"/>
              <w:bottom w:val="single" w:sz="4" w:space="0" w:color="auto"/>
              <w:right w:val="single" w:sz="4" w:space="0" w:color="auto"/>
            </w:tcBorders>
            <w:shd w:val="clear" w:color="auto" w:fill="auto"/>
            <w:vAlign w:val="center"/>
            <w:hideMark/>
          </w:tcPr>
          <w:p w14:paraId="5FEF224D" w14:textId="76F7B523" w:rsidR="002117FE" w:rsidRPr="00795698" w:rsidRDefault="002117FE" w:rsidP="00C62D65">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 OBJEKTIVI SPECIFIK:Fuqizimi ekonomik i personave të radikalizuar dhe familjeve t</w:t>
            </w:r>
            <w:r w:rsidR="00C62D65" w:rsidRPr="00795698">
              <w:rPr>
                <w:rFonts w:ascii="Arial" w:hAnsi="Arial" w:cs="Arial"/>
                <w:b/>
                <w:bCs/>
                <w:color w:val="000000"/>
                <w:sz w:val="6"/>
                <w:szCs w:val="6"/>
                <w:lang w:eastAsia="sq-AL"/>
              </w:rPr>
              <w:t>ë</w:t>
            </w:r>
            <w:r w:rsidRPr="00795698">
              <w:rPr>
                <w:rFonts w:ascii="Arial" w:hAnsi="Arial" w:cs="Arial"/>
                <w:b/>
                <w:bCs/>
                <w:color w:val="000000"/>
                <w:sz w:val="6"/>
                <w:szCs w:val="6"/>
                <w:lang w:eastAsia="sq-AL"/>
              </w:rPr>
              <w:t xml:space="preserve"> kthyera nga vendet e luftës përmes integrimit dhe harmonizimit të ndërhyrjeve për kualifikime dhe</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punësim</w:t>
            </w:r>
          </w:p>
        </w:tc>
        <w:tc>
          <w:tcPr>
            <w:tcW w:w="498" w:type="dxa"/>
            <w:tcBorders>
              <w:top w:val="nil"/>
              <w:left w:val="nil"/>
              <w:bottom w:val="single" w:sz="4" w:space="0" w:color="auto"/>
              <w:right w:val="single" w:sz="4" w:space="0" w:color="auto"/>
            </w:tcBorders>
            <w:shd w:val="clear" w:color="auto" w:fill="auto"/>
            <w:vAlign w:val="center"/>
            <w:hideMark/>
          </w:tcPr>
          <w:p w14:paraId="5FEF224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FEF22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noWrap/>
            <w:vAlign w:val="bottom"/>
            <w:hideMark/>
          </w:tcPr>
          <w:p w14:paraId="5FEF22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noWrap/>
            <w:vAlign w:val="bottom"/>
            <w:hideMark/>
          </w:tcPr>
          <w:p w14:paraId="5FEF22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noWrap/>
            <w:vAlign w:val="bottom"/>
            <w:hideMark/>
          </w:tcPr>
          <w:p w14:paraId="5FEF22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6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5FEF226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6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000000" w:fill="FFFFFF"/>
            <w:vAlign w:val="center"/>
            <w:hideMark/>
          </w:tcPr>
          <w:p w14:paraId="5FEF22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28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6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auto" w:fill="auto"/>
            <w:vAlign w:val="center"/>
            <w:hideMark/>
          </w:tcPr>
          <w:p w14:paraId="5FEF2269" w14:textId="77777777" w:rsidR="002117FE" w:rsidRPr="00795698" w:rsidRDefault="002117FE" w:rsidP="002117FE">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498" w:type="dxa"/>
            <w:tcBorders>
              <w:top w:val="nil"/>
              <w:left w:val="nil"/>
              <w:bottom w:val="single" w:sz="4" w:space="0" w:color="auto"/>
              <w:right w:val="single" w:sz="4" w:space="0" w:color="auto"/>
            </w:tcBorders>
            <w:shd w:val="clear" w:color="auto" w:fill="auto"/>
            <w:vAlign w:val="center"/>
            <w:hideMark/>
          </w:tcPr>
          <w:p w14:paraId="5FEF226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FEF226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noWrap/>
            <w:vAlign w:val="bottom"/>
            <w:hideMark/>
          </w:tcPr>
          <w:p w14:paraId="5FEF226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noWrap/>
            <w:vAlign w:val="bottom"/>
            <w:hideMark/>
          </w:tcPr>
          <w:p w14:paraId="5FEF226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noWrap/>
            <w:vAlign w:val="bottom"/>
            <w:hideMark/>
          </w:tcPr>
          <w:p w14:paraId="5FEF226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6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7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7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7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7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7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27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7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27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5FEF228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28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000000" w:fill="FFFFFF"/>
            <w:vAlign w:val="center"/>
            <w:hideMark/>
          </w:tcPr>
          <w:p w14:paraId="5FEF22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29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8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3.2.1</w:t>
            </w:r>
          </w:p>
        </w:tc>
        <w:tc>
          <w:tcPr>
            <w:tcW w:w="1301" w:type="dxa"/>
            <w:tcBorders>
              <w:top w:val="nil"/>
              <w:left w:val="nil"/>
              <w:bottom w:val="single" w:sz="4" w:space="0" w:color="auto"/>
              <w:right w:val="single" w:sz="4" w:space="0" w:color="auto"/>
            </w:tcBorders>
            <w:shd w:val="clear" w:color="auto" w:fill="auto"/>
            <w:vAlign w:val="bottom"/>
            <w:hideMark/>
          </w:tcPr>
          <w:p w14:paraId="5FEF2285"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Identifikimi dhe referimi i personave në rrezik radikalizimi dhe ekstremizmi për regjistrimin si punëkërkues të papunë, në përputhje me legjislacionin për nxitjen e punësimit.</w:t>
            </w:r>
          </w:p>
        </w:tc>
        <w:tc>
          <w:tcPr>
            <w:tcW w:w="498" w:type="dxa"/>
            <w:tcBorders>
              <w:top w:val="nil"/>
              <w:left w:val="nil"/>
              <w:bottom w:val="single" w:sz="4" w:space="0" w:color="auto"/>
              <w:right w:val="single" w:sz="4" w:space="0" w:color="auto"/>
            </w:tcBorders>
            <w:shd w:val="clear" w:color="000000" w:fill="FFFFFF"/>
            <w:vAlign w:val="center"/>
            <w:hideMark/>
          </w:tcPr>
          <w:p w14:paraId="5FEF2286" w14:textId="1ED134B3"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2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2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MFE; AKPA; Donatore </w:t>
            </w:r>
          </w:p>
        </w:tc>
        <w:tc>
          <w:tcPr>
            <w:tcW w:w="207" w:type="dxa"/>
            <w:tcBorders>
              <w:top w:val="nil"/>
              <w:left w:val="nil"/>
              <w:bottom w:val="single" w:sz="4" w:space="0" w:color="auto"/>
              <w:right w:val="single" w:sz="4" w:space="0" w:color="auto"/>
            </w:tcBorders>
            <w:shd w:val="clear" w:color="auto" w:fill="auto"/>
            <w:vAlign w:val="center"/>
            <w:hideMark/>
          </w:tcPr>
          <w:p w14:paraId="5FEF228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28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2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406,300</w:t>
            </w:r>
          </w:p>
        </w:tc>
        <w:tc>
          <w:tcPr>
            <w:tcW w:w="275" w:type="dxa"/>
            <w:tcBorders>
              <w:top w:val="nil"/>
              <w:left w:val="nil"/>
              <w:bottom w:val="single" w:sz="4" w:space="0" w:color="auto"/>
              <w:right w:val="single" w:sz="4" w:space="0" w:color="auto"/>
            </w:tcBorders>
            <w:shd w:val="clear" w:color="000000" w:fill="FFFFFF"/>
            <w:noWrap/>
            <w:vAlign w:val="center"/>
            <w:hideMark/>
          </w:tcPr>
          <w:p w14:paraId="5FEF22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406,300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406,300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406,300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406,300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406,300</w:t>
            </w:r>
          </w:p>
        </w:tc>
        <w:tc>
          <w:tcPr>
            <w:tcW w:w="306" w:type="dxa"/>
            <w:tcBorders>
              <w:top w:val="nil"/>
              <w:left w:val="nil"/>
              <w:bottom w:val="single" w:sz="4" w:space="0" w:color="auto"/>
              <w:right w:val="single" w:sz="4" w:space="0" w:color="auto"/>
            </w:tcBorders>
            <w:shd w:val="clear" w:color="000000" w:fill="FFFFFF"/>
            <w:vAlign w:val="center"/>
            <w:hideMark/>
          </w:tcPr>
          <w:p w14:paraId="5FEF22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1,218,900</w:t>
            </w:r>
          </w:p>
        </w:tc>
        <w:tc>
          <w:tcPr>
            <w:tcW w:w="275" w:type="dxa"/>
            <w:tcBorders>
              <w:top w:val="nil"/>
              <w:left w:val="nil"/>
              <w:bottom w:val="single" w:sz="4" w:space="0" w:color="auto"/>
              <w:right w:val="single" w:sz="4" w:space="0" w:color="auto"/>
            </w:tcBorders>
            <w:shd w:val="clear" w:color="000000" w:fill="FFFFFF"/>
            <w:vAlign w:val="center"/>
            <w:hideMark/>
          </w:tcPr>
          <w:p w14:paraId="5FEF22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1,218,900</w:t>
            </w:r>
          </w:p>
        </w:tc>
        <w:tc>
          <w:tcPr>
            <w:tcW w:w="306" w:type="dxa"/>
            <w:tcBorders>
              <w:top w:val="nil"/>
              <w:left w:val="nil"/>
              <w:bottom w:val="single" w:sz="4" w:space="0" w:color="auto"/>
              <w:right w:val="single" w:sz="4" w:space="0" w:color="auto"/>
            </w:tcBorders>
            <w:shd w:val="clear" w:color="000000" w:fill="FFFFFF"/>
            <w:vAlign w:val="center"/>
            <w:hideMark/>
          </w:tcPr>
          <w:p w14:paraId="5FEF22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1,170,000</w:t>
            </w:r>
          </w:p>
        </w:tc>
        <w:tc>
          <w:tcPr>
            <w:tcW w:w="245" w:type="dxa"/>
            <w:tcBorders>
              <w:top w:val="nil"/>
              <w:left w:val="nil"/>
              <w:bottom w:val="single" w:sz="4" w:space="0" w:color="auto"/>
              <w:right w:val="single" w:sz="4" w:space="0" w:color="auto"/>
            </w:tcBorders>
            <w:shd w:val="clear" w:color="000000" w:fill="FFFFFF"/>
            <w:vAlign w:val="center"/>
            <w:hideMark/>
          </w:tcPr>
          <w:p w14:paraId="5FEF22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1,170,000</w:t>
            </w:r>
          </w:p>
        </w:tc>
        <w:tc>
          <w:tcPr>
            <w:tcW w:w="275" w:type="dxa"/>
            <w:tcBorders>
              <w:top w:val="nil"/>
              <w:left w:val="nil"/>
              <w:bottom w:val="single" w:sz="4" w:space="0" w:color="auto"/>
              <w:right w:val="single" w:sz="4" w:space="0" w:color="auto"/>
            </w:tcBorders>
            <w:shd w:val="clear" w:color="000000" w:fill="FFFFFF"/>
            <w:vAlign w:val="center"/>
            <w:hideMark/>
          </w:tcPr>
          <w:p w14:paraId="5FEF22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48,900</w:t>
            </w:r>
          </w:p>
        </w:tc>
        <w:tc>
          <w:tcPr>
            <w:tcW w:w="245" w:type="dxa"/>
            <w:tcBorders>
              <w:top w:val="nil"/>
              <w:left w:val="nil"/>
              <w:bottom w:val="single" w:sz="4" w:space="0" w:color="auto"/>
              <w:right w:val="single" w:sz="4" w:space="0" w:color="auto"/>
            </w:tcBorders>
            <w:shd w:val="clear" w:color="000000" w:fill="FFFFFF"/>
            <w:vAlign w:val="center"/>
            <w:hideMark/>
          </w:tcPr>
          <w:p w14:paraId="5FEF229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29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29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48,900</w:t>
            </w:r>
          </w:p>
        </w:tc>
        <w:tc>
          <w:tcPr>
            <w:tcW w:w="262" w:type="dxa"/>
            <w:tcBorders>
              <w:top w:val="nil"/>
              <w:left w:val="nil"/>
              <w:bottom w:val="single" w:sz="4" w:space="0" w:color="auto"/>
              <w:right w:val="single" w:sz="8" w:space="0" w:color="auto"/>
            </w:tcBorders>
            <w:shd w:val="clear" w:color="000000" w:fill="FFFFFF"/>
            <w:vAlign w:val="center"/>
            <w:hideMark/>
          </w:tcPr>
          <w:p w14:paraId="5FEF22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2B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A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3.2.2</w:t>
            </w:r>
          </w:p>
        </w:tc>
        <w:tc>
          <w:tcPr>
            <w:tcW w:w="1301" w:type="dxa"/>
            <w:tcBorders>
              <w:top w:val="nil"/>
              <w:left w:val="nil"/>
              <w:bottom w:val="single" w:sz="4" w:space="0" w:color="auto"/>
              <w:right w:val="single" w:sz="4" w:space="0" w:color="auto"/>
            </w:tcBorders>
            <w:shd w:val="clear" w:color="auto" w:fill="auto"/>
            <w:vAlign w:val="bottom"/>
            <w:hideMark/>
          </w:tcPr>
          <w:p w14:paraId="5FEF22A1" w14:textId="490E1CA3"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Sigurimi/monitorimi i zbatueshmërisë së programeve të integrimit social,</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të miratuara nga ministritë e linjës, bazuar në nevojat e kategorive vulnerable, sipas legjislacionit në fuqi, për të siguruar riintegrimin e plotë të të kthyerve në komunitet:</w:t>
            </w:r>
          </w:p>
        </w:tc>
        <w:tc>
          <w:tcPr>
            <w:tcW w:w="498" w:type="dxa"/>
            <w:tcBorders>
              <w:top w:val="nil"/>
              <w:left w:val="nil"/>
              <w:bottom w:val="single" w:sz="4" w:space="0" w:color="auto"/>
              <w:right w:val="single" w:sz="4" w:space="0" w:color="auto"/>
            </w:tcBorders>
            <w:shd w:val="clear" w:color="000000" w:fill="FFFFFF"/>
            <w:vAlign w:val="center"/>
            <w:hideMark/>
          </w:tcPr>
          <w:p w14:paraId="5FEF22A2" w14:textId="2B7EEAC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91601AA</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2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auto" w:fill="auto"/>
            <w:vAlign w:val="center"/>
            <w:hideMark/>
          </w:tcPr>
          <w:p w14:paraId="5FEF22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AMVV, Donatorë; QKEDH; Të gjitha ministritë e linjës dhe institucionet </w:t>
            </w:r>
            <w:r w:rsidRPr="00795698">
              <w:rPr>
                <w:rFonts w:ascii="Arial" w:hAnsi="Arial" w:cs="Arial"/>
                <w:color w:val="000000"/>
                <w:sz w:val="6"/>
                <w:szCs w:val="6"/>
                <w:lang w:eastAsia="sq-AL"/>
              </w:rPr>
              <w:br/>
              <w:t>përkatëse mbështetëse të varësisë:</w:t>
            </w:r>
          </w:p>
        </w:tc>
        <w:tc>
          <w:tcPr>
            <w:tcW w:w="207" w:type="dxa"/>
            <w:tcBorders>
              <w:top w:val="nil"/>
              <w:left w:val="nil"/>
              <w:bottom w:val="single" w:sz="4" w:space="0" w:color="auto"/>
              <w:right w:val="single" w:sz="4" w:space="0" w:color="auto"/>
            </w:tcBorders>
            <w:shd w:val="clear" w:color="auto" w:fill="auto"/>
            <w:vAlign w:val="center"/>
            <w:hideMark/>
          </w:tcPr>
          <w:p w14:paraId="5FEF22A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2A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2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212,600</w:t>
            </w:r>
          </w:p>
        </w:tc>
        <w:tc>
          <w:tcPr>
            <w:tcW w:w="275" w:type="dxa"/>
            <w:tcBorders>
              <w:top w:val="nil"/>
              <w:left w:val="nil"/>
              <w:bottom w:val="single" w:sz="4" w:space="0" w:color="auto"/>
              <w:right w:val="single" w:sz="4" w:space="0" w:color="auto"/>
            </w:tcBorders>
            <w:shd w:val="clear" w:color="000000" w:fill="FFFFFF"/>
            <w:noWrap/>
            <w:vAlign w:val="center"/>
            <w:hideMark/>
          </w:tcPr>
          <w:p w14:paraId="5FEF22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A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212,600</w:t>
            </w:r>
          </w:p>
        </w:tc>
        <w:tc>
          <w:tcPr>
            <w:tcW w:w="306" w:type="dxa"/>
            <w:tcBorders>
              <w:top w:val="nil"/>
              <w:left w:val="nil"/>
              <w:bottom w:val="single" w:sz="4" w:space="0" w:color="auto"/>
              <w:right w:val="single" w:sz="4" w:space="0" w:color="auto"/>
            </w:tcBorders>
            <w:shd w:val="clear" w:color="000000" w:fill="FFFFFF"/>
            <w:vAlign w:val="center"/>
            <w:hideMark/>
          </w:tcPr>
          <w:p w14:paraId="5FEF22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637,800</w:t>
            </w:r>
          </w:p>
        </w:tc>
        <w:tc>
          <w:tcPr>
            <w:tcW w:w="275" w:type="dxa"/>
            <w:tcBorders>
              <w:top w:val="nil"/>
              <w:left w:val="nil"/>
              <w:bottom w:val="single" w:sz="4" w:space="0" w:color="auto"/>
              <w:right w:val="single" w:sz="4" w:space="0" w:color="auto"/>
            </w:tcBorders>
            <w:shd w:val="clear" w:color="000000" w:fill="FFFFFF"/>
            <w:vAlign w:val="center"/>
            <w:hideMark/>
          </w:tcPr>
          <w:p w14:paraId="5FEF22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637,800</w:t>
            </w:r>
          </w:p>
        </w:tc>
        <w:tc>
          <w:tcPr>
            <w:tcW w:w="306" w:type="dxa"/>
            <w:tcBorders>
              <w:top w:val="nil"/>
              <w:left w:val="nil"/>
              <w:bottom w:val="single" w:sz="4" w:space="0" w:color="auto"/>
              <w:right w:val="single" w:sz="4" w:space="0" w:color="auto"/>
            </w:tcBorders>
            <w:shd w:val="clear" w:color="000000" w:fill="FFFFFF"/>
            <w:vAlign w:val="center"/>
            <w:hideMark/>
          </w:tcPr>
          <w:p w14:paraId="5FEF22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481,800</w:t>
            </w:r>
          </w:p>
        </w:tc>
        <w:tc>
          <w:tcPr>
            <w:tcW w:w="245" w:type="dxa"/>
            <w:tcBorders>
              <w:top w:val="nil"/>
              <w:left w:val="nil"/>
              <w:bottom w:val="single" w:sz="4" w:space="0" w:color="auto"/>
              <w:right w:val="single" w:sz="4" w:space="0" w:color="auto"/>
            </w:tcBorders>
            <w:shd w:val="clear" w:color="000000" w:fill="FFFFFF"/>
            <w:vAlign w:val="center"/>
            <w:hideMark/>
          </w:tcPr>
          <w:p w14:paraId="5FEF22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481,800</w:t>
            </w:r>
          </w:p>
        </w:tc>
        <w:tc>
          <w:tcPr>
            <w:tcW w:w="275" w:type="dxa"/>
            <w:tcBorders>
              <w:top w:val="nil"/>
              <w:left w:val="nil"/>
              <w:bottom w:val="single" w:sz="4" w:space="0" w:color="auto"/>
              <w:right w:val="single" w:sz="4" w:space="0" w:color="auto"/>
            </w:tcBorders>
            <w:shd w:val="clear" w:color="000000" w:fill="FFFFFF"/>
            <w:vAlign w:val="center"/>
            <w:hideMark/>
          </w:tcPr>
          <w:p w14:paraId="5FEF22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156,000</w:t>
            </w:r>
          </w:p>
        </w:tc>
        <w:tc>
          <w:tcPr>
            <w:tcW w:w="245" w:type="dxa"/>
            <w:tcBorders>
              <w:top w:val="nil"/>
              <w:left w:val="nil"/>
              <w:bottom w:val="single" w:sz="4" w:space="0" w:color="auto"/>
              <w:right w:val="single" w:sz="4" w:space="0" w:color="auto"/>
            </w:tcBorders>
            <w:shd w:val="clear" w:color="000000" w:fill="FFFFFF"/>
            <w:vAlign w:val="center"/>
            <w:hideMark/>
          </w:tcPr>
          <w:p w14:paraId="5FEF22B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2B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2B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156,000</w:t>
            </w:r>
          </w:p>
        </w:tc>
        <w:tc>
          <w:tcPr>
            <w:tcW w:w="262" w:type="dxa"/>
            <w:tcBorders>
              <w:top w:val="nil"/>
              <w:left w:val="nil"/>
              <w:bottom w:val="single" w:sz="4" w:space="0" w:color="auto"/>
              <w:right w:val="single" w:sz="8" w:space="0" w:color="auto"/>
            </w:tcBorders>
            <w:shd w:val="clear" w:color="000000" w:fill="FFFFFF"/>
            <w:vAlign w:val="center"/>
            <w:hideMark/>
          </w:tcPr>
          <w:p w14:paraId="5FEF22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2D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B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3.2.3</w:t>
            </w:r>
          </w:p>
        </w:tc>
        <w:tc>
          <w:tcPr>
            <w:tcW w:w="1301" w:type="dxa"/>
            <w:tcBorders>
              <w:top w:val="nil"/>
              <w:left w:val="nil"/>
              <w:bottom w:val="single" w:sz="4" w:space="0" w:color="auto"/>
              <w:right w:val="single" w:sz="4" w:space="0" w:color="auto"/>
            </w:tcBorders>
            <w:shd w:val="clear" w:color="auto" w:fill="auto"/>
            <w:vAlign w:val="bottom"/>
            <w:hideMark/>
          </w:tcPr>
          <w:p w14:paraId="5FEF22BD" w14:textId="39D655D3"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Hartimi i protokolleve për përfshirjen e personave të radikalizuar në programet aktive të tregut të punës nëpërmjet shërbimeve të punësimit, programeve të nxitjes dhe programeve të formimit profesional.</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000000" w:fill="FFFFFF"/>
            <w:vAlign w:val="center"/>
            <w:hideMark/>
          </w:tcPr>
          <w:p w14:paraId="5FEF22B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Buxhetor 01110</w:t>
            </w:r>
          </w:p>
        </w:tc>
        <w:tc>
          <w:tcPr>
            <w:tcW w:w="498" w:type="dxa"/>
            <w:tcBorders>
              <w:top w:val="nil"/>
              <w:left w:val="nil"/>
              <w:bottom w:val="single" w:sz="4" w:space="0" w:color="auto"/>
              <w:right w:val="single" w:sz="4" w:space="0" w:color="auto"/>
            </w:tcBorders>
            <w:shd w:val="clear" w:color="auto" w:fill="auto"/>
            <w:vAlign w:val="center"/>
            <w:hideMark/>
          </w:tcPr>
          <w:p w14:paraId="5FEF22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MFE</w:t>
            </w:r>
          </w:p>
        </w:tc>
        <w:tc>
          <w:tcPr>
            <w:tcW w:w="578" w:type="dxa"/>
            <w:tcBorders>
              <w:top w:val="nil"/>
              <w:left w:val="nil"/>
              <w:bottom w:val="single" w:sz="4" w:space="0" w:color="auto"/>
              <w:right w:val="single" w:sz="4" w:space="0" w:color="auto"/>
            </w:tcBorders>
            <w:shd w:val="clear" w:color="auto" w:fill="auto"/>
            <w:vAlign w:val="center"/>
            <w:hideMark/>
          </w:tcPr>
          <w:p w14:paraId="5FEF22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AKPA; AMVV/NJVV; Donatorë</w:t>
            </w:r>
          </w:p>
        </w:tc>
        <w:tc>
          <w:tcPr>
            <w:tcW w:w="207" w:type="dxa"/>
            <w:tcBorders>
              <w:top w:val="nil"/>
              <w:left w:val="nil"/>
              <w:bottom w:val="single" w:sz="4" w:space="0" w:color="auto"/>
              <w:right w:val="single" w:sz="4" w:space="0" w:color="auto"/>
            </w:tcBorders>
            <w:shd w:val="clear" w:color="auto" w:fill="auto"/>
            <w:vAlign w:val="center"/>
            <w:hideMark/>
          </w:tcPr>
          <w:p w14:paraId="5FEF22C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2C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2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485,050</w:t>
            </w:r>
          </w:p>
        </w:tc>
        <w:tc>
          <w:tcPr>
            <w:tcW w:w="275" w:type="dxa"/>
            <w:tcBorders>
              <w:top w:val="nil"/>
              <w:left w:val="nil"/>
              <w:bottom w:val="single" w:sz="4" w:space="0" w:color="auto"/>
              <w:right w:val="single" w:sz="4" w:space="0" w:color="auto"/>
            </w:tcBorders>
            <w:shd w:val="clear" w:color="000000" w:fill="FFFFFF"/>
            <w:noWrap/>
            <w:vAlign w:val="center"/>
            <w:hideMark/>
          </w:tcPr>
          <w:p w14:paraId="5FEF22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485,050</w:t>
            </w:r>
          </w:p>
        </w:tc>
        <w:tc>
          <w:tcPr>
            <w:tcW w:w="306" w:type="dxa"/>
            <w:tcBorders>
              <w:top w:val="nil"/>
              <w:left w:val="nil"/>
              <w:bottom w:val="single" w:sz="4" w:space="0" w:color="auto"/>
              <w:right w:val="single" w:sz="4" w:space="0" w:color="auto"/>
            </w:tcBorders>
            <w:shd w:val="clear" w:color="000000" w:fill="FFFFFF"/>
            <w:noWrap/>
            <w:vAlign w:val="center"/>
            <w:hideMark/>
          </w:tcPr>
          <w:p w14:paraId="5FEF22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485,050</w:t>
            </w:r>
          </w:p>
        </w:tc>
        <w:tc>
          <w:tcPr>
            <w:tcW w:w="245" w:type="dxa"/>
            <w:tcBorders>
              <w:top w:val="nil"/>
              <w:left w:val="nil"/>
              <w:bottom w:val="single" w:sz="4" w:space="0" w:color="auto"/>
              <w:right w:val="single" w:sz="4" w:space="0" w:color="auto"/>
            </w:tcBorders>
            <w:shd w:val="clear" w:color="000000" w:fill="FFFFFF"/>
            <w:noWrap/>
            <w:vAlign w:val="center"/>
            <w:hideMark/>
          </w:tcPr>
          <w:p w14:paraId="5FEF22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485,050</w:t>
            </w:r>
          </w:p>
        </w:tc>
        <w:tc>
          <w:tcPr>
            <w:tcW w:w="306" w:type="dxa"/>
            <w:tcBorders>
              <w:top w:val="nil"/>
              <w:left w:val="nil"/>
              <w:bottom w:val="single" w:sz="4" w:space="0" w:color="auto"/>
              <w:right w:val="single" w:sz="4" w:space="0" w:color="auto"/>
            </w:tcBorders>
            <w:shd w:val="clear" w:color="000000" w:fill="FFFFFF"/>
            <w:noWrap/>
            <w:vAlign w:val="center"/>
            <w:hideMark/>
          </w:tcPr>
          <w:p w14:paraId="5FEF22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485,050</w:t>
            </w:r>
          </w:p>
        </w:tc>
        <w:tc>
          <w:tcPr>
            <w:tcW w:w="245" w:type="dxa"/>
            <w:tcBorders>
              <w:top w:val="nil"/>
              <w:left w:val="nil"/>
              <w:bottom w:val="single" w:sz="4" w:space="0" w:color="auto"/>
              <w:right w:val="single" w:sz="4" w:space="0" w:color="auto"/>
            </w:tcBorders>
            <w:shd w:val="clear" w:color="000000" w:fill="FFFFFF"/>
            <w:noWrap/>
            <w:vAlign w:val="center"/>
            <w:hideMark/>
          </w:tcPr>
          <w:p w14:paraId="5FEF22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485,050</w:t>
            </w:r>
          </w:p>
        </w:tc>
        <w:tc>
          <w:tcPr>
            <w:tcW w:w="306" w:type="dxa"/>
            <w:tcBorders>
              <w:top w:val="nil"/>
              <w:left w:val="nil"/>
              <w:bottom w:val="single" w:sz="4" w:space="0" w:color="auto"/>
              <w:right w:val="single" w:sz="4" w:space="0" w:color="auto"/>
            </w:tcBorders>
            <w:shd w:val="clear" w:color="000000" w:fill="FFFFFF"/>
            <w:vAlign w:val="center"/>
            <w:hideMark/>
          </w:tcPr>
          <w:p w14:paraId="5FEF22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1,455,150</w:t>
            </w:r>
          </w:p>
        </w:tc>
        <w:tc>
          <w:tcPr>
            <w:tcW w:w="275" w:type="dxa"/>
            <w:tcBorders>
              <w:top w:val="nil"/>
              <w:left w:val="nil"/>
              <w:bottom w:val="single" w:sz="4" w:space="0" w:color="auto"/>
              <w:right w:val="single" w:sz="4" w:space="0" w:color="auto"/>
            </w:tcBorders>
            <w:shd w:val="clear" w:color="000000" w:fill="FFFFFF"/>
            <w:vAlign w:val="center"/>
            <w:hideMark/>
          </w:tcPr>
          <w:p w14:paraId="5FEF22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1,455,150</w:t>
            </w:r>
          </w:p>
        </w:tc>
        <w:tc>
          <w:tcPr>
            <w:tcW w:w="306" w:type="dxa"/>
            <w:tcBorders>
              <w:top w:val="nil"/>
              <w:left w:val="nil"/>
              <w:bottom w:val="single" w:sz="4" w:space="0" w:color="auto"/>
              <w:right w:val="single" w:sz="4" w:space="0" w:color="auto"/>
            </w:tcBorders>
            <w:shd w:val="clear" w:color="000000" w:fill="FFFFFF"/>
            <w:vAlign w:val="center"/>
            <w:hideMark/>
          </w:tcPr>
          <w:p w14:paraId="5FEF22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1,336,700</w:t>
            </w:r>
          </w:p>
        </w:tc>
        <w:tc>
          <w:tcPr>
            <w:tcW w:w="245" w:type="dxa"/>
            <w:tcBorders>
              <w:top w:val="nil"/>
              <w:left w:val="nil"/>
              <w:bottom w:val="single" w:sz="4" w:space="0" w:color="auto"/>
              <w:right w:val="single" w:sz="4" w:space="0" w:color="auto"/>
            </w:tcBorders>
            <w:shd w:val="clear" w:color="000000" w:fill="FFFFFF"/>
            <w:vAlign w:val="center"/>
            <w:hideMark/>
          </w:tcPr>
          <w:p w14:paraId="5FEF22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1,336,700</w:t>
            </w:r>
          </w:p>
        </w:tc>
        <w:tc>
          <w:tcPr>
            <w:tcW w:w="275" w:type="dxa"/>
            <w:tcBorders>
              <w:top w:val="nil"/>
              <w:left w:val="nil"/>
              <w:bottom w:val="single" w:sz="4" w:space="0" w:color="auto"/>
              <w:right w:val="single" w:sz="4" w:space="0" w:color="auto"/>
            </w:tcBorders>
            <w:shd w:val="clear" w:color="000000" w:fill="FFFFFF"/>
            <w:vAlign w:val="center"/>
            <w:hideMark/>
          </w:tcPr>
          <w:p w14:paraId="5FEF22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118,450</w:t>
            </w:r>
          </w:p>
        </w:tc>
        <w:tc>
          <w:tcPr>
            <w:tcW w:w="245" w:type="dxa"/>
            <w:tcBorders>
              <w:top w:val="nil"/>
              <w:left w:val="nil"/>
              <w:bottom w:val="single" w:sz="4" w:space="0" w:color="auto"/>
              <w:right w:val="single" w:sz="4" w:space="0" w:color="auto"/>
            </w:tcBorders>
            <w:shd w:val="clear" w:color="000000" w:fill="FFFFFF"/>
            <w:vAlign w:val="center"/>
            <w:hideMark/>
          </w:tcPr>
          <w:p w14:paraId="5FEF22D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2D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2D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118,450</w:t>
            </w:r>
          </w:p>
        </w:tc>
        <w:tc>
          <w:tcPr>
            <w:tcW w:w="262" w:type="dxa"/>
            <w:tcBorders>
              <w:top w:val="nil"/>
              <w:left w:val="nil"/>
              <w:bottom w:val="single" w:sz="4" w:space="0" w:color="auto"/>
              <w:right w:val="single" w:sz="8" w:space="0" w:color="auto"/>
            </w:tcBorders>
            <w:shd w:val="clear" w:color="000000" w:fill="FFFFFF"/>
            <w:vAlign w:val="center"/>
            <w:hideMark/>
          </w:tcPr>
          <w:p w14:paraId="5FEF22D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2F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D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3.2.4</w:t>
            </w:r>
          </w:p>
        </w:tc>
        <w:tc>
          <w:tcPr>
            <w:tcW w:w="1301" w:type="dxa"/>
            <w:tcBorders>
              <w:top w:val="nil"/>
              <w:left w:val="nil"/>
              <w:bottom w:val="single" w:sz="4" w:space="0" w:color="auto"/>
              <w:right w:val="single" w:sz="4" w:space="0" w:color="auto"/>
            </w:tcBorders>
            <w:shd w:val="clear" w:color="auto" w:fill="auto"/>
            <w:vAlign w:val="bottom"/>
            <w:hideMark/>
          </w:tcPr>
          <w:p w14:paraId="5FEF22D9" w14:textId="2343DDEA"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Mbështetje e personalizuar për aplikime për punëkërkim</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i personave të radikalizuar dhe atyre të kthyer nga zonat e konfliktit.</w:t>
            </w:r>
          </w:p>
        </w:tc>
        <w:tc>
          <w:tcPr>
            <w:tcW w:w="498" w:type="dxa"/>
            <w:tcBorders>
              <w:top w:val="nil"/>
              <w:left w:val="nil"/>
              <w:bottom w:val="single" w:sz="4" w:space="0" w:color="auto"/>
              <w:right w:val="single" w:sz="4" w:space="0" w:color="auto"/>
            </w:tcBorders>
            <w:shd w:val="clear" w:color="000000" w:fill="FFFFFF"/>
            <w:vAlign w:val="center"/>
            <w:hideMark/>
          </w:tcPr>
          <w:p w14:paraId="5FEF22D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Programi buxhetor "Planifikimi, menaxhimi dhe administrimi", Kodi i </w:t>
            </w:r>
            <w:r w:rsidRPr="00795698">
              <w:rPr>
                <w:rFonts w:ascii="Arial" w:hAnsi="Arial" w:cs="Arial"/>
                <w:color w:val="000000"/>
                <w:sz w:val="6"/>
                <w:szCs w:val="6"/>
                <w:lang w:eastAsia="sq-AL"/>
              </w:rPr>
              <w:lastRenderedPageBreak/>
              <w:t>Programit Buxhetor 01110</w:t>
            </w:r>
          </w:p>
        </w:tc>
        <w:tc>
          <w:tcPr>
            <w:tcW w:w="498" w:type="dxa"/>
            <w:tcBorders>
              <w:top w:val="nil"/>
              <w:left w:val="nil"/>
              <w:bottom w:val="single" w:sz="4" w:space="0" w:color="auto"/>
              <w:right w:val="single" w:sz="4" w:space="0" w:color="auto"/>
            </w:tcBorders>
            <w:shd w:val="clear" w:color="000000" w:fill="FFFFFF"/>
            <w:vAlign w:val="center"/>
            <w:hideMark/>
          </w:tcPr>
          <w:p w14:paraId="5FEF22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lastRenderedPageBreak/>
              <w:t>MFE</w:t>
            </w:r>
          </w:p>
        </w:tc>
        <w:tc>
          <w:tcPr>
            <w:tcW w:w="578" w:type="dxa"/>
            <w:tcBorders>
              <w:top w:val="nil"/>
              <w:left w:val="nil"/>
              <w:bottom w:val="single" w:sz="4" w:space="0" w:color="auto"/>
              <w:right w:val="single" w:sz="4" w:space="0" w:color="auto"/>
            </w:tcBorders>
            <w:shd w:val="clear" w:color="000000" w:fill="FFFFFF"/>
            <w:vAlign w:val="center"/>
            <w:hideMark/>
          </w:tcPr>
          <w:p w14:paraId="5FEF22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AMVV/NJVV; AKPA</w:t>
            </w:r>
          </w:p>
        </w:tc>
        <w:tc>
          <w:tcPr>
            <w:tcW w:w="207" w:type="dxa"/>
            <w:tcBorders>
              <w:top w:val="nil"/>
              <w:left w:val="nil"/>
              <w:bottom w:val="single" w:sz="4" w:space="0" w:color="auto"/>
              <w:right w:val="single" w:sz="4" w:space="0" w:color="auto"/>
            </w:tcBorders>
            <w:shd w:val="clear" w:color="auto" w:fill="auto"/>
            <w:vAlign w:val="center"/>
            <w:hideMark/>
          </w:tcPr>
          <w:p w14:paraId="5FEF22D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2D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2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106,300</w:t>
            </w:r>
          </w:p>
        </w:tc>
        <w:tc>
          <w:tcPr>
            <w:tcW w:w="275" w:type="dxa"/>
            <w:tcBorders>
              <w:top w:val="nil"/>
              <w:left w:val="nil"/>
              <w:bottom w:val="single" w:sz="4" w:space="0" w:color="auto"/>
              <w:right w:val="single" w:sz="4" w:space="0" w:color="auto"/>
            </w:tcBorders>
            <w:shd w:val="clear" w:color="000000" w:fill="FFFFFF"/>
            <w:noWrap/>
            <w:vAlign w:val="center"/>
            <w:hideMark/>
          </w:tcPr>
          <w:p w14:paraId="5FEF22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106,300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106,300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106,300</w:t>
            </w:r>
          </w:p>
        </w:tc>
        <w:tc>
          <w:tcPr>
            <w:tcW w:w="306" w:type="dxa"/>
            <w:tcBorders>
              <w:top w:val="nil"/>
              <w:left w:val="nil"/>
              <w:bottom w:val="single" w:sz="4" w:space="0" w:color="auto"/>
              <w:right w:val="single" w:sz="4" w:space="0" w:color="auto"/>
            </w:tcBorders>
            <w:shd w:val="clear" w:color="000000" w:fill="FFFFFF"/>
            <w:noWrap/>
            <w:vAlign w:val="center"/>
            <w:hideMark/>
          </w:tcPr>
          <w:p w14:paraId="5FEF22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106,300</w:t>
            </w:r>
          </w:p>
        </w:tc>
        <w:tc>
          <w:tcPr>
            <w:tcW w:w="245" w:type="dxa"/>
            <w:tcBorders>
              <w:top w:val="nil"/>
              <w:left w:val="nil"/>
              <w:bottom w:val="single" w:sz="4" w:space="0" w:color="auto"/>
              <w:right w:val="single" w:sz="4" w:space="0" w:color="auto"/>
            </w:tcBorders>
            <w:shd w:val="clear" w:color="000000" w:fill="FFFFFF"/>
            <w:noWrap/>
            <w:vAlign w:val="center"/>
            <w:hideMark/>
          </w:tcPr>
          <w:p w14:paraId="5FEF22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106,300</w:t>
            </w:r>
          </w:p>
        </w:tc>
        <w:tc>
          <w:tcPr>
            <w:tcW w:w="306" w:type="dxa"/>
            <w:tcBorders>
              <w:top w:val="nil"/>
              <w:left w:val="nil"/>
              <w:bottom w:val="single" w:sz="4" w:space="0" w:color="auto"/>
              <w:right w:val="single" w:sz="4" w:space="0" w:color="auto"/>
            </w:tcBorders>
            <w:shd w:val="clear" w:color="000000" w:fill="FFFFFF"/>
            <w:vAlign w:val="center"/>
            <w:hideMark/>
          </w:tcPr>
          <w:p w14:paraId="5FEF22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318,900</w:t>
            </w:r>
          </w:p>
        </w:tc>
        <w:tc>
          <w:tcPr>
            <w:tcW w:w="275" w:type="dxa"/>
            <w:tcBorders>
              <w:top w:val="nil"/>
              <w:left w:val="nil"/>
              <w:bottom w:val="single" w:sz="4" w:space="0" w:color="auto"/>
              <w:right w:val="single" w:sz="4" w:space="0" w:color="auto"/>
            </w:tcBorders>
            <w:shd w:val="clear" w:color="000000" w:fill="FFFFFF"/>
            <w:vAlign w:val="center"/>
            <w:hideMark/>
          </w:tcPr>
          <w:p w14:paraId="5FEF22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318,900</w:t>
            </w:r>
          </w:p>
        </w:tc>
        <w:tc>
          <w:tcPr>
            <w:tcW w:w="306" w:type="dxa"/>
            <w:tcBorders>
              <w:top w:val="nil"/>
              <w:left w:val="nil"/>
              <w:bottom w:val="single" w:sz="4" w:space="0" w:color="auto"/>
              <w:right w:val="single" w:sz="4" w:space="0" w:color="auto"/>
            </w:tcBorders>
            <w:shd w:val="clear" w:color="000000" w:fill="FFFFFF"/>
            <w:vAlign w:val="center"/>
            <w:hideMark/>
          </w:tcPr>
          <w:p w14:paraId="5FEF22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318,900</w:t>
            </w:r>
          </w:p>
        </w:tc>
        <w:tc>
          <w:tcPr>
            <w:tcW w:w="245" w:type="dxa"/>
            <w:tcBorders>
              <w:top w:val="nil"/>
              <w:left w:val="nil"/>
              <w:bottom w:val="single" w:sz="4" w:space="0" w:color="auto"/>
              <w:right w:val="single" w:sz="4" w:space="0" w:color="auto"/>
            </w:tcBorders>
            <w:shd w:val="clear" w:color="000000" w:fill="FFFFFF"/>
            <w:vAlign w:val="center"/>
            <w:hideMark/>
          </w:tcPr>
          <w:p w14:paraId="5FEF22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2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318,900</w:t>
            </w:r>
          </w:p>
        </w:tc>
        <w:tc>
          <w:tcPr>
            <w:tcW w:w="275" w:type="dxa"/>
            <w:tcBorders>
              <w:top w:val="nil"/>
              <w:left w:val="nil"/>
              <w:bottom w:val="single" w:sz="4" w:space="0" w:color="auto"/>
              <w:right w:val="single" w:sz="4" w:space="0" w:color="auto"/>
            </w:tcBorders>
            <w:shd w:val="clear" w:color="000000" w:fill="FFFFFF"/>
            <w:vAlign w:val="center"/>
            <w:hideMark/>
          </w:tcPr>
          <w:p w14:paraId="5FEF22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2E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2F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2F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2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30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2F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3.2.5</w:t>
            </w:r>
          </w:p>
        </w:tc>
        <w:tc>
          <w:tcPr>
            <w:tcW w:w="1301" w:type="dxa"/>
            <w:tcBorders>
              <w:top w:val="nil"/>
              <w:left w:val="nil"/>
              <w:bottom w:val="single" w:sz="4" w:space="0" w:color="auto"/>
              <w:right w:val="single" w:sz="4" w:space="0" w:color="auto"/>
            </w:tcBorders>
            <w:shd w:val="clear" w:color="auto" w:fill="auto"/>
            <w:vAlign w:val="bottom"/>
            <w:hideMark/>
          </w:tcPr>
          <w:p w14:paraId="5FEF22F5"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Prioritizimi i personave të radikalizuar ose të kthyer nga zonat e konfliktit për përfitimin nga programi i nxitjes nëpërmjet vetëpunësimit (VKM nr. 348, datë 29.4.2020 për procedurat, kriteret dhe rregullat për zbatimin e programit të nxitjes nëpërmjet vetëpunësimit).</w:t>
            </w:r>
          </w:p>
        </w:tc>
        <w:tc>
          <w:tcPr>
            <w:tcW w:w="498" w:type="dxa"/>
            <w:tcBorders>
              <w:top w:val="nil"/>
              <w:left w:val="nil"/>
              <w:bottom w:val="single" w:sz="4" w:space="0" w:color="auto"/>
              <w:right w:val="single" w:sz="4" w:space="0" w:color="auto"/>
            </w:tcBorders>
            <w:shd w:val="clear" w:color="000000" w:fill="FFFFFF"/>
            <w:vAlign w:val="center"/>
            <w:hideMark/>
          </w:tcPr>
          <w:p w14:paraId="5FEF22F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Buxhetor 01110</w:t>
            </w:r>
          </w:p>
        </w:tc>
        <w:tc>
          <w:tcPr>
            <w:tcW w:w="498" w:type="dxa"/>
            <w:tcBorders>
              <w:top w:val="nil"/>
              <w:left w:val="nil"/>
              <w:bottom w:val="single" w:sz="4" w:space="0" w:color="auto"/>
              <w:right w:val="single" w:sz="4" w:space="0" w:color="auto"/>
            </w:tcBorders>
            <w:shd w:val="clear" w:color="000000" w:fill="FFFFFF"/>
            <w:vAlign w:val="center"/>
            <w:hideMark/>
          </w:tcPr>
          <w:p w14:paraId="5FEF22F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MFE</w:t>
            </w:r>
          </w:p>
        </w:tc>
        <w:tc>
          <w:tcPr>
            <w:tcW w:w="578" w:type="dxa"/>
            <w:tcBorders>
              <w:top w:val="nil"/>
              <w:left w:val="nil"/>
              <w:bottom w:val="single" w:sz="4" w:space="0" w:color="auto"/>
              <w:right w:val="single" w:sz="4" w:space="0" w:color="auto"/>
            </w:tcBorders>
            <w:shd w:val="clear" w:color="000000" w:fill="FFFFFF"/>
            <w:vAlign w:val="center"/>
            <w:hideMark/>
          </w:tcPr>
          <w:p w14:paraId="5FEF22F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AIDA; AMVV/NJVV</w:t>
            </w:r>
          </w:p>
        </w:tc>
        <w:tc>
          <w:tcPr>
            <w:tcW w:w="207" w:type="dxa"/>
            <w:tcBorders>
              <w:top w:val="nil"/>
              <w:left w:val="nil"/>
              <w:bottom w:val="single" w:sz="4" w:space="0" w:color="auto"/>
              <w:right w:val="single" w:sz="4" w:space="0" w:color="auto"/>
            </w:tcBorders>
            <w:shd w:val="clear" w:color="auto" w:fill="auto"/>
            <w:vAlign w:val="center"/>
            <w:hideMark/>
          </w:tcPr>
          <w:p w14:paraId="5FEF22F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2F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2F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w:t>
            </w:r>
          </w:p>
        </w:tc>
        <w:tc>
          <w:tcPr>
            <w:tcW w:w="275" w:type="dxa"/>
            <w:tcBorders>
              <w:top w:val="nil"/>
              <w:left w:val="nil"/>
              <w:bottom w:val="single" w:sz="4" w:space="0" w:color="auto"/>
              <w:right w:val="single" w:sz="4" w:space="0" w:color="auto"/>
            </w:tcBorders>
            <w:shd w:val="clear" w:color="000000" w:fill="FFFFFF"/>
            <w:noWrap/>
            <w:vAlign w:val="center"/>
            <w:hideMark/>
          </w:tcPr>
          <w:p w14:paraId="5FEF22F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2F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w:t>
            </w:r>
          </w:p>
        </w:tc>
        <w:tc>
          <w:tcPr>
            <w:tcW w:w="306" w:type="dxa"/>
            <w:tcBorders>
              <w:top w:val="nil"/>
              <w:left w:val="nil"/>
              <w:bottom w:val="single" w:sz="4" w:space="0" w:color="auto"/>
              <w:right w:val="single" w:sz="4" w:space="0" w:color="auto"/>
            </w:tcBorders>
            <w:shd w:val="clear" w:color="000000" w:fill="FFFFFF"/>
            <w:noWrap/>
            <w:vAlign w:val="center"/>
            <w:hideMark/>
          </w:tcPr>
          <w:p w14:paraId="5FEF22F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w:t>
            </w:r>
          </w:p>
        </w:tc>
        <w:tc>
          <w:tcPr>
            <w:tcW w:w="245" w:type="dxa"/>
            <w:tcBorders>
              <w:top w:val="nil"/>
              <w:left w:val="nil"/>
              <w:bottom w:val="single" w:sz="4" w:space="0" w:color="auto"/>
              <w:right w:val="single" w:sz="4" w:space="0" w:color="auto"/>
            </w:tcBorders>
            <w:shd w:val="clear" w:color="000000" w:fill="FFFFFF"/>
            <w:noWrap/>
            <w:vAlign w:val="center"/>
            <w:hideMark/>
          </w:tcPr>
          <w:p w14:paraId="5FEF22F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0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w:t>
            </w:r>
          </w:p>
        </w:tc>
        <w:tc>
          <w:tcPr>
            <w:tcW w:w="306" w:type="dxa"/>
            <w:tcBorders>
              <w:top w:val="nil"/>
              <w:left w:val="nil"/>
              <w:bottom w:val="single" w:sz="4" w:space="0" w:color="auto"/>
              <w:right w:val="single" w:sz="4" w:space="0" w:color="auto"/>
            </w:tcBorders>
            <w:shd w:val="clear" w:color="000000" w:fill="FFFFFF"/>
            <w:noWrap/>
            <w:vAlign w:val="center"/>
            <w:hideMark/>
          </w:tcPr>
          <w:p w14:paraId="5FEF230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w:t>
            </w:r>
          </w:p>
        </w:tc>
        <w:tc>
          <w:tcPr>
            <w:tcW w:w="245" w:type="dxa"/>
            <w:tcBorders>
              <w:top w:val="nil"/>
              <w:left w:val="nil"/>
              <w:bottom w:val="single" w:sz="4" w:space="0" w:color="auto"/>
              <w:right w:val="single" w:sz="4" w:space="0" w:color="auto"/>
            </w:tcBorders>
            <w:shd w:val="clear" w:color="000000" w:fill="FFFFFF"/>
            <w:noWrap/>
            <w:vAlign w:val="center"/>
            <w:hideMark/>
          </w:tcPr>
          <w:p w14:paraId="5FEF230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0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21,260</w:t>
            </w:r>
          </w:p>
        </w:tc>
        <w:tc>
          <w:tcPr>
            <w:tcW w:w="306" w:type="dxa"/>
            <w:tcBorders>
              <w:top w:val="nil"/>
              <w:left w:val="nil"/>
              <w:bottom w:val="single" w:sz="4" w:space="0" w:color="auto"/>
              <w:right w:val="single" w:sz="4" w:space="0" w:color="auto"/>
            </w:tcBorders>
            <w:shd w:val="clear" w:color="000000" w:fill="FFFFFF"/>
            <w:vAlign w:val="center"/>
            <w:hideMark/>
          </w:tcPr>
          <w:p w14:paraId="5FEF230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63,780</w:t>
            </w:r>
          </w:p>
        </w:tc>
        <w:tc>
          <w:tcPr>
            <w:tcW w:w="275" w:type="dxa"/>
            <w:tcBorders>
              <w:top w:val="nil"/>
              <w:left w:val="nil"/>
              <w:bottom w:val="single" w:sz="4" w:space="0" w:color="auto"/>
              <w:right w:val="single" w:sz="4" w:space="0" w:color="auto"/>
            </w:tcBorders>
            <w:shd w:val="clear" w:color="000000" w:fill="FFFFFF"/>
            <w:vAlign w:val="center"/>
            <w:hideMark/>
          </w:tcPr>
          <w:p w14:paraId="5FEF230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0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63,780</w:t>
            </w:r>
          </w:p>
        </w:tc>
        <w:tc>
          <w:tcPr>
            <w:tcW w:w="306" w:type="dxa"/>
            <w:tcBorders>
              <w:top w:val="nil"/>
              <w:left w:val="nil"/>
              <w:bottom w:val="single" w:sz="4" w:space="0" w:color="auto"/>
              <w:right w:val="single" w:sz="4" w:space="0" w:color="auto"/>
            </w:tcBorders>
            <w:shd w:val="clear" w:color="000000" w:fill="FFFFFF"/>
            <w:vAlign w:val="center"/>
            <w:hideMark/>
          </w:tcPr>
          <w:p w14:paraId="5FEF230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63,780</w:t>
            </w:r>
          </w:p>
        </w:tc>
        <w:tc>
          <w:tcPr>
            <w:tcW w:w="245" w:type="dxa"/>
            <w:tcBorders>
              <w:top w:val="nil"/>
              <w:left w:val="nil"/>
              <w:bottom w:val="single" w:sz="4" w:space="0" w:color="auto"/>
              <w:right w:val="single" w:sz="4" w:space="0" w:color="auto"/>
            </w:tcBorders>
            <w:shd w:val="clear" w:color="000000" w:fill="FFFFFF"/>
            <w:vAlign w:val="center"/>
            <w:hideMark/>
          </w:tcPr>
          <w:p w14:paraId="5FEF230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0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63,780</w:t>
            </w:r>
          </w:p>
        </w:tc>
        <w:tc>
          <w:tcPr>
            <w:tcW w:w="275" w:type="dxa"/>
            <w:tcBorders>
              <w:top w:val="nil"/>
              <w:left w:val="nil"/>
              <w:bottom w:val="single" w:sz="4" w:space="0" w:color="auto"/>
              <w:right w:val="single" w:sz="4" w:space="0" w:color="auto"/>
            </w:tcBorders>
            <w:shd w:val="clear" w:color="000000" w:fill="FFFFFF"/>
            <w:vAlign w:val="center"/>
            <w:hideMark/>
          </w:tcPr>
          <w:p w14:paraId="5FEF230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30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30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30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3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32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31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3.2.6</w:t>
            </w:r>
          </w:p>
        </w:tc>
        <w:tc>
          <w:tcPr>
            <w:tcW w:w="1301" w:type="dxa"/>
            <w:tcBorders>
              <w:top w:val="nil"/>
              <w:left w:val="nil"/>
              <w:bottom w:val="single" w:sz="4" w:space="0" w:color="auto"/>
              <w:right w:val="single" w:sz="4" w:space="0" w:color="auto"/>
            </w:tcBorders>
            <w:shd w:val="clear" w:color="auto" w:fill="auto"/>
            <w:vAlign w:val="bottom"/>
            <w:hideMark/>
          </w:tcPr>
          <w:p w14:paraId="5FEF2311" w14:textId="135CB3EE"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Organizimi</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i trajnimeve (online/ në klasa) në lidhje me sipërmarrjen, hapjen e bizneseve dhe rritjen e biznesit të personave të radikalizuar dhe</w:t>
            </w:r>
            <w:r w:rsidR="007C064A" w:rsidRPr="00795698">
              <w:rPr>
                <w:rFonts w:ascii="Arial" w:hAnsi="Arial" w:cs="Arial"/>
                <w:color w:val="000000"/>
                <w:sz w:val="6"/>
                <w:szCs w:val="6"/>
                <w:lang w:eastAsia="sq-AL"/>
              </w:rPr>
              <w:t xml:space="preserve"> </w:t>
            </w:r>
            <w:r w:rsidRPr="00795698">
              <w:rPr>
                <w:rFonts w:ascii="Arial" w:hAnsi="Arial" w:cs="Arial"/>
                <w:color w:val="000000"/>
                <w:sz w:val="6"/>
                <w:szCs w:val="6"/>
                <w:lang w:eastAsia="sq-AL"/>
              </w:rPr>
              <w:t>të kthyer nga vendet e luftës.</w:t>
            </w:r>
          </w:p>
        </w:tc>
        <w:tc>
          <w:tcPr>
            <w:tcW w:w="498" w:type="dxa"/>
            <w:tcBorders>
              <w:top w:val="nil"/>
              <w:left w:val="nil"/>
              <w:bottom w:val="single" w:sz="4" w:space="0" w:color="auto"/>
              <w:right w:val="single" w:sz="4" w:space="0" w:color="auto"/>
            </w:tcBorders>
            <w:shd w:val="clear" w:color="000000" w:fill="FFFFFF"/>
            <w:vAlign w:val="center"/>
            <w:hideMark/>
          </w:tcPr>
          <w:p w14:paraId="5FEF231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Buxhetor 01110</w:t>
            </w:r>
          </w:p>
        </w:tc>
        <w:tc>
          <w:tcPr>
            <w:tcW w:w="498" w:type="dxa"/>
            <w:tcBorders>
              <w:top w:val="nil"/>
              <w:left w:val="nil"/>
              <w:bottom w:val="single" w:sz="4" w:space="0" w:color="auto"/>
              <w:right w:val="single" w:sz="4" w:space="0" w:color="auto"/>
            </w:tcBorders>
            <w:shd w:val="clear" w:color="000000" w:fill="FFFFFF"/>
            <w:vAlign w:val="center"/>
            <w:hideMark/>
          </w:tcPr>
          <w:p w14:paraId="5FEF231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MFE</w:t>
            </w:r>
          </w:p>
        </w:tc>
        <w:tc>
          <w:tcPr>
            <w:tcW w:w="578" w:type="dxa"/>
            <w:tcBorders>
              <w:top w:val="nil"/>
              <w:left w:val="nil"/>
              <w:bottom w:val="single" w:sz="4" w:space="0" w:color="auto"/>
              <w:right w:val="single" w:sz="4" w:space="0" w:color="auto"/>
            </w:tcBorders>
            <w:shd w:val="clear" w:color="000000" w:fill="FFFFFF"/>
            <w:vAlign w:val="center"/>
            <w:hideMark/>
          </w:tcPr>
          <w:p w14:paraId="5FEF231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AKPA Rajonale; AIDA</w:t>
            </w:r>
          </w:p>
        </w:tc>
        <w:tc>
          <w:tcPr>
            <w:tcW w:w="207" w:type="dxa"/>
            <w:tcBorders>
              <w:top w:val="nil"/>
              <w:left w:val="nil"/>
              <w:bottom w:val="single" w:sz="4" w:space="0" w:color="auto"/>
              <w:right w:val="single" w:sz="4" w:space="0" w:color="auto"/>
            </w:tcBorders>
            <w:shd w:val="clear" w:color="auto" w:fill="auto"/>
            <w:vAlign w:val="center"/>
            <w:hideMark/>
          </w:tcPr>
          <w:p w14:paraId="5FEF231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31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31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63,800</w:t>
            </w:r>
          </w:p>
        </w:tc>
        <w:tc>
          <w:tcPr>
            <w:tcW w:w="275" w:type="dxa"/>
            <w:tcBorders>
              <w:top w:val="nil"/>
              <w:left w:val="nil"/>
              <w:bottom w:val="single" w:sz="4" w:space="0" w:color="auto"/>
              <w:right w:val="single" w:sz="4" w:space="0" w:color="auto"/>
            </w:tcBorders>
            <w:shd w:val="clear" w:color="000000" w:fill="FFFFFF"/>
            <w:noWrap/>
            <w:vAlign w:val="center"/>
            <w:hideMark/>
          </w:tcPr>
          <w:p w14:paraId="5FEF231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1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63,800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1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63,800</w:t>
            </w:r>
          </w:p>
        </w:tc>
        <w:tc>
          <w:tcPr>
            <w:tcW w:w="245" w:type="dxa"/>
            <w:tcBorders>
              <w:top w:val="nil"/>
              <w:left w:val="nil"/>
              <w:bottom w:val="single" w:sz="4" w:space="0" w:color="auto"/>
              <w:right w:val="single" w:sz="4" w:space="0" w:color="auto"/>
            </w:tcBorders>
            <w:shd w:val="clear" w:color="000000" w:fill="FFFFFF"/>
            <w:noWrap/>
            <w:vAlign w:val="center"/>
            <w:hideMark/>
          </w:tcPr>
          <w:p w14:paraId="5FEF231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1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63,800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1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63,800</w:t>
            </w:r>
          </w:p>
        </w:tc>
        <w:tc>
          <w:tcPr>
            <w:tcW w:w="245" w:type="dxa"/>
            <w:tcBorders>
              <w:top w:val="nil"/>
              <w:left w:val="nil"/>
              <w:bottom w:val="single" w:sz="4" w:space="0" w:color="auto"/>
              <w:right w:val="single" w:sz="4" w:space="0" w:color="auto"/>
            </w:tcBorders>
            <w:shd w:val="clear" w:color="000000" w:fill="FFFFFF"/>
            <w:noWrap/>
            <w:vAlign w:val="center"/>
            <w:hideMark/>
          </w:tcPr>
          <w:p w14:paraId="5FEF231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1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63,800</w:t>
            </w:r>
          </w:p>
        </w:tc>
        <w:tc>
          <w:tcPr>
            <w:tcW w:w="306" w:type="dxa"/>
            <w:tcBorders>
              <w:top w:val="nil"/>
              <w:left w:val="nil"/>
              <w:bottom w:val="single" w:sz="4" w:space="0" w:color="auto"/>
              <w:right w:val="single" w:sz="4" w:space="0" w:color="auto"/>
            </w:tcBorders>
            <w:shd w:val="clear" w:color="000000" w:fill="FFFFFF"/>
            <w:vAlign w:val="center"/>
            <w:hideMark/>
          </w:tcPr>
          <w:p w14:paraId="5FEF232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191,400</w:t>
            </w:r>
          </w:p>
        </w:tc>
        <w:tc>
          <w:tcPr>
            <w:tcW w:w="275" w:type="dxa"/>
            <w:tcBorders>
              <w:top w:val="nil"/>
              <w:left w:val="nil"/>
              <w:bottom w:val="single" w:sz="4" w:space="0" w:color="auto"/>
              <w:right w:val="single" w:sz="4" w:space="0" w:color="auto"/>
            </w:tcBorders>
            <w:shd w:val="clear" w:color="000000" w:fill="FFFFFF"/>
            <w:vAlign w:val="center"/>
            <w:hideMark/>
          </w:tcPr>
          <w:p w14:paraId="5FEF232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2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191,400</w:t>
            </w:r>
          </w:p>
        </w:tc>
        <w:tc>
          <w:tcPr>
            <w:tcW w:w="306" w:type="dxa"/>
            <w:tcBorders>
              <w:top w:val="nil"/>
              <w:left w:val="nil"/>
              <w:bottom w:val="single" w:sz="4" w:space="0" w:color="auto"/>
              <w:right w:val="single" w:sz="4" w:space="0" w:color="auto"/>
            </w:tcBorders>
            <w:shd w:val="clear" w:color="000000" w:fill="FFFFFF"/>
            <w:vAlign w:val="center"/>
            <w:hideMark/>
          </w:tcPr>
          <w:p w14:paraId="5FEF232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191,400</w:t>
            </w:r>
          </w:p>
        </w:tc>
        <w:tc>
          <w:tcPr>
            <w:tcW w:w="245" w:type="dxa"/>
            <w:tcBorders>
              <w:top w:val="nil"/>
              <w:left w:val="nil"/>
              <w:bottom w:val="single" w:sz="4" w:space="0" w:color="auto"/>
              <w:right w:val="single" w:sz="4" w:space="0" w:color="auto"/>
            </w:tcBorders>
            <w:shd w:val="clear" w:color="000000" w:fill="FFFFFF"/>
            <w:vAlign w:val="center"/>
            <w:hideMark/>
          </w:tcPr>
          <w:p w14:paraId="5FEF232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2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191,400</w:t>
            </w:r>
          </w:p>
        </w:tc>
        <w:tc>
          <w:tcPr>
            <w:tcW w:w="275" w:type="dxa"/>
            <w:tcBorders>
              <w:top w:val="nil"/>
              <w:left w:val="nil"/>
              <w:bottom w:val="single" w:sz="4" w:space="0" w:color="auto"/>
              <w:right w:val="single" w:sz="4" w:space="0" w:color="auto"/>
            </w:tcBorders>
            <w:shd w:val="clear" w:color="000000" w:fill="FFFFFF"/>
            <w:vAlign w:val="center"/>
            <w:hideMark/>
          </w:tcPr>
          <w:p w14:paraId="5FEF232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32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32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32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3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34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32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3.2.7</w:t>
            </w:r>
          </w:p>
        </w:tc>
        <w:tc>
          <w:tcPr>
            <w:tcW w:w="1301" w:type="dxa"/>
            <w:tcBorders>
              <w:top w:val="nil"/>
              <w:left w:val="nil"/>
              <w:bottom w:val="single" w:sz="4" w:space="0" w:color="auto"/>
              <w:right w:val="single" w:sz="4" w:space="0" w:color="auto"/>
            </w:tcBorders>
            <w:shd w:val="clear" w:color="auto" w:fill="auto"/>
            <w:vAlign w:val="bottom"/>
            <w:hideMark/>
          </w:tcPr>
          <w:p w14:paraId="5FEF232D" w14:textId="59B6E5E9"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Organizimi i trajnimeve për punonjësit e migracionit (që trajtojnë shtetasit shqiptare të kthyer dhe të huajt që punojnë) në strukturat e AKPA, për lidhjen ndërmjet radikalizimit dhe ekstremizmit të dhunshëm dhe kategorive të ndryshme të e/imigrantëve.</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3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000000" w:fill="FFFFFF"/>
            <w:vAlign w:val="center"/>
            <w:hideMark/>
          </w:tcPr>
          <w:p w14:paraId="5FEF232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233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xml:space="preserve">AKPA; MFE </w:t>
            </w:r>
          </w:p>
        </w:tc>
        <w:tc>
          <w:tcPr>
            <w:tcW w:w="207" w:type="dxa"/>
            <w:tcBorders>
              <w:top w:val="nil"/>
              <w:left w:val="nil"/>
              <w:bottom w:val="single" w:sz="4" w:space="0" w:color="auto"/>
              <w:right w:val="single" w:sz="4" w:space="0" w:color="auto"/>
            </w:tcBorders>
            <w:shd w:val="clear" w:color="auto" w:fill="auto"/>
            <w:vAlign w:val="center"/>
            <w:hideMark/>
          </w:tcPr>
          <w:p w14:paraId="5FEF2331"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332"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33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185,000</w:t>
            </w:r>
          </w:p>
        </w:tc>
        <w:tc>
          <w:tcPr>
            <w:tcW w:w="275" w:type="dxa"/>
            <w:tcBorders>
              <w:top w:val="nil"/>
              <w:left w:val="nil"/>
              <w:bottom w:val="single" w:sz="4" w:space="0" w:color="auto"/>
              <w:right w:val="single" w:sz="4" w:space="0" w:color="auto"/>
            </w:tcBorders>
            <w:shd w:val="clear" w:color="000000" w:fill="FFFFFF"/>
            <w:noWrap/>
            <w:vAlign w:val="center"/>
            <w:hideMark/>
          </w:tcPr>
          <w:p w14:paraId="5FEF233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3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185,000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3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185,000</w:t>
            </w:r>
          </w:p>
        </w:tc>
        <w:tc>
          <w:tcPr>
            <w:tcW w:w="245" w:type="dxa"/>
            <w:tcBorders>
              <w:top w:val="nil"/>
              <w:left w:val="nil"/>
              <w:bottom w:val="single" w:sz="4" w:space="0" w:color="auto"/>
              <w:right w:val="single" w:sz="4" w:space="0" w:color="auto"/>
            </w:tcBorders>
            <w:shd w:val="clear" w:color="000000" w:fill="FFFFFF"/>
            <w:noWrap/>
            <w:vAlign w:val="center"/>
            <w:hideMark/>
          </w:tcPr>
          <w:p w14:paraId="5FEF233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3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185,000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3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185,000</w:t>
            </w:r>
          </w:p>
        </w:tc>
        <w:tc>
          <w:tcPr>
            <w:tcW w:w="245" w:type="dxa"/>
            <w:tcBorders>
              <w:top w:val="nil"/>
              <w:left w:val="nil"/>
              <w:bottom w:val="single" w:sz="4" w:space="0" w:color="auto"/>
              <w:right w:val="single" w:sz="4" w:space="0" w:color="auto"/>
            </w:tcBorders>
            <w:shd w:val="clear" w:color="000000" w:fill="FFFFFF"/>
            <w:noWrap/>
            <w:vAlign w:val="center"/>
            <w:hideMark/>
          </w:tcPr>
          <w:p w14:paraId="5FEF233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3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185,000</w:t>
            </w:r>
          </w:p>
        </w:tc>
        <w:tc>
          <w:tcPr>
            <w:tcW w:w="306" w:type="dxa"/>
            <w:tcBorders>
              <w:top w:val="nil"/>
              <w:left w:val="nil"/>
              <w:bottom w:val="single" w:sz="4" w:space="0" w:color="auto"/>
              <w:right w:val="single" w:sz="4" w:space="0" w:color="auto"/>
            </w:tcBorders>
            <w:shd w:val="clear" w:color="000000" w:fill="FFFFFF"/>
            <w:vAlign w:val="center"/>
            <w:hideMark/>
          </w:tcPr>
          <w:p w14:paraId="5FEF233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555,000</w:t>
            </w:r>
          </w:p>
        </w:tc>
        <w:tc>
          <w:tcPr>
            <w:tcW w:w="275" w:type="dxa"/>
            <w:tcBorders>
              <w:top w:val="nil"/>
              <w:left w:val="nil"/>
              <w:bottom w:val="single" w:sz="4" w:space="0" w:color="auto"/>
              <w:right w:val="single" w:sz="4" w:space="0" w:color="auto"/>
            </w:tcBorders>
            <w:shd w:val="clear" w:color="000000" w:fill="FFFFFF"/>
            <w:vAlign w:val="center"/>
            <w:hideMark/>
          </w:tcPr>
          <w:p w14:paraId="5FEF233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3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555,000</w:t>
            </w:r>
          </w:p>
        </w:tc>
        <w:tc>
          <w:tcPr>
            <w:tcW w:w="306" w:type="dxa"/>
            <w:tcBorders>
              <w:top w:val="nil"/>
              <w:left w:val="nil"/>
              <w:bottom w:val="single" w:sz="4" w:space="0" w:color="auto"/>
              <w:right w:val="single" w:sz="4" w:space="0" w:color="auto"/>
            </w:tcBorders>
            <w:shd w:val="clear" w:color="000000" w:fill="FFFFFF"/>
            <w:vAlign w:val="center"/>
            <w:hideMark/>
          </w:tcPr>
          <w:p w14:paraId="5FEF233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555,000</w:t>
            </w:r>
          </w:p>
        </w:tc>
        <w:tc>
          <w:tcPr>
            <w:tcW w:w="245" w:type="dxa"/>
            <w:tcBorders>
              <w:top w:val="nil"/>
              <w:left w:val="nil"/>
              <w:bottom w:val="single" w:sz="4" w:space="0" w:color="auto"/>
              <w:right w:val="single" w:sz="4" w:space="0" w:color="auto"/>
            </w:tcBorders>
            <w:shd w:val="clear" w:color="000000" w:fill="FFFFFF"/>
            <w:vAlign w:val="center"/>
            <w:hideMark/>
          </w:tcPr>
          <w:p w14:paraId="5FEF234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4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555,000</w:t>
            </w:r>
          </w:p>
        </w:tc>
        <w:tc>
          <w:tcPr>
            <w:tcW w:w="275" w:type="dxa"/>
            <w:tcBorders>
              <w:top w:val="nil"/>
              <w:left w:val="nil"/>
              <w:bottom w:val="single" w:sz="4" w:space="0" w:color="auto"/>
              <w:right w:val="single" w:sz="4" w:space="0" w:color="auto"/>
            </w:tcBorders>
            <w:shd w:val="clear" w:color="000000" w:fill="FFFFFF"/>
            <w:vAlign w:val="center"/>
            <w:hideMark/>
          </w:tcPr>
          <w:p w14:paraId="5FEF234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34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34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34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34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36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34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3.2.8</w:t>
            </w:r>
          </w:p>
        </w:tc>
        <w:tc>
          <w:tcPr>
            <w:tcW w:w="1301" w:type="dxa"/>
            <w:tcBorders>
              <w:top w:val="nil"/>
              <w:left w:val="nil"/>
              <w:bottom w:val="single" w:sz="4" w:space="0" w:color="auto"/>
              <w:right w:val="single" w:sz="4" w:space="0" w:color="auto"/>
            </w:tcBorders>
            <w:shd w:val="clear" w:color="auto" w:fill="auto"/>
            <w:vAlign w:val="bottom"/>
            <w:hideMark/>
          </w:tcPr>
          <w:p w14:paraId="5FEF2349"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Zhvillimi i seminareve me punonjësit e migracionit të strukturave të AKPA dhe strukturave të MB dhe QKEDH, mbi mënyrën/procedurat e bashkëpunimit kur evidentohen raste të radikalizimit apo ekstremizmit të dhunshëm apo potencialë.</w:t>
            </w:r>
          </w:p>
        </w:tc>
        <w:tc>
          <w:tcPr>
            <w:tcW w:w="498" w:type="dxa"/>
            <w:tcBorders>
              <w:top w:val="nil"/>
              <w:left w:val="nil"/>
              <w:bottom w:val="single" w:sz="4" w:space="0" w:color="auto"/>
              <w:right w:val="single" w:sz="4" w:space="0" w:color="auto"/>
            </w:tcBorders>
            <w:shd w:val="clear" w:color="auto" w:fill="auto"/>
            <w:vAlign w:val="center"/>
            <w:hideMark/>
          </w:tcPr>
          <w:p w14:paraId="5FEF234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01110</w:t>
            </w:r>
            <w:r w:rsidRPr="00795698">
              <w:rPr>
                <w:rFonts w:ascii="Arial" w:hAnsi="Arial" w:cs="Arial"/>
                <w:color w:val="000000"/>
                <w:sz w:val="6"/>
                <w:szCs w:val="6"/>
                <w:lang w:eastAsia="sq-AL"/>
              </w:rPr>
              <w:br/>
              <w:t>Kodi i produktit 91601AB</w:t>
            </w:r>
          </w:p>
        </w:tc>
        <w:tc>
          <w:tcPr>
            <w:tcW w:w="498" w:type="dxa"/>
            <w:tcBorders>
              <w:top w:val="nil"/>
              <w:left w:val="nil"/>
              <w:bottom w:val="single" w:sz="4" w:space="0" w:color="auto"/>
              <w:right w:val="single" w:sz="4" w:space="0" w:color="auto"/>
            </w:tcBorders>
            <w:shd w:val="clear" w:color="000000" w:fill="FFFFFF"/>
            <w:vAlign w:val="center"/>
            <w:hideMark/>
          </w:tcPr>
          <w:p w14:paraId="5FEF234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QKEDH</w:t>
            </w:r>
          </w:p>
        </w:tc>
        <w:tc>
          <w:tcPr>
            <w:tcW w:w="578" w:type="dxa"/>
            <w:tcBorders>
              <w:top w:val="nil"/>
              <w:left w:val="nil"/>
              <w:bottom w:val="single" w:sz="4" w:space="0" w:color="auto"/>
              <w:right w:val="single" w:sz="4" w:space="0" w:color="auto"/>
            </w:tcBorders>
            <w:shd w:val="clear" w:color="000000" w:fill="FFFFFF"/>
            <w:vAlign w:val="center"/>
            <w:hideMark/>
          </w:tcPr>
          <w:p w14:paraId="5FEF234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AKPA; MFE; MB</w:t>
            </w:r>
          </w:p>
        </w:tc>
        <w:tc>
          <w:tcPr>
            <w:tcW w:w="207" w:type="dxa"/>
            <w:tcBorders>
              <w:top w:val="nil"/>
              <w:left w:val="nil"/>
              <w:bottom w:val="single" w:sz="4" w:space="0" w:color="auto"/>
              <w:right w:val="single" w:sz="4" w:space="0" w:color="auto"/>
            </w:tcBorders>
            <w:shd w:val="clear" w:color="auto" w:fill="auto"/>
            <w:vAlign w:val="center"/>
            <w:hideMark/>
          </w:tcPr>
          <w:p w14:paraId="5FEF234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34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34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327,600</w:t>
            </w:r>
          </w:p>
        </w:tc>
        <w:tc>
          <w:tcPr>
            <w:tcW w:w="275" w:type="dxa"/>
            <w:tcBorders>
              <w:top w:val="nil"/>
              <w:left w:val="nil"/>
              <w:bottom w:val="single" w:sz="4" w:space="0" w:color="auto"/>
              <w:right w:val="single" w:sz="4" w:space="0" w:color="auto"/>
            </w:tcBorders>
            <w:shd w:val="clear" w:color="000000" w:fill="FFFFFF"/>
            <w:noWrap/>
            <w:vAlign w:val="center"/>
            <w:hideMark/>
          </w:tcPr>
          <w:p w14:paraId="5FEF235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5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327,600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5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327,600</w:t>
            </w:r>
          </w:p>
        </w:tc>
        <w:tc>
          <w:tcPr>
            <w:tcW w:w="245" w:type="dxa"/>
            <w:tcBorders>
              <w:top w:val="nil"/>
              <w:left w:val="nil"/>
              <w:bottom w:val="single" w:sz="4" w:space="0" w:color="auto"/>
              <w:right w:val="single" w:sz="4" w:space="0" w:color="auto"/>
            </w:tcBorders>
            <w:shd w:val="clear" w:color="000000" w:fill="FFFFFF"/>
            <w:noWrap/>
            <w:vAlign w:val="center"/>
            <w:hideMark/>
          </w:tcPr>
          <w:p w14:paraId="5FEF235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5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327,600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5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327,600</w:t>
            </w:r>
          </w:p>
        </w:tc>
        <w:tc>
          <w:tcPr>
            <w:tcW w:w="245" w:type="dxa"/>
            <w:tcBorders>
              <w:top w:val="nil"/>
              <w:left w:val="nil"/>
              <w:bottom w:val="single" w:sz="4" w:space="0" w:color="auto"/>
              <w:right w:val="single" w:sz="4" w:space="0" w:color="auto"/>
            </w:tcBorders>
            <w:shd w:val="clear" w:color="000000" w:fill="FFFFFF"/>
            <w:noWrap/>
            <w:vAlign w:val="center"/>
            <w:hideMark/>
          </w:tcPr>
          <w:p w14:paraId="5FEF235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noWrap/>
            <w:vAlign w:val="center"/>
            <w:hideMark/>
          </w:tcPr>
          <w:p w14:paraId="5FEF235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327,600</w:t>
            </w:r>
          </w:p>
        </w:tc>
        <w:tc>
          <w:tcPr>
            <w:tcW w:w="306" w:type="dxa"/>
            <w:tcBorders>
              <w:top w:val="nil"/>
              <w:left w:val="nil"/>
              <w:bottom w:val="single" w:sz="4" w:space="0" w:color="auto"/>
              <w:right w:val="single" w:sz="4" w:space="0" w:color="auto"/>
            </w:tcBorders>
            <w:shd w:val="clear" w:color="000000" w:fill="FFFFFF"/>
            <w:vAlign w:val="center"/>
            <w:hideMark/>
          </w:tcPr>
          <w:p w14:paraId="5FEF235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982,800</w:t>
            </w:r>
          </w:p>
        </w:tc>
        <w:tc>
          <w:tcPr>
            <w:tcW w:w="275" w:type="dxa"/>
            <w:tcBorders>
              <w:top w:val="nil"/>
              <w:left w:val="nil"/>
              <w:bottom w:val="single" w:sz="4" w:space="0" w:color="auto"/>
              <w:right w:val="single" w:sz="4" w:space="0" w:color="auto"/>
            </w:tcBorders>
            <w:shd w:val="clear" w:color="000000" w:fill="FFFFFF"/>
            <w:vAlign w:val="center"/>
            <w:hideMark/>
          </w:tcPr>
          <w:p w14:paraId="5FEF235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5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982,800</w:t>
            </w:r>
          </w:p>
        </w:tc>
        <w:tc>
          <w:tcPr>
            <w:tcW w:w="306" w:type="dxa"/>
            <w:tcBorders>
              <w:top w:val="nil"/>
              <w:left w:val="nil"/>
              <w:bottom w:val="single" w:sz="4" w:space="0" w:color="auto"/>
              <w:right w:val="single" w:sz="4" w:space="0" w:color="auto"/>
            </w:tcBorders>
            <w:shd w:val="clear" w:color="000000" w:fill="FFFFFF"/>
            <w:vAlign w:val="center"/>
            <w:hideMark/>
          </w:tcPr>
          <w:p w14:paraId="5FEF235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982,800</w:t>
            </w:r>
          </w:p>
        </w:tc>
        <w:tc>
          <w:tcPr>
            <w:tcW w:w="245" w:type="dxa"/>
            <w:tcBorders>
              <w:top w:val="nil"/>
              <w:left w:val="nil"/>
              <w:bottom w:val="single" w:sz="4" w:space="0" w:color="auto"/>
              <w:right w:val="single" w:sz="4" w:space="0" w:color="auto"/>
            </w:tcBorders>
            <w:shd w:val="clear" w:color="000000" w:fill="FFFFFF"/>
            <w:vAlign w:val="center"/>
            <w:hideMark/>
          </w:tcPr>
          <w:p w14:paraId="5FEF235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5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982,800</w:t>
            </w:r>
          </w:p>
        </w:tc>
        <w:tc>
          <w:tcPr>
            <w:tcW w:w="275" w:type="dxa"/>
            <w:tcBorders>
              <w:top w:val="nil"/>
              <w:left w:val="nil"/>
              <w:bottom w:val="single" w:sz="4" w:space="0" w:color="auto"/>
              <w:right w:val="single" w:sz="4" w:space="0" w:color="auto"/>
            </w:tcBorders>
            <w:shd w:val="clear" w:color="000000" w:fill="FFFFFF"/>
            <w:vAlign w:val="center"/>
            <w:hideMark/>
          </w:tcPr>
          <w:p w14:paraId="5FEF235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35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36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36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36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r>
      <w:tr w:rsidR="002117FE" w:rsidRPr="00795698" w14:paraId="5FEF237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236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2365"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3.2</w:t>
            </w:r>
          </w:p>
        </w:tc>
        <w:tc>
          <w:tcPr>
            <w:tcW w:w="498" w:type="dxa"/>
            <w:tcBorders>
              <w:top w:val="nil"/>
              <w:left w:val="nil"/>
              <w:bottom w:val="single" w:sz="4" w:space="0" w:color="auto"/>
              <w:right w:val="single" w:sz="4" w:space="0" w:color="auto"/>
            </w:tcBorders>
            <w:shd w:val="clear" w:color="000000" w:fill="D9D9D9"/>
            <w:vAlign w:val="center"/>
            <w:hideMark/>
          </w:tcPr>
          <w:p w14:paraId="5FEF236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2367"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236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236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236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236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1,807,910</w:t>
            </w:r>
          </w:p>
        </w:tc>
        <w:tc>
          <w:tcPr>
            <w:tcW w:w="275" w:type="dxa"/>
            <w:tcBorders>
              <w:top w:val="nil"/>
              <w:left w:val="nil"/>
              <w:bottom w:val="single" w:sz="4" w:space="0" w:color="auto"/>
              <w:right w:val="single" w:sz="4" w:space="0" w:color="auto"/>
            </w:tcBorders>
            <w:shd w:val="clear" w:color="000000" w:fill="D9D9D9"/>
            <w:vAlign w:val="center"/>
            <w:hideMark/>
          </w:tcPr>
          <w:p w14:paraId="5FEF236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6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1,807,910</w:t>
            </w:r>
          </w:p>
        </w:tc>
        <w:tc>
          <w:tcPr>
            <w:tcW w:w="306" w:type="dxa"/>
            <w:tcBorders>
              <w:top w:val="nil"/>
              <w:left w:val="nil"/>
              <w:bottom w:val="single" w:sz="4" w:space="0" w:color="auto"/>
              <w:right w:val="single" w:sz="4" w:space="0" w:color="auto"/>
            </w:tcBorders>
            <w:shd w:val="clear" w:color="000000" w:fill="D9D9D9"/>
            <w:vAlign w:val="center"/>
            <w:hideMark/>
          </w:tcPr>
          <w:p w14:paraId="5FEF236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1,807,910</w:t>
            </w:r>
          </w:p>
        </w:tc>
        <w:tc>
          <w:tcPr>
            <w:tcW w:w="245" w:type="dxa"/>
            <w:tcBorders>
              <w:top w:val="nil"/>
              <w:left w:val="nil"/>
              <w:bottom w:val="single" w:sz="4" w:space="0" w:color="auto"/>
              <w:right w:val="single" w:sz="4" w:space="0" w:color="auto"/>
            </w:tcBorders>
            <w:shd w:val="clear" w:color="000000" w:fill="D9D9D9"/>
            <w:vAlign w:val="center"/>
            <w:hideMark/>
          </w:tcPr>
          <w:p w14:paraId="5FEF236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7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1,807,910</w:t>
            </w:r>
          </w:p>
        </w:tc>
        <w:tc>
          <w:tcPr>
            <w:tcW w:w="306" w:type="dxa"/>
            <w:tcBorders>
              <w:top w:val="nil"/>
              <w:left w:val="nil"/>
              <w:bottom w:val="single" w:sz="4" w:space="0" w:color="auto"/>
              <w:right w:val="single" w:sz="4" w:space="0" w:color="auto"/>
            </w:tcBorders>
            <w:shd w:val="clear" w:color="000000" w:fill="D9D9D9"/>
            <w:vAlign w:val="center"/>
            <w:hideMark/>
          </w:tcPr>
          <w:p w14:paraId="5FEF237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1,807,910</w:t>
            </w:r>
          </w:p>
        </w:tc>
        <w:tc>
          <w:tcPr>
            <w:tcW w:w="245" w:type="dxa"/>
            <w:tcBorders>
              <w:top w:val="nil"/>
              <w:left w:val="nil"/>
              <w:bottom w:val="single" w:sz="4" w:space="0" w:color="auto"/>
              <w:right w:val="single" w:sz="4" w:space="0" w:color="auto"/>
            </w:tcBorders>
            <w:shd w:val="clear" w:color="000000" w:fill="D9D9D9"/>
            <w:vAlign w:val="center"/>
            <w:hideMark/>
          </w:tcPr>
          <w:p w14:paraId="5FEF237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7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1,807,910</w:t>
            </w:r>
          </w:p>
        </w:tc>
        <w:tc>
          <w:tcPr>
            <w:tcW w:w="306" w:type="dxa"/>
            <w:tcBorders>
              <w:top w:val="nil"/>
              <w:left w:val="nil"/>
              <w:bottom w:val="single" w:sz="4" w:space="0" w:color="auto"/>
              <w:right w:val="single" w:sz="4" w:space="0" w:color="auto"/>
            </w:tcBorders>
            <w:shd w:val="clear" w:color="000000" w:fill="D9D9D9"/>
            <w:vAlign w:val="center"/>
            <w:hideMark/>
          </w:tcPr>
          <w:p w14:paraId="5FEF237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5,423,730</w:t>
            </w:r>
          </w:p>
        </w:tc>
        <w:tc>
          <w:tcPr>
            <w:tcW w:w="275" w:type="dxa"/>
            <w:tcBorders>
              <w:top w:val="nil"/>
              <w:left w:val="nil"/>
              <w:bottom w:val="single" w:sz="4" w:space="0" w:color="auto"/>
              <w:right w:val="single" w:sz="4" w:space="0" w:color="auto"/>
            </w:tcBorders>
            <w:shd w:val="clear" w:color="000000" w:fill="D9D9D9"/>
            <w:vAlign w:val="center"/>
            <w:hideMark/>
          </w:tcPr>
          <w:p w14:paraId="5FEF237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7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5,423,730</w:t>
            </w:r>
          </w:p>
        </w:tc>
        <w:tc>
          <w:tcPr>
            <w:tcW w:w="306" w:type="dxa"/>
            <w:tcBorders>
              <w:top w:val="nil"/>
              <w:left w:val="nil"/>
              <w:bottom w:val="single" w:sz="4" w:space="0" w:color="auto"/>
              <w:right w:val="single" w:sz="4" w:space="0" w:color="auto"/>
            </w:tcBorders>
            <w:shd w:val="clear" w:color="000000" w:fill="D9D9D9"/>
            <w:vAlign w:val="center"/>
            <w:hideMark/>
          </w:tcPr>
          <w:p w14:paraId="5FEF237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5,100,380</w:t>
            </w:r>
          </w:p>
        </w:tc>
        <w:tc>
          <w:tcPr>
            <w:tcW w:w="245" w:type="dxa"/>
            <w:tcBorders>
              <w:top w:val="nil"/>
              <w:left w:val="nil"/>
              <w:bottom w:val="single" w:sz="4" w:space="0" w:color="auto"/>
              <w:right w:val="single" w:sz="4" w:space="0" w:color="auto"/>
            </w:tcBorders>
            <w:shd w:val="clear" w:color="000000" w:fill="D9D9D9"/>
            <w:vAlign w:val="center"/>
            <w:hideMark/>
          </w:tcPr>
          <w:p w14:paraId="5FEF237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7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5,100,380</w:t>
            </w:r>
          </w:p>
        </w:tc>
        <w:tc>
          <w:tcPr>
            <w:tcW w:w="275" w:type="dxa"/>
            <w:tcBorders>
              <w:top w:val="nil"/>
              <w:left w:val="nil"/>
              <w:bottom w:val="single" w:sz="4" w:space="0" w:color="auto"/>
              <w:right w:val="single" w:sz="4" w:space="0" w:color="auto"/>
            </w:tcBorders>
            <w:shd w:val="clear" w:color="000000" w:fill="D9D9D9"/>
            <w:vAlign w:val="center"/>
            <w:hideMark/>
          </w:tcPr>
          <w:p w14:paraId="5FEF237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323,350</w:t>
            </w:r>
          </w:p>
        </w:tc>
        <w:tc>
          <w:tcPr>
            <w:tcW w:w="245" w:type="dxa"/>
            <w:tcBorders>
              <w:top w:val="nil"/>
              <w:left w:val="nil"/>
              <w:bottom w:val="single" w:sz="4" w:space="0" w:color="auto"/>
              <w:right w:val="single" w:sz="4" w:space="0" w:color="auto"/>
            </w:tcBorders>
            <w:shd w:val="clear" w:color="000000" w:fill="D9D9D9"/>
            <w:vAlign w:val="center"/>
            <w:hideMark/>
          </w:tcPr>
          <w:p w14:paraId="5FEF237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237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237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323,350</w:t>
            </w:r>
          </w:p>
        </w:tc>
        <w:tc>
          <w:tcPr>
            <w:tcW w:w="262" w:type="dxa"/>
            <w:tcBorders>
              <w:top w:val="nil"/>
              <w:left w:val="nil"/>
              <w:bottom w:val="single" w:sz="4" w:space="0" w:color="auto"/>
              <w:right w:val="single" w:sz="4" w:space="0" w:color="auto"/>
            </w:tcBorders>
            <w:shd w:val="clear" w:color="000000" w:fill="D9D9D9"/>
            <w:vAlign w:val="center"/>
            <w:hideMark/>
          </w:tcPr>
          <w:p w14:paraId="5FEF237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239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38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3.3</w:t>
            </w:r>
          </w:p>
        </w:tc>
        <w:tc>
          <w:tcPr>
            <w:tcW w:w="1301" w:type="dxa"/>
            <w:tcBorders>
              <w:top w:val="nil"/>
              <w:left w:val="nil"/>
              <w:bottom w:val="single" w:sz="4" w:space="0" w:color="auto"/>
              <w:right w:val="single" w:sz="4" w:space="0" w:color="auto"/>
            </w:tcBorders>
            <w:shd w:val="clear" w:color="auto" w:fill="auto"/>
            <w:vAlign w:val="center"/>
            <w:hideMark/>
          </w:tcPr>
          <w:p w14:paraId="5FEF2381" w14:textId="6827C618" w:rsidR="002117FE" w:rsidRPr="00795698" w:rsidRDefault="002117FE" w:rsidP="002117FE">
            <w:pPr>
              <w:rPr>
                <w:rFonts w:ascii="Arial" w:hAnsi="Arial" w:cs="Arial"/>
                <w:b/>
                <w:bCs/>
                <w:color w:val="000000"/>
                <w:sz w:val="6"/>
                <w:szCs w:val="6"/>
                <w:lang w:eastAsia="sq-AL"/>
              </w:rPr>
            </w:pPr>
            <w:r w:rsidRPr="00795698">
              <w:rPr>
                <w:rFonts w:ascii="Arial" w:hAnsi="Arial" w:cs="Arial"/>
                <w:b/>
                <w:bCs/>
                <w:color w:val="000000"/>
                <w:sz w:val="6"/>
                <w:szCs w:val="6"/>
                <w:lang w:eastAsia="sq-AL"/>
              </w:rPr>
              <w:t xml:space="preserve"> OBJEKTIVI SPECIFIK: Rritja e aksesit të personave të radikalizuar</w:t>
            </w:r>
            <w:r w:rsidR="007C064A" w:rsidRPr="00795698">
              <w:rPr>
                <w:rFonts w:ascii="Arial" w:hAnsi="Arial" w:cs="Arial"/>
                <w:b/>
                <w:bCs/>
                <w:color w:val="000000"/>
                <w:sz w:val="6"/>
                <w:szCs w:val="6"/>
                <w:lang w:eastAsia="sq-AL"/>
              </w:rPr>
              <w:t xml:space="preserve"> </w:t>
            </w:r>
            <w:r w:rsidRPr="00795698">
              <w:rPr>
                <w:rFonts w:ascii="Arial" w:hAnsi="Arial" w:cs="Arial"/>
                <w:b/>
                <w:bCs/>
                <w:color w:val="000000"/>
                <w:sz w:val="6"/>
                <w:szCs w:val="6"/>
                <w:lang w:eastAsia="sq-AL"/>
              </w:rPr>
              <w:t>dhe të kthyer nga vendet e luftës në programet e strehimit social</w:t>
            </w:r>
          </w:p>
        </w:tc>
        <w:tc>
          <w:tcPr>
            <w:tcW w:w="498" w:type="dxa"/>
            <w:tcBorders>
              <w:top w:val="nil"/>
              <w:left w:val="nil"/>
              <w:bottom w:val="single" w:sz="4" w:space="0" w:color="auto"/>
              <w:right w:val="single" w:sz="4" w:space="0" w:color="auto"/>
            </w:tcBorders>
            <w:shd w:val="clear" w:color="auto" w:fill="auto"/>
            <w:vAlign w:val="center"/>
            <w:hideMark/>
          </w:tcPr>
          <w:p w14:paraId="5FEF238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FEF238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noWrap/>
            <w:vAlign w:val="bottom"/>
            <w:hideMark/>
          </w:tcPr>
          <w:p w14:paraId="5FEF238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noWrap/>
            <w:vAlign w:val="bottom"/>
            <w:hideMark/>
          </w:tcPr>
          <w:p w14:paraId="5FEF238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noWrap/>
            <w:vAlign w:val="bottom"/>
            <w:hideMark/>
          </w:tcPr>
          <w:p w14:paraId="5FEF238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8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8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8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8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8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8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8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8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8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9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9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9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9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9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9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9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9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5FEF239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9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auto" w:fill="auto"/>
            <w:noWrap/>
            <w:vAlign w:val="center"/>
            <w:hideMark/>
          </w:tcPr>
          <w:p w14:paraId="5FEF239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3B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center"/>
            <w:hideMark/>
          </w:tcPr>
          <w:p w14:paraId="5FEF239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auto" w:fill="auto"/>
            <w:vAlign w:val="center"/>
            <w:hideMark/>
          </w:tcPr>
          <w:p w14:paraId="5FEF239D" w14:textId="77777777" w:rsidR="002117FE" w:rsidRPr="00795698" w:rsidRDefault="002117FE" w:rsidP="002117FE">
            <w:pPr>
              <w:rPr>
                <w:rFonts w:ascii="Arial" w:hAnsi="Arial" w:cs="Arial"/>
                <w:b/>
                <w:bCs/>
                <w:i/>
                <w:iCs/>
                <w:color w:val="0066CC"/>
                <w:sz w:val="6"/>
                <w:szCs w:val="6"/>
                <w:lang w:eastAsia="sq-AL"/>
              </w:rPr>
            </w:pPr>
            <w:r w:rsidRPr="00795698">
              <w:rPr>
                <w:rFonts w:ascii="Arial" w:hAnsi="Arial" w:cs="Arial"/>
                <w:b/>
                <w:bCs/>
                <w:i/>
                <w:iCs/>
                <w:color w:val="0066CC"/>
                <w:sz w:val="6"/>
                <w:szCs w:val="6"/>
                <w:lang w:eastAsia="sq-AL"/>
              </w:rPr>
              <w:t>Masat</w:t>
            </w:r>
          </w:p>
        </w:tc>
        <w:tc>
          <w:tcPr>
            <w:tcW w:w="498" w:type="dxa"/>
            <w:tcBorders>
              <w:top w:val="nil"/>
              <w:left w:val="nil"/>
              <w:bottom w:val="single" w:sz="4" w:space="0" w:color="auto"/>
              <w:right w:val="single" w:sz="4" w:space="0" w:color="auto"/>
            </w:tcBorders>
            <w:shd w:val="clear" w:color="auto" w:fill="auto"/>
            <w:vAlign w:val="center"/>
            <w:hideMark/>
          </w:tcPr>
          <w:p w14:paraId="5FEF239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FEF239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4" w:space="0" w:color="auto"/>
              <w:right w:val="single" w:sz="4" w:space="0" w:color="auto"/>
            </w:tcBorders>
            <w:shd w:val="clear" w:color="auto" w:fill="auto"/>
            <w:noWrap/>
            <w:vAlign w:val="bottom"/>
            <w:hideMark/>
          </w:tcPr>
          <w:p w14:paraId="5FEF23A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4" w:space="0" w:color="auto"/>
              <w:right w:val="single" w:sz="4" w:space="0" w:color="auto"/>
            </w:tcBorders>
            <w:shd w:val="clear" w:color="auto" w:fill="auto"/>
            <w:noWrap/>
            <w:vAlign w:val="bottom"/>
            <w:hideMark/>
          </w:tcPr>
          <w:p w14:paraId="5FEF23A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nil"/>
              <w:left w:val="nil"/>
              <w:bottom w:val="single" w:sz="4" w:space="0" w:color="auto"/>
              <w:right w:val="single" w:sz="4" w:space="0" w:color="auto"/>
            </w:tcBorders>
            <w:shd w:val="clear" w:color="auto" w:fill="auto"/>
            <w:noWrap/>
            <w:vAlign w:val="bottom"/>
            <w:hideMark/>
          </w:tcPr>
          <w:p w14:paraId="5FEF23A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A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A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A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A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A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B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auto" w:fill="auto"/>
            <w:noWrap/>
            <w:vAlign w:val="center"/>
            <w:hideMark/>
          </w:tcPr>
          <w:p w14:paraId="5FEF23B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B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45" w:type="dxa"/>
            <w:tcBorders>
              <w:top w:val="nil"/>
              <w:left w:val="nil"/>
              <w:bottom w:val="single" w:sz="4" w:space="0" w:color="auto"/>
              <w:right w:val="single" w:sz="4" w:space="0" w:color="auto"/>
            </w:tcBorders>
            <w:shd w:val="clear" w:color="auto" w:fill="auto"/>
            <w:noWrap/>
            <w:vAlign w:val="center"/>
            <w:hideMark/>
          </w:tcPr>
          <w:p w14:paraId="5FEF23B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5FEF23B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FEF23B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2" w:type="dxa"/>
            <w:tcBorders>
              <w:top w:val="nil"/>
              <w:left w:val="nil"/>
              <w:bottom w:val="single" w:sz="4" w:space="0" w:color="auto"/>
              <w:right w:val="single" w:sz="8" w:space="0" w:color="auto"/>
            </w:tcBorders>
            <w:shd w:val="clear" w:color="auto" w:fill="auto"/>
            <w:noWrap/>
            <w:vAlign w:val="center"/>
            <w:hideMark/>
          </w:tcPr>
          <w:p w14:paraId="5FEF23B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3D3"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bottom"/>
            <w:hideMark/>
          </w:tcPr>
          <w:p w14:paraId="5FEF23B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3.3.1</w:t>
            </w:r>
          </w:p>
        </w:tc>
        <w:tc>
          <w:tcPr>
            <w:tcW w:w="1301" w:type="dxa"/>
            <w:tcBorders>
              <w:top w:val="nil"/>
              <w:left w:val="nil"/>
              <w:bottom w:val="single" w:sz="4" w:space="0" w:color="auto"/>
              <w:right w:val="single" w:sz="4" w:space="0" w:color="auto"/>
            </w:tcBorders>
            <w:shd w:val="clear" w:color="auto" w:fill="auto"/>
            <w:vAlign w:val="bottom"/>
            <w:hideMark/>
          </w:tcPr>
          <w:p w14:paraId="5FEF23B9" w14:textId="77777777" w:rsidR="002117FE" w:rsidRPr="00795698" w:rsidRDefault="002117FE" w:rsidP="002117FE">
            <w:pPr>
              <w:rPr>
                <w:rFonts w:ascii="Arial" w:hAnsi="Arial" w:cs="Arial"/>
                <w:color w:val="000000"/>
                <w:sz w:val="6"/>
                <w:szCs w:val="6"/>
                <w:lang w:eastAsia="sq-AL"/>
              </w:rPr>
            </w:pPr>
            <w:r w:rsidRPr="00795698">
              <w:rPr>
                <w:rFonts w:ascii="Arial" w:hAnsi="Arial" w:cs="Arial"/>
                <w:color w:val="000000"/>
                <w:sz w:val="6"/>
                <w:szCs w:val="6"/>
                <w:lang w:eastAsia="sq-AL"/>
              </w:rPr>
              <w:t>Mbështetja me programe strehimi e familjeve me individë të radikalizuar të kthyer nga vendet e konflikteve.</w:t>
            </w:r>
          </w:p>
        </w:tc>
        <w:tc>
          <w:tcPr>
            <w:tcW w:w="498" w:type="dxa"/>
            <w:tcBorders>
              <w:top w:val="nil"/>
              <w:left w:val="nil"/>
              <w:bottom w:val="single" w:sz="4" w:space="0" w:color="auto"/>
              <w:right w:val="single" w:sz="4" w:space="0" w:color="auto"/>
            </w:tcBorders>
            <w:shd w:val="clear" w:color="000000" w:fill="FFFFFF"/>
            <w:vAlign w:val="center"/>
            <w:hideMark/>
          </w:tcPr>
          <w:p w14:paraId="5FEF23B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"Planifikimi, menaxhimi dhe administrimi", Kodi i Programit Buxhetor 01110</w:t>
            </w:r>
          </w:p>
        </w:tc>
        <w:tc>
          <w:tcPr>
            <w:tcW w:w="498" w:type="dxa"/>
            <w:tcBorders>
              <w:top w:val="nil"/>
              <w:left w:val="nil"/>
              <w:bottom w:val="single" w:sz="4" w:space="0" w:color="auto"/>
              <w:right w:val="single" w:sz="4" w:space="0" w:color="auto"/>
            </w:tcBorders>
            <w:shd w:val="clear" w:color="auto" w:fill="auto"/>
            <w:vAlign w:val="center"/>
            <w:hideMark/>
          </w:tcPr>
          <w:p w14:paraId="5FEF23B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MFE</w:t>
            </w:r>
          </w:p>
        </w:tc>
        <w:tc>
          <w:tcPr>
            <w:tcW w:w="578" w:type="dxa"/>
            <w:tcBorders>
              <w:top w:val="nil"/>
              <w:left w:val="nil"/>
              <w:bottom w:val="single" w:sz="4" w:space="0" w:color="auto"/>
              <w:right w:val="single" w:sz="4" w:space="0" w:color="auto"/>
            </w:tcBorders>
            <w:shd w:val="clear" w:color="auto" w:fill="auto"/>
            <w:vAlign w:val="center"/>
            <w:hideMark/>
          </w:tcPr>
          <w:p w14:paraId="5FEF23B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AMVV/NJVV</w:t>
            </w:r>
          </w:p>
        </w:tc>
        <w:tc>
          <w:tcPr>
            <w:tcW w:w="207" w:type="dxa"/>
            <w:tcBorders>
              <w:top w:val="nil"/>
              <w:left w:val="nil"/>
              <w:bottom w:val="single" w:sz="4" w:space="0" w:color="auto"/>
              <w:right w:val="single" w:sz="4" w:space="0" w:color="auto"/>
            </w:tcBorders>
            <w:shd w:val="clear" w:color="auto" w:fill="auto"/>
            <w:vAlign w:val="center"/>
            <w:hideMark/>
          </w:tcPr>
          <w:p w14:paraId="5FEF23BD"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3BE"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3B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283,300</w:t>
            </w:r>
          </w:p>
        </w:tc>
        <w:tc>
          <w:tcPr>
            <w:tcW w:w="275" w:type="dxa"/>
            <w:tcBorders>
              <w:top w:val="nil"/>
              <w:left w:val="nil"/>
              <w:bottom w:val="single" w:sz="4" w:space="0" w:color="auto"/>
              <w:right w:val="single" w:sz="4" w:space="0" w:color="auto"/>
            </w:tcBorders>
            <w:shd w:val="clear" w:color="000000" w:fill="FFFFFF"/>
            <w:vAlign w:val="center"/>
            <w:hideMark/>
          </w:tcPr>
          <w:p w14:paraId="5FEF23C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C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283,300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C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283,300</w:t>
            </w:r>
          </w:p>
        </w:tc>
        <w:tc>
          <w:tcPr>
            <w:tcW w:w="245" w:type="dxa"/>
            <w:tcBorders>
              <w:top w:val="nil"/>
              <w:left w:val="nil"/>
              <w:bottom w:val="single" w:sz="4" w:space="0" w:color="auto"/>
              <w:right w:val="single" w:sz="4" w:space="0" w:color="auto"/>
            </w:tcBorders>
            <w:shd w:val="clear" w:color="000000" w:fill="FFFFFF"/>
            <w:vAlign w:val="center"/>
            <w:hideMark/>
          </w:tcPr>
          <w:p w14:paraId="5FEF23C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C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283,300</w:t>
            </w:r>
          </w:p>
        </w:tc>
        <w:tc>
          <w:tcPr>
            <w:tcW w:w="306" w:type="dxa"/>
            <w:tcBorders>
              <w:top w:val="nil"/>
              <w:left w:val="nil"/>
              <w:bottom w:val="single" w:sz="4" w:space="0" w:color="auto"/>
              <w:right w:val="single" w:sz="4" w:space="0" w:color="auto"/>
            </w:tcBorders>
            <w:shd w:val="clear" w:color="000000" w:fill="FFFFFF"/>
            <w:noWrap/>
            <w:vAlign w:val="center"/>
            <w:hideMark/>
          </w:tcPr>
          <w:p w14:paraId="5FEF23C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283,300</w:t>
            </w:r>
          </w:p>
        </w:tc>
        <w:tc>
          <w:tcPr>
            <w:tcW w:w="245" w:type="dxa"/>
            <w:tcBorders>
              <w:top w:val="nil"/>
              <w:left w:val="nil"/>
              <w:bottom w:val="single" w:sz="4" w:space="0" w:color="auto"/>
              <w:right w:val="single" w:sz="4" w:space="0" w:color="auto"/>
            </w:tcBorders>
            <w:shd w:val="clear" w:color="000000" w:fill="FFFFFF"/>
            <w:vAlign w:val="center"/>
            <w:hideMark/>
          </w:tcPr>
          <w:p w14:paraId="5FEF23C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C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283,300</w:t>
            </w:r>
          </w:p>
        </w:tc>
        <w:tc>
          <w:tcPr>
            <w:tcW w:w="306" w:type="dxa"/>
            <w:tcBorders>
              <w:top w:val="nil"/>
              <w:left w:val="nil"/>
              <w:bottom w:val="single" w:sz="4" w:space="0" w:color="auto"/>
              <w:right w:val="single" w:sz="4" w:space="0" w:color="auto"/>
            </w:tcBorders>
            <w:shd w:val="clear" w:color="000000" w:fill="FFFFFF"/>
            <w:vAlign w:val="center"/>
            <w:hideMark/>
          </w:tcPr>
          <w:p w14:paraId="5FEF23C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849,900</w:t>
            </w:r>
          </w:p>
        </w:tc>
        <w:tc>
          <w:tcPr>
            <w:tcW w:w="275" w:type="dxa"/>
            <w:tcBorders>
              <w:top w:val="nil"/>
              <w:left w:val="nil"/>
              <w:bottom w:val="single" w:sz="4" w:space="0" w:color="auto"/>
              <w:right w:val="single" w:sz="4" w:space="0" w:color="auto"/>
            </w:tcBorders>
            <w:shd w:val="clear" w:color="000000" w:fill="FFFFFF"/>
            <w:vAlign w:val="center"/>
            <w:hideMark/>
          </w:tcPr>
          <w:p w14:paraId="5FEF23C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C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849,900</w:t>
            </w:r>
          </w:p>
        </w:tc>
        <w:tc>
          <w:tcPr>
            <w:tcW w:w="306" w:type="dxa"/>
            <w:tcBorders>
              <w:top w:val="nil"/>
              <w:left w:val="nil"/>
              <w:bottom w:val="single" w:sz="4" w:space="0" w:color="auto"/>
              <w:right w:val="single" w:sz="4" w:space="0" w:color="auto"/>
            </w:tcBorders>
            <w:shd w:val="clear" w:color="000000" w:fill="FFFFFF"/>
            <w:vAlign w:val="center"/>
            <w:hideMark/>
          </w:tcPr>
          <w:p w14:paraId="5FEF23C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849,900</w:t>
            </w:r>
          </w:p>
        </w:tc>
        <w:tc>
          <w:tcPr>
            <w:tcW w:w="245" w:type="dxa"/>
            <w:tcBorders>
              <w:top w:val="nil"/>
              <w:left w:val="nil"/>
              <w:bottom w:val="single" w:sz="4" w:space="0" w:color="auto"/>
              <w:right w:val="single" w:sz="4" w:space="0" w:color="auto"/>
            </w:tcBorders>
            <w:shd w:val="clear" w:color="000000" w:fill="FFFFFF"/>
            <w:vAlign w:val="center"/>
            <w:hideMark/>
          </w:tcPr>
          <w:p w14:paraId="5FEF23C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C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849,900</w:t>
            </w:r>
          </w:p>
        </w:tc>
        <w:tc>
          <w:tcPr>
            <w:tcW w:w="275" w:type="dxa"/>
            <w:tcBorders>
              <w:top w:val="nil"/>
              <w:left w:val="nil"/>
              <w:bottom w:val="single" w:sz="4" w:space="0" w:color="auto"/>
              <w:right w:val="single" w:sz="4" w:space="0" w:color="auto"/>
            </w:tcBorders>
            <w:shd w:val="clear" w:color="000000" w:fill="FFFFFF"/>
            <w:vAlign w:val="center"/>
            <w:hideMark/>
          </w:tcPr>
          <w:p w14:paraId="5FEF23C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3C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3D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3D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3D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3EF"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auto" w:fill="auto"/>
            <w:noWrap/>
            <w:vAlign w:val="bottom"/>
            <w:hideMark/>
          </w:tcPr>
          <w:p w14:paraId="5FEF23D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3.3.2</w:t>
            </w:r>
          </w:p>
        </w:tc>
        <w:tc>
          <w:tcPr>
            <w:tcW w:w="1301" w:type="dxa"/>
            <w:tcBorders>
              <w:top w:val="nil"/>
              <w:left w:val="nil"/>
              <w:bottom w:val="single" w:sz="4" w:space="0" w:color="auto"/>
              <w:right w:val="single" w:sz="4" w:space="0" w:color="auto"/>
            </w:tcBorders>
            <w:shd w:val="clear" w:color="auto" w:fill="auto"/>
            <w:vAlign w:val="bottom"/>
            <w:hideMark/>
          </w:tcPr>
          <w:p w14:paraId="5FEF23D5" w14:textId="77777777" w:rsidR="002117FE" w:rsidRPr="00795698" w:rsidRDefault="002117FE" w:rsidP="002117FE">
            <w:pPr>
              <w:rPr>
                <w:rFonts w:ascii="Arial" w:hAnsi="Arial" w:cs="Arial"/>
                <w:sz w:val="6"/>
                <w:szCs w:val="6"/>
                <w:lang w:eastAsia="sq-AL"/>
              </w:rPr>
            </w:pPr>
            <w:r w:rsidRPr="00795698">
              <w:rPr>
                <w:rFonts w:ascii="Arial" w:hAnsi="Arial" w:cs="Arial"/>
                <w:sz w:val="6"/>
                <w:szCs w:val="6"/>
                <w:lang w:eastAsia="sq-AL"/>
              </w:rPr>
              <w:t>Koordinimi me NJVV për ofrim asistence për aplikim dhe plotësimin e dokumentacionit në programet e strehimit social për personat e radikalizuar.</w:t>
            </w:r>
          </w:p>
        </w:tc>
        <w:tc>
          <w:tcPr>
            <w:tcW w:w="498" w:type="dxa"/>
            <w:tcBorders>
              <w:top w:val="nil"/>
              <w:left w:val="nil"/>
              <w:bottom w:val="single" w:sz="4" w:space="0" w:color="auto"/>
              <w:right w:val="single" w:sz="4" w:space="0" w:color="auto"/>
            </w:tcBorders>
            <w:shd w:val="clear" w:color="auto" w:fill="auto"/>
            <w:vAlign w:val="center"/>
            <w:hideMark/>
          </w:tcPr>
          <w:p w14:paraId="5FEF23D6" w14:textId="3FC65BBE"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Programi buxhetor "Prefekturat dhe Funksionet e Deleguara", Kodi i Programit 01160</w:t>
            </w:r>
            <w:r w:rsidRPr="00795698">
              <w:rPr>
                <w:rFonts w:ascii="Arial" w:hAnsi="Arial" w:cs="Arial"/>
                <w:color w:val="000000"/>
                <w:sz w:val="6"/>
                <w:szCs w:val="6"/>
                <w:lang w:eastAsia="sq-AL"/>
              </w:rPr>
              <w:br/>
              <w:t>Kodi i produktit 91602AC</w:t>
            </w:r>
            <w:r w:rsidR="007C064A" w:rsidRPr="00795698">
              <w:rPr>
                <w:rFonts w:ascii="Arial" w:hAnsi="Arial" w:cs="Arial"/>
                <w:color w:val="000000"/>
                <w:sz w:val="6"/>
                <w:szCs w:val="6"/>
                <w:lang w:eastAsia="sq-AL"/>
              </w:rPr>
              <w:t xml:space="preserve"> </w:t>
            </w:r>
          </w:p>
        </w:tc>
        <w:tc>
          <w:tcPr>
            <w:tcW w:w="498" w:type="dxa"/>
            <w:tcBorders>
              <w:top w:val="nil"/>
              <w:left w:val="nil"/>
              <w:bottom w:val="single" w:sz="4" w:space="0" w:color="auto"/>
              <w:right w:val="single" w:sz="4" w:space="0" w:color="auto"/>
            </w:tcBorders>
            <w:shd w:val="clear" w:color="auto" w:fill="auto"/>
            <w:vAlign w:val="center"/>
            <w:hideMark/>
          </w:tcPr>
          <w:p w14:paraId="5FEF23D7" w14:textId="77777777" w:rsidR="002117FE" w:rsidRPr="00795698" w:rsidRDefault="002117FE" w:rsidP="002117FE">
            <w:pPr>
              <w:jc w:val="center"/>
              <w:rPr>
                <w:rFonts w:ascii="Arial" w:hAnsi="Arial" w:cs="Arial"/>
                <w:sz w:val="6"/>
                <w:szCs w:val="6"/>
                <w:lang w:eastAsia="sq-AL"/>
              </w:rPr>
            </w:pPr>
            <w:r w:rsidRPr="00795698">
              <w:rPr>
                <w:rFonts w:ascii="Arial" w:hAnsi="Arial" w:cs="Arial"/>
                <w:sz w:val="6"/>
                <w:szCs w:val="6"/>
                <w:lang w:eastAsia="sq-AL"/>
              </w:rPr>
              <w:t>AMVV</w:t>
            </w:r>
          </w:p>
        </w:tc>
        <w:tc>
          <w:tcPr>
            <w:tcW w:w="578" w:type="dxa"/>
            <w:tcBorders>
              <w:top w:val="nil"/>
              <w:left w:val="nil"/>
              <w:bottom w:val="single" w:sz="4" w:space="0" w:color="auto"/>
              <w:right w:val="single" w:sz="4" w:space="0" w:color="auto"/>
            </w:tcBorders>
            <w:shd w:val="clear" w:color="auto" w:fill="auto"/>
            <w:vAlign w:val="center"/>
            <w:hideMark/>
          </w:tcPr>
          <w:p w14:paraId="5FEF23D8" w14:textId="77777777" w:rsidR="002117FE" w:rsidRPr="00795698" w:rsidRDefault="002117FE" w:rsidP="002117FE">
            <w:pPr>
              <w:jc w:val="center"/>
              <w:rPr>
                <w:rFonts w:ascii="Arial" w:hAnsi="Arial" w:cs="Arial"/>
                <w:sz w:val="6"/>
                <w:szCs w:val="6"/>
                <w:lang w:eastAsia="sq-AL"/>
              </w:rPr>
            </w:pPr>
            <w:r w:rsidRPr="00795698">
              <w:rPr>
                <w:rFonts w:ascii="Arial" w:hAnsi="Arial" w:cs="Arial"/>
                <w:sz w:val="6"/>
                <w:szCs w:val="6"/>
                <w:lang w:eastAsia="sq-AL"/>
              </w:rPr>
              <w:t>NJVV</w:t>
            </w:r>
          </w:p>
        </w:tc>
        <w:tc>
          <w:tcPr>
            <w:tcW w:w="207" w:type="dxa"/>
            <w:tcBorders>
              <w:top w:val="nil"/>
              <w:left w:val="nil"/>
              <w:bottom w:val="single" w:sz="4" w:space="0" w:color="auto"/>
              <w:right w:val="single" w:sz="4" w:space="0" w:color="auto"/>
            </w:tcBorders>
            <w:shd w:val="clear" w:color="auto" w:fill="auto"/>
            <w:vAlign w:val="center"/>
            <w:hideMark/>
          </w:tcPr>
          <w:p w14:paraId="5FEF23D9"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2023</w:t>
            </w:r>
          </w:p>
        </w:tc>
        <w:tc>
          <w:tcPr>
            <w:tcW w:w="260" w:type="dxa"/>
            <w:tcBorders>
              <w:top w:val="nil"/>
              <w:left w:val="nil"/>
              <w:bottom w:val="single" w:sz="4" w:space="0" w:color="auto"/>
              <w:right w:val="single" w:sz="4" w:space="0" w:color="auto"/>
            </w:tcBorders>
            <w:shd w:val="clear" w:color="auto" w:fill="auto"/>
            <w:vAlign w:val="center"/>
            <w:hideMark/>
          </w:tcPr>
          <w:p w14:paraId="5FEF23DA"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2025</w:t>
            </w:r>
          </w:p>
        </w:tc>
        <w:tc>
          <w:tcPr>
            <w:tcW w:w="306" w:type="dxa"/>
            <w:tcBorders>
              <w:top w:val="nil"/>
              <w:left w:val="nil"/>
              <w:bottom w:val="single" w:sz="4" w:space="0" w:color="auto"/>
              <w:right w:val="single" w:sz="4" w:space="0" w:color="auto"/>
            </w:tcBorders>
            <w:shd w:val="clear" w:color="000000" w:fill="FFFFFF"/>
            <w:noWrap/>
            <w:vAlign w:val="center"/>
            <w:hideMark/>
          </w:tcPr>
          <w:p w14:paraId="5FEF23D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149,950</w:t>
            </w:r>
          </w:p>
        </w:tc>
        <w:tc>
          <w:tcPr>
            <w:tcW w:w="275" w:type="dxa"/>
            <w:tcBorders>
              <w:top w:val="nil"/>
              <w:left w:val="nil"/>
              <w:bottom w:val="single" w:sz="4" w:space="0" w:color="auto"/>
              <w:right w:val="single" w:sz="4" w:space="0" w:color="auto"/>
            </w:tcBorders>
            <w:shd w:val="clear" w:color="000000" w:fill="FFFFFF"/>
            <w:vAlign w:val="center"/>
            <w:hideMark/>
          </w:tcPr>
          <w:p w14:paraId="5FEF23D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D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149,950</w:t>
            </w:r>
          </w:p>
        </w:tc>
        <w:tc>
          <w:tcPr>
            <w:tcW w:w="306" w:type="dxa"/>
            <w:tcBorders>
              <w:top w:val="nil"/>
              <w:left w:val="nil"/>
              <w:bottom w:val="single" w:sz="4" w:space="0" w:color="auto"/>
              <w:right w:val="single" w:sz="4" w:space="0" w:color="auto"/>
            </w:tcBorders>
            <w:shd w:val="clear" w:color="000000" w:fill="FFFFFF"/>
            <w:noWrap/>
            <w:vAlign w:val="center"/>
            <w:hideMark/>
          </w:tcPr>
          <w:p w14:paraId="5FEF23D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149,950</w:t>
            </w:r>
          </w:p>
        </w:tc>
        <w:tc>
          <w:tcPr>
            <w:tcW w:w="245" w:type="dxa"/>
            <w:tcBorders>
              <w:top w:val="nil"/>
              <w:left w:val="nil"/>
              <w:bottom w:val="single" w:sz="4" w:space="0" w:color="auto"/>
              <w:right w:val="single" w:sz="4" w:space="0" w:color="auto"/>
            </w:tcBorders>
            <w:shd w:val="clear" w:color="000000" w:fill="FFFFFF"/>
            <w:vAlign w:val="center"/>
            <w:hideMark/>
          </w:tcPr>
          <w:p w14:paraId="5FEF23DF"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23E0"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149,950</w:t>
            </w:r>
          </w:p>
        </w:tc>
        <w:tc>
          <w:tcPr>
            <w:tcW w:w="306" w:type="dxa"/>
            <w:tcBorders>
              <w:top w:val="nil"/>
              <w:left w:val="nil"/>
              <w:bottom w:val="single" w:sz="4" w:space="0" w:color="auto"/>
              <w:right w:val="single" w:sz="4" w:space="0" w:color="auto"/>
            </w:tcBorders>
            <w:shd w:val="clear" w:color="000000" w:fill="FFFFFF"/>
            <w:noWrap/>
            <w:vAlign w:val="center"/>
            <w:hideMark/>
          </w:tcPr>
          <w:p w14:paraId="5FEF23E1"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149,950</w:t>
            </w:r>
          </w:p>
        </w:tc>
        <w:tc>
          <w:tcPr>
            <w:tcW w:w="245" w:type="dxa"/>
            <w:tcBorders>
              <w:top w:val="nil"/>
              <w:left w:val="nil"/>
              <w:bottom w:val="single" w:sz="4" w:space="0" w:color="auto"/>
              <w:right w:val="single" w:sz="4" w:space="0" w:color="auto"/>
            </w:tcBorders>
            <w:shd w:val="clear" w:color="000000" w:fill="FFFFFF"/>
            <w:vAlign w:val="center"/>
            <w:hideMark/>
          </w:tcPr>
          <w:p w14:paraId="5FEF23E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4" w:space="0" w:color="auto"/>
              <w:right w:val="single" w:sz="4" w:space="0" w:color="auto"/>
            </w:tcBorders>
            <w:shd w:val="clear" w:color="000000" w:fill="FFFFFF"/>
            <w:vAlign w:val="center"/>
            <w:hideMark/>
          </w:tcPr>
          <w:p w14:paraId="5FEF23E3"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149,950</w:t>
            </w:r>
          </w:p>
        </w:tc>
        <w:tc>
          <w:tcPr>
            <w:tcW w:w="306" w:type="dxa"/>
            <w:tcBorders>
              <w:top w:val="nil"/>
              <w:left w:val="nil"/>
              <w:bottom w:val="single" w:sz="4" w:space="0" w:color="auto"/>
              <w:right w:val="single" w:sz="4" w:space="0" w:color="auto"/>
            </w:tcBorders>
            <w:shd w:val="clear" w:color="000000" w:fill="FFFFFF"/>
            <w:vAlign w:val="center"/>
            <w:hideMark/>
          </w:tcPr>
          <w:p w14:paraId="5FEF23E4"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449,850</w:t>
            </w:r>
          </w:p>
        </w:tc>
        <w:tc>
          <w:tcPr>
            <w:tcW w:w="275" w:type="dxa"/>
            <w:tcBorders>
              <w:top w:val="nil"/>
              <w:left w:val="nil"/>
              <w:bottom w:val="single" w:sz="4" w:space="0" w:color="auto"/>
              <w:right w:val="single" w:sz="4" w:space="0" w:color="auto"/>
            </w:tcBorders>
            <w:shd w:val="clear" w:color="000000" w:fill="FFFFFF"/>
            <w:vAlign w:val="center"/>
            <w:hideMark/>
          </w:tcPr>
          <w:p w14:paraId="5FEF23E5"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E6"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449,850</w:t>
            </w:r>
          </w:p>
        </w:tc>
        <w:tc>
          <w:tcPr>
            <w:tcW w:w="306" w:type="dxa"/>
            <w:tcBorders>
              <w:top w:val="nil"/>
              <w:left w:val="nil"/>
              <w:bottom w:val="single" w:sz="4" w:space="0" w:color="auto"/>
              <w:right w:val="single" w:sz="4" w:space="0" w:color="auto"/>
            </w:tcBorders>
            <w:shd w:val="clear" w:color="000000" w:fill="FFFFFF"/>
            <w:vAlign w:val="center"/>
            <w:hideMark/>
          </w:tcPr>
          <w:p w14:paraId="5FEF23E7"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449,850</w:t>
            </w:r>
          </w:p>
        </w:tc>
        <w:tc>
          <w:tcPr>
            <w:tcW w:w="245" w:type="dxa"/>
            <w:tcBorders>
              <w:top w:val="nil"/>
              <w:left w:val="nil"/>
              <w:bottom w:val="single" w:sz="4" w:space="0" w:color="auto"/>
              <w:right w:val="single" w:sz="4" w:space="0" w:color="auto"/>
            </w:tcBorders>
            <w:shd w:val="clear" w:color="000000" w:fill="FFFFFF"/>
            <w:vAlign w:val="center"/>
            <w:hideMark/>
          </w:tcPr>
          <w:p w14:paraId="5FEF23E8"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306" w:type="dxa"/>
            <w:tcBorders>
              <w:top w:val="nil"/>
              <w:left w:val="nil"/>
              <w:bottom w:val="single" w:sz="4" w:space="0" w:color="auto"/>
              <w:right w:val="single" w:sz="4" w:space="0" w:color="auto"/>
            </w:tcBorders>
            <w:shd w:val="clear" w:color="000000" w:fill="FFFFFF"/>
            <w:vAlign w:val="center"/>
            <w:hideMark/>
          </w:tcPr>
          <w:p w14:paraId="5FEF23E9"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449,850</w:t>
            </w:r>
          </w:p>
        </w:tc>
        <w:tc>
          <w:tcPr>
            <w:tcW w:w="275" w:type="dxa"/>
            <w:tcBorders>
              <w:top w:val="nil"/>
              <w:left w:val="nil"/>
              <w:bottom w:val="single" w:sz="4" w:space="0" w:color="auto"/>
              <w:right w:val="single" w:sz="4" w:space="0" w:color="auto"/>
            </w:tcBorders>
            <w:shd w:val="clear" w:color="000000" w:fill="FFFFFF"/>
            <w:vAlign w:val="center"/>
            <w:hideMark/>
          </w:tcPr>
          <w:p w14:paraId="5FEF23E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45" w:type="dxa"/>
            <w:tcBorders>
              <w:top w:val="nil"/>
              <w:left w:val="nil"/>
              <w:bottom w:val="single" w:sz="4" w:space="0" w:color="auto"/>
              <w:right w:val="single" w:sz="4" w:space="0" w:color="auto"/>
            </w:tcBorders>
            <w:shd w:val="clear" w:color="000000" w:fill="FFFFFF"/>
            <w:vAlign w:val="center"/>
            <w:hideMark/>
          </w:tcPr>
          <w:p w14:paraId="5FEF23E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464" w:type="dxa"/>
            <w:tcBorders>
              <w:top w:val="nil"/>
              <w:left w:val="nil"/>
              <w:bottom w:val="single" w:sz="4" w:space="0" w:color="auto"/>
              <w:right w:val="single" w:sz="4" w:space="0" w:color="auto"/>
            </w:tcBorders>
            <w:shd w:val="clear" w:color="000000" w:fill="FFFFFF"/>
            <w:vAlign w:val="center"/>
            <w:hideMark/>
          </w:tcPr>
          <w:p w14:paraId="5FEF23E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75" w:type="dxa"/>
            <w:tcBorders>
              <w:top w:val="nil"/>
              <w:left w:val="nil"/>
              <w:bottom w:val="single" w:sz="4" w:space="0" w:color="auto"/>
              <w:right w:val="single" w:sz="4" w:space="0" w:color="auto"/>
            </w:tcBorders>
            <w:shd w:val="clear" w:color="000000" w:fill="FFFFFF"/>
            <w:vAlign w:val="center"/>
            <w:hideMark/>
          </w:tcPr>
          <w:p w14:paraId="5FEF23E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0</w:t>
            </w:r>
          </w:p>
        </w:tc>
        <w:tc>
          <w:tcPr>
            <w:tcW w:w="262" w:type="dxa"/>
            <w:tcBorders>
              <w:top w:val="nil"/>
              <w:left w:val="nil"/>
              <w:bottom w:val="single" w:sz="4" w:space="0" w:color="auto"/>
              <w:right w:val="single" w:sz="8" w:space="0" w:color="auto"/>
            </w:tcBorders>
            <w:shd w:val="clear" w:color="000000" w:fill="FFFFFF"/>
            <w:vAlign w:val="center"/>
            <w:hideMark/>
          </w:tcPr>
          <w:p w14:paraId="5FEF23E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r>
      <w:tr w:rsidR="002117FE" w:rsidRPr="00795698" w14:paraId="5FEF240B"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23F0"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23F1"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Objektivi specifik 3.3</w:t>
            </w:r>
          </w:p>
        </w:tc>
        <w:tc>
          <w:tcPr>
            <w:tcW w:w="498" w:type="dxa"/>
            <w:tcBorders>
              <w:top w:val="nil"/>
              <w:left w:val="nil"/>
              <w:bottom w:val="single" w:sz="4" w:space="0" w:color="auto"/>
              <w:right w:val="single" w:sz="4" w:space="0" w:color="auto"/>
            </w:tcBorders>
            <w:shd w:val="clear" w:color="000000" w:fill="D9D9D9"/>
            <w:vAlign w:val="center"/>
            <w:hideMark/>
          </w:tcPr>
          <w:p w14:paraId="5FEF23F2"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23F3"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23F4"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23F5"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23F6"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23F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433,250</w:t>
            </w:r>
          </w:p>
        </w:tc>
        <w:tc>
          <w:tcPr>
            <w:tcW w:w="275" w:type="dxa"/>
            <w:tcBorders>
              <w:top w:val="nil"/>
              <w:left w:val="nil"/>
              <w:bottom w:val="single" w:sz="4" w:space="0" w:color="auto"/>
              <w:right w:val="single" w:sz="4" w:space="0" w:color="auto"/>
            </w:tcBorders>
            <w:shd w:val="clear" w:color="000000" w:fill="D9D9D9"/>
            <w:vAlign w:val="center"/>
            <w:hideMark/>
          </w:tcPr>
          <w:p w14:paraId="5FEF23F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F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433,250</w:t>
            </w:r>
          </w:p>
        </w:tc>
        <w:tc>
          <w:tcPr>
            <w:tcW w:w="306" w:type="dxa"/>
            <w:tcBorders>
              <w:top w:val="nil"/>
              <w:left w:val="nil"/>
              <w:bottom w:val="single" w:sz="4" w:space="0" w:color="auto"/>
              <w:right w:val="single" w:sz="4" w:space="0" w:color="auto"/>
            </w:tcBorders>
            <w:shd w:val="clear" w:color="000000" w:fill="D9D9D9"/>
            <w:vAlign w:val="center"/>
            <w:hideMark/>
          </w:tcPr>
          <w:p w14:paraId="5FEF23F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433,250</w:t>
            </w:r>
          </w:p>
        </w:tc>
        <w:tc>
          <w:tcPr>
            <w:tcW w:w="245" w:type="dxa"/>
            <w:tcBorders>
              <w:top w:val="nil"/>
              <w:left w:val="nil"/>
              <w:bottom w:val="single" w:sz="4" w:space="0" w:color="auto"/>
              <w:right w:val="single" w:sz="4" w:space="0" w:color="auto"/>
            </w:tcBorders>
            <w:shd w:val="clear" w:color="000000" w:fill="D9D9D9"/>
            <w:vAlign w:val="center"/>
            <w:hideMark/>
          </w:tcPr>
          <w:p w14:paraId="5FEF23F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F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433,250</w:t>
            </w:r>
          </w:p>
        </w:tc>
        <w:tc>
          <w:tcPr>
            <w:tcW w:w="306" w:type="dxa"/>
            <w:tcBorders>
              <w:top w:val="nil"/>
              <w:left w:val="nil"/>
              <w:bottom w:val="single" w:sz="4" w:space="0" w:color="auto"/>
              <w:right w:val="single" w:sz="4" w:space="0" w:color="auto"/>
            </w:tcBorders>
            <w:shd w:val="clear" w:color="000000" w:fill="D9D9D9"/>
            <w:vAlign w:val="center"/>
            <w:hideMark/>
          </w:tcPr>
          <w:p w14:paraId="5FEF23F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433,250</w:t>
            </w:r>
          </w:p>
        </w:tc>
        <w:tc>
          <w:tcPr>
            <w:tcW w:w="245" w:type="dxa"/>
            <w:tcBorders>
              <w:top w:val="nil"/>
              <w:left w:val="nil"/>
              <w:bottom w:val="single" w:sz="4" w:space="0" w:color="auto"/>
              <w:right w:val="single" w:sz="4" w:space="0" w:color="auto"/>
            </w:tcBorders>
            <w:shd w:val="clear" w:color="000000" w:fill="D9D9D9"/>
            <w:vAlign w:val="center"/>
            <w:hideMark/>
          </w:tcPr>
          <w:p w14:paraId="5FEF23F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3F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433,250</w:t>
            </w:r>
          </w:p>
        </w:tc>
        <w:tc>
          <w:tcPr>
            <w:tcW w:w="306" w:type="dxa"/>
            <w:tcBorders>
              <w:top w:val="nil"/>
              <w:left w:val="nil"/>
              <w:bottom w:val="single" w:sz="4" w:space="0" w:color="auto"/>
              <w:right w:val="single" w:sz="4" w:space="0" w:color="auto"/>
            </w:tcBorders>
            <w:shd w:val="clear" w:color="000000" w:fill="D9D9D9"/>
            <w:vAlign w:val="center"/>
            <w:hideMark/>
          </w:tcPr>
          <w:p w14:paraId="5FEF240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1,299,750</w:t>
            </w:r>
          </w:p>
        </w:tc>
        <w:tc>
          <w:tcPr>
            <w:tcW w:w="275" w:type="dxa"/>
            <w:tcBorders>
              <w:top w:val="nil"/>
              <w:left w:val="nil"/>
              <w:bottom w:val="single" w:sz="4" w:space="0" w:color="auto"/>
              <w:right w:val="single" w:sz="4" w:space="0" w:color="auto"/>
            </w:tcBorders>
            <w:shd w:val="clear" w:color="000000" w:fill="D9D9D9"/>
            <w:vAlign w:val="center"/>
            <w:hideMark/>
          </w:tcPr>
          <w:p w14:paraId="5FEF240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40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1,299,750</w:t>
            </w:r>
          </w:p>
        </w:tc>
        <w:tc>
          <w:tcPr>
            <w:tcW w:w="306" w:type="dxa"/>
            <w:tcBorders>
              <w:top w:val="nil"/>
              <w:left w:val="nil"/>
              <w:bottom w:val="single" w:sz="4" w:space="0" w:color="auto"/>
              <w:right w:val="single" w:sz="4" w:space="0" w:color="auto"/>
            </w:tcBorders>
            <w:shd w:val="clear" w:color="000000" w:fill="D9D9D9"/>
            <w:vAlign w:val="center"/>
            <w:hideMark/>
          </w:tcPr>
          <w:p w14:paraId="5FEF240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1,299,750</w:t>
            </w:r>
          </w:p>
        </w:tc>
        <w:tc>
          <w:tcPr>
            <w:tcW w:w="245" w:type="dxa"/>
            <w:tcBorders>
              <w:top w:val="nil"/>
              <w:left w:val="nil"/>
              <w:bottom w:val="single" w:sz="4" w:space="0" w:color="auto"/>
              <w:right w:val="single" w:sz="4" w:space="0" w:color="auto"/>
            </w:tcBorders>
            <w:shd w:val="clear" w:color="000000" w:fill="D9D9D9"/>
            <w:vAlign w:val="center"/>
            <w:hideMark/>
          </w:tcPr>
          <w:p w14:paraId="5FEF240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40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1,299,750</w:t>
            </w:r>
          </w:p>
        </w:tc>
        <w:tc>
          <w:tcPr>
            <w:tcW w:w="275" w:type="dxa"/>
            <w:tcBorders>
              <w:top w:val="nil"/>
              <w:left w:val="nil"/>
              <w:bottom w:val="single" w:sz="4" w:space="0" w:color="auto"/>
              <w:right w:val="single" w:sz="4" w:space="0" w:color="auto"/>
            </w:tcBorders>
            <w:shd w:val="clear" w:color="000000" w:fill="D9D9D9"/>
            <w:vAlign w:val="center"/>
            <w:hideMark/>
          </w:tcPr>
          <w:p w14:paraId="5FEF240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45" w:type="dxa"/>
            <w:tcBorders>
              <w:top w:val="nil"/>
              <w:left w:val="nil"/>
              <w:bottom w:val="single" w:sz="4" w:space="0" w:color="auto"/>
              <w:right w:val="single" w:sz="4" w:space="0" w:color="auto"/>
            </w:tcBorders>
            <w:shd w:val="clear" w:color="000000" w:fill="D9D9D9"/>
            <w:vAlign w:val="center"/>
            <w:hideMark/>
          </w:tcPr>
          <w:p w14:paraId="5FEF240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240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240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262" w:type="dxa"/>
            <w:tcBorders>
              <w:top w:val="nil"/>
              <w:left w:val="nil"/>
              <w:bottom w:val="single" w:sz="4" w:space="0" w:color="auto"/>
              <w:right w:val="single" w:sz="4" w:space="0" w:color="auto"/>
            </w:tcBorders>
            <w:shd w:val="clear" w:color="000000" w:fill="D9D9D9"/>
            <w:vAlign w:val="center"/>
            <w:hideMark/>
          </w:tcPr>
          <w:p w14:paraId="5FEF240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2427" w14:textId="77777777" w:rsidTr="002117FE">
        <w:trPr>
          <w:trHeight w:val="180"/>
          <w:jc w:val="center"/>
        </w:trPr>
        <w:tc>
          <w:tcPr>
            <w:tcW w:w="182" w:type="dxa"/>
            <w:tcBorders>
              <w:top w:val="nil"/>
              <w:left w:val="single" w:sz="8" w:space="0" w:color="auto"/>
              <w:bottom w:val="single" w:sz="4" w:space="0" w:color="auto"/>
              <w:right w:val="single" w:sz="4" w:space="0" w:color="auto"/>
            </w:tcBorders>
            <w:shd w:val="clear" w:color="000000" w:fill="D9D9D9"/>
            <w:vAlign w:val="center"/>
            <w:hideMark/>
          </w:tcPr>
          <w:p w14:paraId="5FEF240C"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4" w:space="0" w:color="auto"/>
              <w:right w:val="single" w:sz="4" w:space="0" w:color="auto"/>
            </w:tcBorders>
            <w:shd w:val="clear" w:color="000000" w:fill="D9D9D9"/>
            <w:vAlign w:val="center"/>
            <w:hideMark/>
          </w:tcPr>
          <w:p w14:paraId="5FEF240D"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Qëllimi i Politikës 3</w:t>
            </w:r>
          </w:p>
        </w:tc>
        <w:tc>
          <w:tcPr>
            <w:tcW w:w="498" w:type="dxa"/>
            <w:tcBorders>
              <w:top w:val="nil"/>
              <w:left w:val="nil"/>
              <w:bottom w:val="single" w:sz="4" w:space="0" w:color="auto"/>
              <w:right w:val="single" w:sz="4" w:space="0" w:color="auto"/>
            </w:tcBorders>
            <w:shd w:val="clear" w:color="000000" w:fill="D9D9D9"/>
            <w:vAlign w:val="center"/>
            <w:hideMark/>
          </w:tcPr>
          <w:p w14:paraId="5FEF240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4" w:space="0" w:color="auto"/>
              <w:right w:val="single" w:sz="4" w:space="0" w:color="auto"/>
            </w:tcBorders>
            <w:shd w:val="clear" w:color="000000" w:fill="D9D9D9"/>
            <w:vAlign w:val="center"/>
            <w:hideMark/>
          </w:tcPr>
          <w:p w14:paraId="5FEF240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578" w:type="dxa"/>
            <w:tcBorders>
              <w:top w:val="nil"/>
              <w:left w:val="nil"/>
              <w:bottom w:val="single" w:sz="4" w:space="0" w:color="auto"/>
              <w:right w:val="single" w:sz="4" w:space="0" w:color="auto"/>
            </w:tcBorders>
            <w:shd w:val="clear" w:color="000000" w:fill="D9D9D9"/>
            <w:vAlign w:val="center"/>
            <w:hideMark/>
          </w:tcPr>
          <w:p w14:paraId="5FEF2410"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07" w:type="dxa"/>
            <w:tcBorders>
              <w:top w:val="nil"/>
              <w:left w:val="nil"/>
              <w:bottom w:val="single" w:sz="4" w:space="0" w:color="auto"/>
              <w:right w:val="single" w:sz="4" w:space="0" w:color="auto"/>
            </w:tcBorders>
            <w:shd w:val="clear" w:color="000000" w:fill="D9D9D9"/>
            <w:vAlign w:val="center"/>
            <w:hideMark/>
          </w:tcPr>
          <w:p w14:paraId="5FEF2411"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60" w:type="dxa"/>
            <w:tcBorders>
              <w:top w:val="nil"/>
              <w:left w:val="nil"/>
              <w:bottom w:val="single" w:sz="4" w:space="0" w:color="auto"/>
              <w:right w:val="single" w:sz="4" w:space="0" w:color="auto"/>
            </w:tcBorders>
            <w:shd w:val="clear" w:color="000000" w:fill="D9D9D9"/>
            <w:vAlign w:val="center"/>
            <w:hideMark/>
          </w:tcPr>
          <w:p w14:paraId="5FEF2412"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306" w:type="dxa"/>
            <w:tcBorders>
              <w:top w:val="nil"/>
              <w:left w:val="nil"/>
              <w:bottom w:val="single" w:sz="4" w:space="0" w:color="auto"/>
              <w:right w:val="single" w:sz="4" w:space="0" w:color="auto"/>
            </w:tcBorders>
            <w:shd w:val="clear" w:color="000000" w:fill="D9D9D9"/>
            <w:vAlign w:val="center"/>
            <w:hideMark/>
          </w:tcPr>
          <w:p w14:paraId="5FEF241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3,998,840</w:t>
            </w:r>
          </w:p>
        </w:tc>
        <w:tc>
          <w:tcPr>
            <w:tcW w:w="275" w:type="dxa"/>
            <w:tcBorders>
              <w:top w:val="nil"/>
              <w:left w:val="nil"/>
              <w:bottom w:val="single" w:sz="4" w:space="0" w:color="auto"/>
              <w:right w:val="single" w:sz="4" w:space="0" w:color="auto"/>
            </w:tcBorders>
            <w:shd w:val="clear" w:color="000000" w:fill="D9D9D9"/>
            <w:vAlign w:val="center"/>
            <w:hideMark/>
          </w:tcPr>
          <w:p w14:paraId="5FEF241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D9D9D9"/>
            <w:vAlign w:val="center"/>
            <w:hideMark/>
          </w:tcPr>
          <w:p w14:paraId="5FEF241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4,498,840</w:t>
            </w:r>
          </w:p>
        </w:tc>
        <w:tc>
          <w:tcPr>
            <w:tcW w:w="306" w:type="dxa"/>
            <w:tcBorders>
              <w:top w:val="nil"/>
              <w:left w:val="nil"/>
              <w:bottom w:val="single" w:sz="4" w:space="0" w:color="auto"/>
              <w:right w:val="single" w:sz="4" w:space="0" w:color="auto"/>
            </w:tcBorders>
            <w:shd w:val="clear" w:color="000000" w:fill="D9D9D9"/>
            <w:vAlign w:val="center"/>
            <w:hideMark/>
          </w:tcPr>
          <w:p w14:paraId="5FEF241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3,948,840</w:t>
            </w:r>
          </w:p>
        </w:tc>
        <w:tc>
          <w:tcPr>
            <w:tcW w:w="245" w:type="dxa"/>
            <w:tcBorders>
              <w:top w:val="nil"/>
              <w:left w:val="nil"/>
              <w:bottom w:val="single" w:sz="4" w:space="0" w:color="auto"/>
              <w:right w:val="single" w:sz="4" w:space="0" w:color="auto"/>
            </w:tcBorders>
            <w:shd w:val="clear" w:color="000000" w:fill="D9D9D9"/>
            <w:vAlign w:val="center"/>
            <w:hideMark/>
          </w:tcPr>
          <w:p w14:paraId="5FEF241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41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3,948,840</w:t>
            </w:r>
          </w:p>
        </w:tc>
        <w:tc>
          <w:tcPr>
            <w:tcW w:w="306" w:type="dxa"/>
            <w:tcBorders>
              <w:top w:val="nil"/>
              <w:left w:val="nil"/>
              <w:bottom w:val="single" w:sz="4" w:space="0" w:color="auto"/>
              <w:right w:val="single" w:sz="4" w:space="0" w:color="auto"/>
            </w:tcBorders>
            <w:shd w:val="clear" w:color="000000" w:fill="D9D9D9"/>
            <w:vAlign w:val="center"/>
            <w:hideMark/>
          </w:tcPr>
          <w:p w14:paraId="5FEF241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3,948,840</w:t>
            </w:r>
          </w:p>
        </w:tc>
        <w:tc>
          <w:tcPr>
            <w:tcW w:w="245" w:type="dxa"/>
            <w:tcBorders>
              <w:top w:val="nil"/>
              <w:left w:val="nil"/>
              <w:bottom w:val="single" w:sz="4" w:space="0" w:color="auto"/>
              <w:right w:val="single" w:sz="4" w:space="0" w:color="auto"/>
            </w:tcBorders>
            <w:shd w:val="clear" w:color="000000" w:fill="D9D9D9"/>
            <w:vAlign w:val="center"/>
            <w:hideMark/>
          </w:tcPr>
          <w:p w14:paraId="5FEF241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41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3,948,840</w:t>
            </w:r>
          </w:p>
        </w:tc>
        <w:tc>
          <w:tcPr>
            <w:tcW w:w="306" w:type="dxa"/>
            <w:tcBorders>
              <w:top w:val="nil"/>
              <w:left w:val="nil"/>
              <w:bottom w:val="single" w:sz="4" w:space="0" w:color="auto"/>
              <w:right w:val="single" w:sz="4" w:space="0" w:color="auto"/>
            </w:tcBorders>
            <w:shd w:val="clear" w:color="000000" w:fill="D9D9D9"/>
            <w:vAlign w:val="center"/>
            <w:hideMark/>
          </w:tcPr>
          <w:p w14:paraId="5FEF241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11,896,520</w:t>
            </w:r>
          </w:p>
        </w:tc>
        <w:tc>
          <w:tcPr>
            <w:tcW w:w="275" w:type="dxa"/>
            <w:tcBorders>
              <w:top w:val="nil"/>
              <w:left w:val="nil"/>
              <w:bottom w:val="single" w:sz="4" w:space="0" w:color="auto"/>
              <w:right w:val="single" w:sz="4" w:space="0" w:color="auto"/>
            </w:tcBorders>
            <w:shd w:val="clear" w:color="000000" w:fill="D9D9D9"/>
            <w:vAlign w:val="center"/>
            <w:hideMark/>
          </w:tcPr>
          <w:p w14:paraId="5FEF241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500,000</w:t>
            </w:r>
          </w:p>
        </w:tc>
        <w:tc>
          <w:tcPr>
            <w:tcW w:w="306" w:type="dxa"/>
            <w:tcBorders>
              <w:top w:val="nil"/>
              <w:left w:val="nil"/>
              <w:bottom w:val="single" w:sz="4" w:space="0" w:color="auto"/>
              <w:right w:val="single" w:sz="4" w:space="0" w:color="auto"/>
            </w:tcBorders>
            <w:shd w:val="clear" w:color="000000" w:fill="D9D9D9"/>
            <w:vAlign w:val="center"/>
            <w:hideMark/>
          </w:tcPr>
          <w:p w14:paraId="5FEF241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12,396,520</w:t>
            </w:r>
          </w:p>
        </w:tc>
        <w:tc>
          <w:tcPr>
            <w:tcW w:w="306" w:type="dxa"/>
            <w:tcBorders>
              <w:top w:val="nil"/>
              <w:left w:val="nil"/>
              <w:bottom w:val="single" w:sz="4" w:space="0" w:color="auto"/>
              <w:right w:val="single" w:sz="4" w:space="0" w:color="auto"/>
            </w:tcBorders>
            <w:shd w:val="clear" w:color="000000" w:fill="D9D9D9"/>
            <w:vAlign w:val="center"/>
            <w:hideMark/>
          </w:tcPr>
          <w:p w14:paraId="5FEF241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11,213,227</w:t>
            </w:r>
          </w:p>
        </w:tc>
        <w:tc>
          <w:tcPr>
            <w:tcW w:w="245" w:type="dxa"/>
            <w:tcBorders>
              <w:top w:val="nil"/>
              <w:left w:val="nil"/>
              <w:bottom w:val="single" w:sz="4" w:space="0" w:color="auto"/>
              <w:right w:val="single" w:sz="4" w:space="0" w:color="auto"/>
            </w:tcBorders>
            <w:shd w:val="clear" w:color="000000" w:fill="D9D9D9"/>
            <w:vAlign w:val="center"/>
            <w:hideMark/>
          </w:tcPr>
          <w:p w14:paraId="5FEF242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4" w:space="0" w:color="auto"/>
              <w:right w:val="single" w:sz="4" w:space="0" w:color="auto"/>
            </w:tcBorders>
            <w:shd w:val="clear" w:color="000000" w:fill="D9D9D9"/>
            <w:vAlign w:val="center"/>
            <w:hideMark/>
          </w:tcPr>
          <w:p w14:paraId="5FEF242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11,213,227</w:t>
            </w:r>
          </w:p>
        </w:tc>
        <w:tc>
          <w:tcPr>
            <w:tcW w:w="275" w:type="dxa"/>
            <w:tcBorders>
              <w:top w:val="nil"/>
              <w:left w:val="nil"/>
              <w:bottom w:val="single" w:sz="4" w:space="0" w:color="auto"/>
              <w:right w:val="single" w:sz="4" w:space="0" w:color="auto"/>
            </w:tcBorders>
            <w:shd w:val="clear" w:color="000000" w:fill="D9D9D9"/>
            <w:vAlign w:val="center"/>
            <w:hideMark/>
          </w:tcPr>
          <w:p w14:paraId="5FEF242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1,183,293</w:t>
            </w:r>
          </w:p>
        </w:tc>
        <w:tc>
          <w:tcPr>
            <w:tcW w:w="245" w:type="dxa"/>
            <w:tcBorders>
              <w:top w:val="nil"/>
              <w:left w:val="nil"/>
              <w:bottom w:val="single" w:sz="4" w:space="0" w:color="auto"/>
              <w:right w:val="single" w:sz="4" w:space="0" w:color="auto"/>
            </w:tcBorders>
            <w:shd w:val="clear" w:color="000000" w:fill="D9D9D9"/>
            <w:vAlign w:val="center"/>
            <w:hideMark/>
          </w:tcPr>
          <w:p w14:paraId="5FEF242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4" w:space="0" w:color="auto"/>
              <w:right w:val="single" w:sz="4" w:space="0" w:color="auto"/>
            </w:tcBorders>
            <w:shd w:val="clear" w:color="000000" w:fill="D9D9D9"/>
            <w:vAlign w:val="center"/>
            <w:hideMark/>
          </w:tcPr>
          <w:p w14:paraId="5FEF242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4" w:space="0" w:color="auto"/>
              <w:right w:val="single" w:sz="4" w:space="0" w:color="auto"/>
            </w:tcBorders>
            <w:shd w:val="clear" w:color="000000" w:fill="D9D9D9"/>
            <w:vAlign w:val="center"/>
            <w:hideMark/>
          </w:tcPr>
          <w:p w14:paraId="5FEF242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1,183,293</w:t>
            </w:r>
          </w:p>
        </w:tc>
        <w:tc>
          <w:tcPr>
            <w:tcW w:w="262" w:type="dxa"/>
            <w:tcBorders>
              <w:top w:val="nil"/>
              <w:left w:val="nil"/>
              <w:bottom w:val="single" w:sz="4" w:space="0" w:color="auto"/>
              <w:right w:val="single" w:sz="4" w:space="0" w:color="auto"/>
            </w:tcBorders>
            <w:shd w:val="clear" w:color="000000" w:fill="D9D9D9"/>
            <w:vAlign w:val="center"/>
            <w:hideMark/>
          </w:tcPr>
          <w:p w14:paraId="5FEF242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r w:rsidR="002117FE" w:rsidRPr="00795698" w14:paraId="5FEF2443" w14:textId="77777777" w:rsidTr="002117FE">
        <w:trPr>
          <w:trHeight w:val="180"/>
          <w:jc w:val="center"/>
        </w:trPr>
        <w:tc>
          <w:tcPr>
            <w:tcW w:w="182" w:type="dxa"/>
            <w:tcBorders>
              <w:top w:val="nil"/>
              <w:left w:val="single" w:sz="8" w:space="0" w:color="auto"/>
              <w:bottom w:val="single" w:sz="8" w:space="0" w:color="auto"/>
              <w:right w:val="single" w:sz="4" w:space="0" w:color="auto"/>
            </w:tcBorders>
            <w:shd w:val="clear" w:color="000000" w:fill="A9D08E"/>
            <w:noWrap/>
            <w:vAlign w:val="bottom"/>
            <w:hideMark/>
          </w:tcPr>
          <w:p w14:paraId="5FEF2428" w14:textId="77777777" w:rsidR="002117FE" w:rsidRPr="00795698" w:rsidRDefault="002117FE" w:rsidP="002117FE">
            <w:pPr>
              <w:jc w:val="center"/>
              <w:rPr>
                <w:rFonts w:ascii="Arial" w:hAnsi="Arial" w:cs="Arial"/>
                <w:b/>
                <w:bCs/>
                <w:color w:val="000000"/>
                <w:sz w:val="6"/>
                <w:szCs w:val="6"/>
                <w:lang w:eastAsia="sq-AL"/>
              </w:rPr>
            </w:pPr>
            <w:r w:rsidRPr="00795698">
              <w:rPr>
                <w:rFonts w:ascii="Arial" w:hAnsi="Arial" w:cs="Arial"/>
                <w:b/>
                <w:bCs/>
                <w:color w:val="000000"/>
                <w:sz w:val="6"/>
                <w:szCs w:val="6"/>
                <w:lang w:eastAsia="sq-AL"/>
              </w:rPr>
              <w:t> </w:t>
            </w:r>
          </w:p>
        </w:tc>
        <w:tc>
          <w:tcPr>
            <w:tcW w:w="1301" w:type="dxa"/>
            <w:tcBorders>
              <w:top w:val="nil"/>
              <w:left w:val="nil"/>
              <w:bottom w:val="single" w:sz="8" w:space="0" w:color="auto"/>
              <w:right w:val="single" w:sz="4" w:space="0" w:color="auto"/>
            </w:tcBorders>
            <w:shd w:val="clear" w:color="000000" w:fill="A9D08E"/>
            <w:noWrap/>
            <w:vAlign w:val="center"/>
            <w:hideMark/>
          </w:tcPr>
          <w:p w14:paraId="5FEF2429" w14:textId="77777777" w:rsidR="002117FE" w:rsidRPr="00795698" w:rsidRDefault="002117FE" w:rsidP="002117FE">
            <w:pPr>
              <w:rPr>
                <w:rFonts w:ascii="Arial" w:hAnsi="Arial" w:cs="Arial"/>
                <w:b/>
                <w:bCs/>
                <w:color w:val="FF0000"/>
                <w:sz w:val="6"/>
                <w:szCs w:val="6"/>
                <w:lang w:eastAsia="sq-AL"/>
              </w:rPr>
            </w:pPr>
            <w:r w:rsidRPr="00795698">
              <w:rPr>
                <w:rFonts w:ascii="Arial" w:hAnsi="Arial" w:cs="Arial"/>
                <w:b/>
                <w:bCs/>
                <w:color w:val="FF0000"/>
                <w:sz w:val="6"/>
                <w:szCs w:val="6"/>
                <w:lang w:eastAsia="sq-AL"/>
              </w:rPr>
              <w:t>Kosto Totale e Planit të Veprimit</w:t>
            </w:r>
          </w:p>
        </w:tc>
        <w:tc>
          <w:tcPr>
            <w:tcW w:w="498" w:type="dxa"/>
            <w:tcBorders>
              <w:top w:val="nil"/>
              <w:left w:val="nil"/>
              <w:bottom w:val="single" w:sz="8" w:space="0" w:color="auto"/>
              <w:right w:val="single" w:sz="4" w:space="0" w:color="auto"/>
            </w:tcBorders>
            <w:shd w:val="clear" w:color="000000" w:fill="A9D08E"/>
            <w:noWrap/>
            <w:vAlign w:val="center"/>
            <w:hideMark/>
          </w:tcPr>
          <w:p w14:paraId="5FEF242A"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498" w:type="dxa"/>
            <w:tcBorders>
              <w:top w:val="nil"/>
              <w:left w:val="nil"/>
              <w:bottom w:val="single" w:sz="8" w:space="0" w:color="auto"/>
              <w:right w:val="single" w:sz="4" w:space="0" w:color="auto"/>
            </w:tcBorders>
            <w:shd w:val="clear" w:color="000000" w:fill="A9D08E"/>
            <w:noWrap/>
            <w:vAlign w:val="center"/>
            <w:hideMark/>
          </w:tcPr>
          <w:p w14:paraId="5FEF242B"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578" w:type="dxa"/>
            <w:tcBorders>
              <w:top w:val="nil"/>
              <w:left w:val="nil"/>
              <w:bottom w:val="single" w:sz="8" w:space="0" w:color="auto"/>
              <w:right w:val="single" w:sz="4" w:space="0" w:color="auto"/>
            </w:tcBorders>
            <w:shd w:val="clear" w:color="000000" w:fill="A9D08E"/>
            <w:noWrap/>
            <w:vAlign w:val="bottom"/>
            <w:hideMark/>
          </w:tcPr>
          <w:p w14:paraId="5FEF242C"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07" w:type="dxa"/>
            <w:tcBorders>
              <w:top w:val="nil"/>
              <w:left w:val="nil"/>
              <w:bottom w:val="single" w:sz="8" w:space="0" w:color="auto"/>
              <w:right w:val="single" w:sz="4" w:space="0" w:color="auto"/>
            </w:tcBorders>
            <w:shd w:val="clear" w:color="000000" w:fill="A9D08E"/>
            <w:noWrap/>
            <w:vAlign w:val="bottom"/>
            <w:hideMark/>
          </w:tcPr>
          <w:p w14:paraId="5FEF242D"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260" w:type="dxa"/>
            <w:tcBorders>
              <w:top w:val="nil"/>
              <w:left w:val="nil"/>
              <w:bottom w:val="single" w:sz="8" w:space="0" w:color="auto"/>
              <w:right w:val="single" w:sz="4" w:space="0" w:color="auto"/>
            </w:tcBorders>
            <w:shd w:val="clear" w:color="000000" w:fill="A9D08E"/>
            <w:noWrap/>
            <w:vAlign w:val="bottom"/>
            <w:hideMark/>
          </w:tcPr>
          <w:p w14:paraId="5FEF242E" w14:textId="77777777" w:rsidR="002117FE" w:rsidRPr="00795698" w:rsidRDefault="002117FE" w:rsidP="002117FE">
            <w:pPr>
              <w:jc w:val="center"/>
              <w:rPr>
                <w:rFonts w:ascii="Arial" w:hAnsi="Arial" w:cs="Arial"/>
                <w:color w:val="000000"/>
                <w:sz w:val="6"/>
                <w:szCs w:val="6"/>
                <w:lang w:eastAsia="sq-AL"/>
              </w:rPr>
            </w:pPr>
            <w:r w:rsidRPr="00795698">
              <w:rPr>
                <w:rFonts w:ascii="Arial" w:hAnsi="Arial" w:cs="Arial"/>
                <w:color w:val="000000"/>
                <w:sz w:val="6"/>
                <w:szCs w:val="6"/>
                <w:lang w:eastAsia="sq-AL"/>
              </w:rPr>
              <w:t> </w:t>
            </w:r>
          </w:p>
        </w:tc>
        <w:tc>
          <w:tcPr>
            <w:tcW w:w="306" w:type="dxa"/>
            <w:tcBorders>
              <w:top w:val="nil"/>
              <w:left w:val="nil"/>
              <w:bottom w:val="single" w:sz="8" w:space="0" w:color="auto"/>
              <w:right w:val="single" w:sz="4" w:space="0" w:color="auto"/>
            </w:tcBorders>
            <w:shd w:val="clear" w:color="000000" w:fill="A9D08E"/>
            <w:noWrap/>
            <w:vAlign w:val="center"/>
            <w:hideMark/>
          </w:tcPr>
          <w:p w14:paraId="5FEF242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12,074,880</w:t>
            </w:r>
          </w:p>
        </w:tc>
        <w:tc>
          <w:tcPr>
            <w:tcW w:w="275" w:type="dxa"/>
            <w:tcBorders>
              <w:top w:val="nil"/>
              <w:left w:val="nil"/>
              <w:bottom w:val="single" w:sz="8" w:space="0" w:color="auto"/>
              <w:right w:val="single" w:sz="4" w:space="0" w:color="auto"/>
            </w:tcBorders>
            <w:shd w:val="clear" w:color="000000" w:fill="A9D08E"/>
            <w:noWrap/>
            <w:vAlign w:val="center"/>
            <w:hideMark/>
          </w:tcPr>
          <w:p w14:paraId="5FEF243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1,000,000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13,074,880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11,967,960</w:t>
            </w:r>
          </w:p>
        </w:tc>
        <w:tc>
          <w:tcPr>
            <w:tcW w:w="245" w:type="dxa"/>
            <w:tcBorders>
              <w:top w:val="nil"/>
              <w:left w:val="nil"/>
              <w:bottom w:val="single" w:sz="8" w:space="0" w:color="auto"/>
              <w:right w:val="single" w:sz="4" w:space="0" w:color="auto"/>
            </w:tcBorders>
            <w:shd w:val="clear" w:color="000000" w:fill="A9D08E"/>
            <w:noWrap/>
            <w:vAlign w:val="center"/>
            <w:hideMark/>
          </w:tcPr>
          <w:p w14:paraId="5FEF2433"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4"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11,967,960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5"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11,967,960</w:t>
            </w:r>
          </w:p>
        </w:tc>
        <w:tc>
          <w:tcPr>
            <w:tcW w:w="245" w:type="dxa"/>
            <w:tcBorders>
              <w:top w:val="nil"/>
              <w:left w:val="nil"/>
              <w:bottom w:val="single" w:sz="8" w:space="0" w:color="auto"/>
              <w:right w:val="single" w:sz="4" w:space="0" w:color="auto"/>
            </w:tcBorders>
            <w:shd w:val="clear" w:color="000000" w:fill="A9D08E"/>
            <w:noWrap/>
            <w:vAlign w:val="center"/>
            <w:hideMark/>
          </w:tcPr>
          <w:p w14:paraId="5FEF2436"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7"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11,967,960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8"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36,010,800</w:t>
            </w:r>
          </w:p>
        </w:tc>
        <w:tc>
          <w:tcPr>
            <w:tcW w:w="275" w:type="dxa"/>
            <w:tcBorders>
              <w:top w:val="nil"/>
              <w:left w:val="nil"/>
              <w:bottom w:val="single" w:sz="8" w:space="0" w:color="auto"/>
              <w:right w:val="single" w:sz="4" w:space="0" w:color="auto"/>
            </w:tcBorders>
            <w:shd w:val="clear" w:color="000000" w:fill="A9D08E"/>
            <w:noWrap/>
            <w:vAlign w:val="center"/>
            <w:hideMark/>
          </w:tcPr>
          <w:p w14:paraId="5FEF2439"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1,000,000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A"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37,010,800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B"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34,083,487</w:t>
            </w:r>
          </w:p>
        </w:tc>
        <w:tc>
          <w:tcPr>
            <w:tcW w:w="245" w:type="dxa"/>
            <w:tcBorders>
              <w:top w:val="nil"/>
              <w:left w:val="nil"/>
              <w:bottom w:val="single" w:sz="8" w:space="0" w:color="auto"/>
              <w:right w:val="single" w:sz="4" w:space="0" w:color="auto"/>
            </w:tcBorders>
            <w:shd w:val="clear" w:color="000000" w:fill="A9D08E"/>
            <w:noWrap/>
            <w:vAlign w:val="center"/>
            <w:hideMark/>
          </w:tcPr>
          <w:p w14:paraId="5FEF243C"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306" w:type="dxa"/>
            <w:tcBorders>
              <w:top w:val="nil"/>
              <w:left w:val="nil"/>
              <w:bottom w:val="single" w:sz="8" w:space="0" w:color="auto"/>
              <w:right w:val="single" w:sz="4" w:space="0" w:color="auto"/>
            </w:tcBorders>
            <w:shd w:val="clear" w:color="000000" w:fill="A9D08E"/>
            <w:noWrap/>
            <w:vAlign w:val="center"/>
            <w:hideMark/>
          </w:tcPr>
          <w:p w14:paraId="5FEF243D"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34,083,487</w:t>
            </w:r>
          </w:p>
        </w:tc>
        <w:tc>
          <w:tcPr>
            <w:tcW w:w="275" w:type="dxa"/>
            <w:tcBorders>
              <w:top w:val="nil"/>
              <w:left w:val="nil"/>
              <w:bottom w:val="single" w:sz="8" w:space="0" w:color="auto"/>
              <w:right w:val="single" w:sz="4" w:space="0" w:color="auto"/>
            </w:tcBorders>
            <w:shd w:val="clear" w:color="000000" w:fill="A9D08E"/>
            <w:noWrap/>
            <w:vAlign w:val="center"/>
            <w:hideMark/>
          </w:tcPr>
          <w:p w14:paraId="5FEF243E"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2,927,313</w:t>
            </w:r>
          </w:p>
        </w:tc>
        <w:tc>
          <w:tcPr>
            <w:tcW w:w="245" w:type="dxa"/>
            <w:tcBorders>
              <w:top w:val="nil"/>
              <w:left w:val="nil"/>
              <w:bottom w:val="single" w:sz="8" w:space="0" w:color="auto"/>
              <w:right w:val="single" w:sz="4" w:space="0" w:color="auto"/>
            </w:tcBorders>
            <w:shd w:val="clear" w:color="000000" w:fill="A9D08E"/>
            <w:noWrap/>
            <w:vAlign w:val="center"/>
            <w:hideMark/>
          </w:tcPr>
          <w:p w14:paraId="5FEF243F"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c>
          <w:tcPr>
            <w:tcW w:w="464" w:type="dxa"/>
            <w:tcBorders>
              <w:top w:val="nil"/>
              <w:left w:val="nil"/>
              <w:bottom w:val="single" w:sz="8" w:space="0" w:color="auto"/>
              <w:right w:val="single" w:sz="4" w:space="0" w:color="auto"/>
            </w:tcBorders>
            <w:shd w:val="clear" w:color="000000" w:fill="A9D08E"/>
            <w:noWrap/>
            <w:vAlign w:val="center"/>
            <w:hideMark/>
          </w:tcPr>
          <w:p w14:paraId="5FEF2440"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 </w:t>
            </w:r>
          </w:p>
        </w:tc>
        <w:tc>
          <w:tcPr>
            <w:tcW w:w="275" w:type="dxa"/>
            <w:tcBorders>
              <w:top w:val="nil"/>
              <w:left w:val="nil"/>
              <w:bottom w:val="single" w:sz="8" w:space="0" w:color="auto"/>
              <w:right w:val="single" w:sz="4" w:space="0" w:color="auto"/>
            </w:tcBorders>
            <w:shd w:val="clear" w:color="000000" w:fill="A9D08E"/>
            <w:noWrap/>
            <w:vAlign w:val="center"/>
            <w:hideMark/>
          </w:tcPr>
          <w:p w14:paraId="5FEF2441"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2,927,313</w:t>
            </w:r>
          </w:p>
        </w:tc>
        <w:tc>
          <w:tcPr>
            <w:tcW w:w="262" w:type="dxa"/>
            <w:tcBorders>
              <w:top w:val="nil"/>
              <w:left w:val="nil"/>
              <w:bottom w:val="single" w:sz="8" w:space="0" w:color="auto"/>
              <w:right w:val="single" w:sz="4" w:space="0" w:color="auto"/>
            </w:tcBorders>
            <w:shd w:val="clear" w:color="000000" w:fill="A9D08E"/>
            <w:noWrap/>
            <w:vAlign w:val="center"/>
            <w:hideMark/>
          </w:tcPr>
          <w:p w14:paraId="5FEF2442" w14:textId="77777777" w:rsidR="002117FE" w:rsidRPr="00795698" w:rsidRDefault="002117FE" w:rsidP="002117FE">
            <w:pPr>
              <w:jc w:val="center"/>
              <w:rPr>
                <w:rFonts w:ascii="Arial" w:hAnsi="Arial" w:cs="Arial"/>
                <w:b/>
                <w:bCs/>
                <w:color w:val="FF0000"/>
                <w:sz w:val="6"/>
                <w:szCs w:val="6"/>
                <w:lang w:eastAsia="sq-AL"/>
              </w:rPr>
            </w:pPr>
            <w:r w:rsidRPr="00795698">
              <w:rPr>
                <w:rFonts w:ascii="Arial" w:hAnsi="Arial" w:cs="Arial"/>
                <w:b/>
                <w:bCs/>
                <w:color w:val="FF0000"/>
                <w:sz w:val="6"/>
                <w:szCs w:val="6"/>
                <w:lang w:eastAsia="sq-AL"/>
              </w:rPr>
              <w:t>0</w:t>
            </w:r>
          </w:p>
        </w:tc>
      </w:tr>
    </w:tbl>
    <w:p w14:paraId="5FEF2444" w14:textId="77777777" w:rsidR="00E754C5" w:rsidRPr="00795698" w:rsidRDefault="00E754C5" w:rsidP="00BC53EF">
      <w:pPr>
        <w:pStyle w:val="TEKSTIIIII"/>
        <w:jc w:val="center"/>
        <w:rPr>
          <w:i/>
          <w:sz w:val="18"/>
          <w:lang w:val="sq-AL"/>
        </w:rPr>
      </w:pPr>
    </w:p>
    <w:p w14:paraId="5FEF2445" w14:textId="77777777" w:rsidR="00E754C5" w:rsidRPr="00795698" w:rsidRDefault="00E754C5" w:rsidP="00BC53EF">
      <w:pPr>
        <w:pStyle w:val="TEKSTIIIII"/>
        <w:jc w:val="center"/>
        <w:rPr>
          <w:i/>
          <w:sz w:val="18"/>
          <w:lang w:val="sq-AL"/>
        </w:rPr>
      </w:pPr>
    </w:p>
    <w:p w14:paraId="5FEF2446" w14:textId="77777777" w:rsidR="00CE0ACC" w:rsidRPr="00795698" w:rsidRDefault="00CE0ACC" w:rsidP="00BC53EF">
      <w:pPr>
        <w:pStyle w:val="TEKSTIIIII"/>
        <w:jc w:val="center"/>
        <w:rPr>
          <w:i/>
          <w:sz w:val="18"/>
          <w:lang w:val="sq-AL"/>
        </w:rPr>
      </w:pPr>
    </w:p>
    <w:p w14:paraId="5FEF2447" w14:textId="77777777" w:rsidR="00CE0ACC" w:rsidRPr="00795698" w:rsidRDefault="00CE0ACC" w:rsidP="00BC53EF">
      <w:pPr>
        <w:pStyle w:val="TEKSTIIIII"/>
        <w:jc w:val="center"/>
        <w:rPr>
          <w:i/>
          <w:sz w:val="18"/>
          <w:lang w:val="sq-AL"/>
        </w:rPr>
      </w:pPr>
    </w:p>
    <w:p w14:paraId="5FEF2448" w14:textId="77777777" w:rsidR="00CE0ACC" w:rsidRPr="00795698" w:rsidRDefault="00CE0ACC" w:rsidP="00BC53EF">
      <w:pPr>
        <w:pStyle w:val="TEKSTIIIII"/>
        <w:jc w:val="center"/>
        <w:rPr>
          <w:i/>
          <w:sz w:val="18"/>
          <w:lang w:val="sq-AL"/>
        </w:rPr>
      </w:pPr>
    </w:p>
    <w:p w14:paraId="5FEF2449" w14:textId="77777777" w:rsidR="00CE0ACC" w:rsidRPr="00795698" w:rsidRDefault="00CE0ACC" w:rsidP="00BC53EF">
      <w:pPr>
        <w:pStyle w:val="TEKSTIIIII"/>
        <w:jc w:val="center"/>
        <w:rPr>
          <w:i/>
          <w:sz w:val="18"/>
          <w:lang w:val="sq-AL"/>
        </w:rPr>
      </w:pPr>
    </w:p>
    <w:p w14:paraId="5FEF244A" w14:textId="77777777" w:rsidR="00CE0ACC" w:rsidRPr="00795698" w:rsidRDefault="00CE0ACC" w:rsidP="00BC53EF">
      <w:pPr>
        <w:pStyle w:val="TEKSTIIIII"/>
        <w:jc w:val="center"/>
        <w:rPr>
          <w:i/>
          <w:sz w:val="18"/>
          <w:lang w:val="sq-AL"/>
        </w:rPr>
      </w:pPr>
    </w:p>
    <w:p w14:paraId="5FEF244B" w14:textId="77777777" w:rsidR="00CE0ACC" w:rsidRPr="00795698" w:rsidRDefault="00CE0ACC" w:rsidP="00BC53EF">
      <w:pPr>
        <w:pStyle w:val="TEKSTIIIII"/>
        <w:jc w:val="center"/>
        <w:rPr>
          <w:i/>
          <w:sz w:val="18"/>
          <w:lang w:val="sq-AL"/>
        </w:rPr>
      </w:pPr>
    </w:p>
    <w:p w14:paraId="5FEF244C" w14:textId="77777777" w:rsidR="00CE0ACC" w:rsidRPr="00795698" w:rsidRDefault="00CE0ACC" w:rsidP="00BC53EF">
      <w:pPr>
        <w:pStyle w:val="TEKSTIIIII"/>
        <w:jc w:val="center"/>
        <w:rPr>
          <w:i/>
          <w:sz w:val="18"/>
          <w:lang w:val="sq-AL"/>
        </w:rPr>
      </w:pPr>
    </w:p>
    <w:p w14:paraId="5FEF244D" w14:textId="77777777" w:rsidR="00CE0ACC" w:rsidRPr="00795698" w:rsidRDefault="00CE0ACC" w:rsidP="00BC53EF">
      <w:pPr>
        <w:pStyle w:val="TEKSTIIIII"/>
        <w:jc w:val="center"/>
        <w:rPr>
          <w:i/>
          <w:sz w:val="18"/>
          <w:lang w:val="sq-AL"/>
        </w:rPr>
      </w:pPr>
    </w:p>
    <w:p w14:paraId="5FEF244E" w14:textId="77777777" w:rsidR="00CE0ACC" w:rsidRPr="00795698" w:rsidRDefault="00CE0ACC" w:rsidP="00BC53EF">
      <w:pPr>
        <w:pStyle w:val="TEKSTIIIII"/>
        <w:jc w:val="center"/>
        <w:rPr>
          <w:i/>
          <w:sz w:val="18"/>
          <w:lang w:val="sq-AL"/>
        </w:rPr>
      </w:pPr>
    </w:p>
    <w:p w14:paraId="5FEF244F" w14:textId="77777777" w:rsidR="00CE0ACC" w:rsidRPr="00795698" w:rsidRDefault="00CE0ACC" w:rsidP="00BC53EF">
      <w:pPr>
        <w:pStyle w:val="TEKSTIIIII"/>
        <w:jc w:val="center"/>
        <w:rPr>
          <w:i/>
          <w:sz w:val="18"/>
          <w:lang w:val="sq-AL"/>
        </w:rPr>
      </w:pPr>
    </w:p>
    <w:tbl>
      <w:tblPr>
        <w:tblW w:w="13158" w:type="dxa"/>
        <w:jc w:val="center"/>
        <w:tblLook w:val="04A0" w:firstRow="1" w:lastRow="0" w:firstColumn="1" w:lastColumn="0" w:noHBand="0" w:noVBand="1"/>
      </w:tblPr>
      <w:tblGrid>
        <w:gridCol w:w="1227"/>
        <w:gridCol w:w="736"/>
        <w:gridCol w:w="736"/>
        <w:gridCol w:w="502"/>
        <w:gridCol w:w="2462"/>
        <w:gridCol w:w="702"/>
        <w:gridCol w:w="702"/>
        <w:gridCol w:w="702"/>
        <w:gridCol w:w="702"/>
        <w:gridCol w:w="702"/>
        <w:gridCol w:w="702"/>
        <w:gridCol w:w="702"/>
        <w:gridCol w:w="595"/>
        <w:gridCol w:w="702"/>
        <w:gridCol w:w="627"/>
        <w:gridCol w:w="675"/>
      </w:tblGrid>
      <w:tr w:rsidR="00CE0ACC" w:rsidRPr="00795698" w14:paraId="5FEF2451" w14:textId="77777777" w:rsidTr="00CE0ACC">
        <w:trPr>
          <w:trHeight w:val="180"/>
          <w:jc w:val="center"/>
        </w:trPr>
        <w:tc>
          <w:tcPr>
            <w:tcW w:w="13158"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2450" w14:textId="77777777" w:rsidR="00CE0ACC" w:rsidRPr="00795698" w:rsidRDefault="00CE0ACC" w:rsidP="00CE0ACC">
            <w:pPr>
              <w:rPr>
                <w:rFonts w:ascii="Arial" w:hAnsi="Arial" w:cs="Arial"/>
                <w:b/>
                <w:bCs/>
                <w:color w:val="0070C0"/>
                <w:sz w:val="10"/>
                <w:szCs w:val="10"/>
                <w:lang w:eastAsia="sq-AL"/>
              </w:rPr>
            </w:pPr>
            <w:r w:rsidRPr="00795698">
              <w:rPr>
                <w:rFonts w:ascii="Arial" w:hAnsi="Arial" w:cs="Arial"/>
                <w:b/>
                <w:bCs/>
                <w:color w:val="0070C0"/>
                <w:sz w:val="10"/>
                <w:szCs w:val="10"/>
                <w:lang w:eastAsia="sq-AL"/>
              </w:rPr>
              <w:t>Qëllimi i Politikës I: MBAJTJA E KËRCËNIMIT TERRORIST NË NIVEL “TË ULËT”</w:t>
            </w:r>
          </w:p>
        </w:tc>
      </w:tr>
      <w:tr w:rsidR="00CE0ACC" w:rsidRPr="00795698" w14:paraId="5FEF2459" w14:textId="77777777" w:rsidTr="00CE0ACC">
        <w:trPr>
          <w:trHeight w:val="180"/>
          <w:jc w:val="center"/>
        </w:trPr>
        <w:tc>
          <w:tcPr>
            <w:tcW w:w="1210"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2452"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Objektivat Specifik </w:t>
            </w:r>
          </w:p>
        </w:tc>
        <w:tc>
          <w:tcPr>
            <w:tcW w:w="1453" w:type="dxa"/>
            <w:gridSpan w:val="2"/>
            <w:tcBorders>
              <w:top w:val="single" w:sz="8" w:space="0" w:color="auto"/>
              <w:left w:val="nil"/>
              <w:bottom w:val="single" w:sz="8" w:space="0" w:color="auto"/>
              <w:right w:val="single" w:sz="8" w:space="0" w:color="000000"/>
            </w:tcBorders>
            <w:shd w:val="clear" w:color="auto" w:fill="auto"/>
            <w:vAlign w:val="center"/>
            <w:hideMark/>
          </w:tcPr>
          <w:p w14:paraId="5FEF245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Institucionet përgjegjegjëse</w:t>
            </w:r>
          </w:p>
        </w:tc>
        <w:tc>
          <w:tcPr>
            <w:tcW w:w="3027" w:type="dxa"/>
            <w:gridSpan w:val="2"/>
            <w:tcBorders>
              <w:top w:val="single" w:sz="8" w:space="0" w:color="auto"/>
              <w:left w:val="nil"/>
              <w:bottom w:val="single" w:sz="8" w:space="0" w:color="auto"/>
              <w:right w:val="single" w:sz="8" w:space="0" w:color="000000"/>
            </w:tcBorders>
            <w:shd w:val="clear" w:color="auto" w:fill="auto"/>
            <w:vAlign w:val="center"/>
            <w:hideMark/>
          </w:tcPr>
          <w:p w14:paraId="5FEF245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Afati i Zbatimit </w:t>
            </w:r>
          </w:p>
        </w:tc>
        <w:tc>
          <w:tcPr>
            <w:tcW w:w="208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245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Kosto indikative totale</w:t>
            </w:r>
          </w:p>
        </w:tc>
        <w:tc>
          <w:tcPr>
            <w:tcW w:w="4090" w:type="dxa"/>
            <w:gridSpan w:val="6"/>
            <w:tcBorders>
              <w:top w:val="single" w:sz="8" w:space="0" w:color="auto"/>
              <w:left w:val="nil"/>
              <w:bottom w:val="single" w:sz="8" w:space="0" w:color="auto"/>
              <w:right w:val="single" w:sz="8" w:space="0" w:color="000000"/>
            </w:tcBorders>
            <w:shd w:val="clear" w:color="auto" w:fill="auto"/>
            <w:vAlign w:val="center"/>
            <w:hideMark/>
          </w:tcPr>
          <w:p w14:paraId="5FEF245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w:t>
            </w:r>
          </w:p>
        </w:tc>
        <w:tc>
          <w:tcPr>
            <w:tcW w:w="62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57" w14:textId="35F093B6"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Hendeku financiar</w:t>
            </w:r>
            <w:r w:rsidRPr="00795698">
              <w:rPr>
                <w:rFonts w:ascii="Arial" w:hAnsi="Arial" w:cs="Arial"/>
                <w:b/>
                <w:bCs/>
                <w:color w:val="000000"/>
                <w:sz w:val="10"/>
                <w:szCs w:val="10"/>
                <w:lang w:eastAsia="sq-AL"/>
              </w:rPr>
              <w:br/>
            </w:r>
            <w:r w:rsidR="007C064A" w:rsidRPr="00795698">
              <w:rPr>
                <w:rFonts w:ascii="Arial" w:hAnsi="Arial" w:cs="Arial"/>
                <w:b/>
                <w:bCs/>
                <w:color w:val="000000"/>
                <w:sz w:val="10"/>
                <w:szCs w:val="10"/>
                <w:lang w:eastAsia="sq-AL"/>
              </w:rPr>
              <w:t>2021–2025</w:t>
            </w:r>
            <w:r w:rsidRPr="00795698">
              <w:rPr>
                <w:rFonts w:ascii="Arial" w:hAnsi="Arial" w:cs="Arial"/>
                <w:b/>
                <w:bCs/>
                <w:color w:val="000000"/>
                <w:sz w:val="10"/>
                <w:szCs w:val="10"/>
                <w:lang w:eastAsia="sq-AL"/>
              </w:rPr>
              <w:br/>
              <w:t xml:space="preserve">(në </w:t>
            </w:r>
            <w:r w:rsidRPr="00795698">
              <w:rPr>
                <w:rFonts w:ascii="Arial" w:hAnsi="Arial" w:cs="Arial"/>
                <w:b/>
                <w:bCs/>
                <w:color w:val="000000"/>
                <w:sz w:val="10"/>
                <w:szCs w:val="10"/>
                <w:lang w:eastAsia="sq-AL"/>
              </w:rPr>
              <w:lastRenderedPageBreak/>
              <w:t>Lekë)</w:t>
            </w:r>
          </w:p>
        </w:tc>
        <w:tc>
          <w:tcPr>
            <w:tcW w:w="66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2458" w14:textId="4A01842D"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lastRenderedPageBreak/>
              <w:t xml:space="preserve">Kosto </w:t>
            </w:r>
            <w:r w:rsidR="00CA234B" w:rsidRPr="00795698">
              <w:rPr>
                <w:rFonts w:ascii="Arial" w:hAnsi="Arial" w:cs="Arial"/>
                <w:b/>
                <w:bCs/>
                <w:color w:val="000000"/>
                <w:sz w:val="10"/>
                <w:szCs w:val="10"/>
                <w:lang w:eastAsia="sq-AL"/>
              </w:rPr>
              <w:t>totale në EUR</w:t>
            </w:r>
            <w:r w:rsidRPr="00795698">
              <w:rPr>
                <w:rFonts w:ascii="Arial" w:hAnsi="Arial" w:cs="Arial"/>
                <w:b/>
                <w:bCs/>
                <w:color w:val="000000"/>
                <w:sz w:val="10"/>
                <w:szCs w:val="10"/>
                <w:lang w:eastAsia="sq-AL"/>
              </w:rPr>
              <w:br/>
              <w:t>(</w:t>
            </w:r>
            <w:r w:rsidR="00CA234B" w:rsidRPr="00795698">
              <w:rPr>
                <w:rFonts w:ascii="Arial" w:hAnsi="Arial" w:cs="Arial"/>
                <w:b/>
                <w:bCs/>
                <w:color w:val="000000"/>
                <w:sz w:val="10"/>
                <w:szCs w:val="10"/>
                <w:lang w:eastAsia="sq-AL"/>
              </w:rPr>
              <w:t>kursi i këmbimit:</w:t>
            </w:r>
            <w:r w:rsidRPr="00795698">
              <w:rPr>
                <w:rFonts w:ascii="Arial" w:hAnsi="Arial" w:cs="Arial"/>
                <w:b/>
                <w:bCs/>
                <w:color w:val="000000"/>
                <w:sz w:val="10"/>
                <w:szCs w:val="10"/>
                <w:lang w:eastAsia="sq-AL"/>
              </w:rPr>
              <w:t xml:space="preserve"> 1 EUR = 123ALL)</w:t>
            </w:r>
          </w:p>
        </w:tc>
      </w:tr>
      <w:tr w:rsidR="00CE0ACC" w:rsidRPr="00795698" w14:paraId="5FEF2464" w14:textId="77777777" w:rsidTr="00CE0ACC">
        <w:trPr>
          <w:trHeight w:val="180"/>
          <w:jc w:val="center"/>
        </w:trPr>
        <w:tc>
          <w:tcPr>
            <w:tcW w:w="1210" w:type="dxa"/>
            <w:vMerge/>
            <w:tcBorders>
              <w:top w:val="nil"/>
              <w:left w:val="single" w:sz="8" w:space="0" w:color="auto"/>
              <w:bottom w:val="single" w:sz="4" w:space="0" w:color="000000"/>
              <w:right w:val="single" w:sz="8" w:space="0" w:color="auto"/>
            </w:tcBorders>
            <w:vAlign w:val="center"/>
            <w:hideMark/>
          </w:tcPr>
          <w:p w14:paraId="5FEF245A" w14:textId="77777777" w:rsidR="00CE0ACC" w:rsidRPr="00795698" w:rsidRDefault="00CE0ACC" w:rsidP="00CE0ACC">
            <w:pPr>
              <w:rPr>
                <w:rFonts w:ascii="Arial" w:hAnsi="Arial" w:cs="Arial"/>
                <w:b/>
                <w:bCs/>
                <w:color w:val="000000"/>
                <w:sz w:val="10"/>
                <w:szCs w:val="10"/>
                <w:lang w:eastAsia="sq-AL"/>
              </w:rPr>
            </w:pPr>
          </w:p>
        </w:tc>
        <w:tc>
          <w:tcPr>
            <w:tcW w:w="726"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5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Institucioni përgjegjës</w:t>
            </w:r>
          </w:p>
        </w:tc>
        <w:tc>
          <w:tcPr>
            <w:tcW w:w="7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5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Institucioni kontribues</w:t>
            </w:r>
          </w:p>
        </w:tc>
        <w:tc>
          <w:tcPr>
            <w:tcW w:w="498"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5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Afati i fillimit</w:t>
            </w:r>
          </w:p>
        </w:tc>
        <w:tc>
          <w:tcPr>
            <w:tcW w:w="2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5E" w14:textId="02F03C7B"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Afati</w:t>
            </w:r>
            <w:r w:rsidR="007C064A" w:rsidRPr="00795698">
              <w:rPr>
                <w:rFonts w:ascii="Arial" w:hAnsi="Arial" w:cs="Arial"/>
                <w:b/>
                <w:bCs/>
                <w:color w:val="000000"/>
                <w:sz w:val="10"/>
                <w:szCs w:val="10"/>
                <w:lang w:eastAsia="sq-AL"/>
              </w:rPr>
              <w:t xml:space="preserve"> </w:t>
            </w:r>
            <w:r w:rsidRPr="00795698">
              <w:rPr>
                <w:rFonts w:ascii="Arial" w:hAnsi="Arial" w:cs="Arial"/>
                <w:b/>
                <w:bCs/>
                <w:color w:val="000000"/>
                <w:sz w:val="10"/>
                <w:szCs w:val="10"/>
                <w:lang w:eastAsia="sq-AL"/>
              </w:rPr>
              <w:t>i mbarimit</w:t>
            </w:r>
          </w:p>
        </w:tc>
        <w:tc>
          <w:tcPr>
            <w:tcW w:w="2088" w:type="dxa"/>
            <w:gridSpan w:val="3"/>
            <w:vMerge/>
            <w:tcBorders>
              <w:top w:val="nil"/>
              <w:left w:val="single" w:sz="8" w:space="0" w:color="auto"/>
              <w:bottom w:val="single" w:sz="8" w:space="0" w:color="000000"/>
              <w:right w:val="single" w:sz="8" w:space="0" w:color="auto"/>
            </w:tcBorders>
            <w:vAlign w:val="center"/>
            <w:hideMark/>
          </w:tcPr>
          <w:p w14:paraId="5FEF245F" w14:textId="77777777" w:rsidR="00CE0ACC" w:rsidRPr="00795698" w:rsidRDefault="00CE0ACC" w:rsidP="00CE0ACC">
            <w:pPr>
              <w:rPr>
                <w:rFonts w:ascii="Arial" w:hAnsi="Arial" w:cs="Arial"/>
                <w:b/>
                <w:bCs/>
                <w:color w:val="000000"/>
                <w:sz w:val="10"/>
                <w:szCs w:val="10"/>
                <w:lang w:eastAsia="sq-AL"/>
              </w:rPr>
            </w:pPr>
          </w:p>
        </w:tc>
        <w:tc>
          <w:tcPr>
            <w:tcW w:w="2088" w:type="dxa"/>
            <w:gridSpan w:val="3"/>
            <w:tcBorders>
              <w:top w:val="single" w:sz="8" w:space="0" w:color="auto"/>
              <w:left w:val="nil"/>
              <w:bottom w:val="single" w:sz="8" w:space="0" w:color="auto"/>
              <w:right w:val="single" w:sz="8" w:space="0" w:color="000000"/>
            </w:tcBorders>
            <w:shd w:val="clear" w:color="auto" w:fill="auto"/>
            <w:vAlign w:val="center"/>
            <w:hideMark/>
          </w:tcPr>
          <w:p w14:paraId="5FEF2460" w14:textId="3FD34936"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PBA </w:t>
            </w:r>
            <w:r w:rsidR="006249E3" w:rsidRPr="00795698">
              <w:rPr>
                <w:rFonts w:ascii="Arial" w:hAnsi="Arial" w:cs="Arial"/>
                <w:b/>
                <w:bCs/>
                <w:color w:val="000000"/>
                <w:sz w:val="10"/>
                <w:szCs w:val="10"/>
                <w:lang w:eastAsia="sq-AL"/>
              </w:rPr>
              <w:t>2023–2025</w:t>
            </w:r>
          </w:p>
        </w:tc>
        <w:tc>
          <w:tcPr>
            <w:tcW w:w="2002" w:type="dxa"/>
            <w:gridSpan w:val="3"/>
            <w:tcBorders>
              <w:top w:val="single" w:sz="8" w:space="0" w:color="auto"/>
              <w:left w:val="nil"/>
              <w:bottom w:val="single" w:sz="8" w:space="0" w:color="auto"/>
              <w:right w:val="single" w:sz="8" w:space="0" w:color="000000"/>
            </w:tcBorders>
            <w:shd w:val="clear" w:color="auto" w:fill="auto"/>
            <w:vAlign w:val="center"/>
            <w:hideMark/>
          </w:tcPr>
          <w:p w14:paraId="5FEF2461"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Financim i huaj</w:t>
            </w:r>
          </w:p>
        </w:tc>
        <w:tc>
          <w:tcPr>
            <w:tcW w:w="621" w:type="dxa"/>
            <w:vMerge/>
            <w:tcBorders>
              <w:top w:val="nil"/>
              <w:left w:val="single" w:sz="8" w:space="0" w:color="auto"/>
              <w:bottom w:val="single" w:sz="8" w:space="0" w:color="000000"/>
              <w:right w:val="single" w:sz="8" w:space="0" w:color="auto"/>
            </w:tcBorders>
            <w:vAlign w:val="center"/>
            <w:hideMark/>
          </w:tcPr>
          <w:p w14:paraId="5FEF2462" w14:textId="77777777" w:rsidR="00CE0ACC" w:rsidRPr="00795698" w:rsidRDefault="00CE0ACC" w:rsidP="00CE0ACC">
            <w:pPr>
              <w:rPr>
                <w:rFonts w:ascii="Arial" w:hAnsi="Arial" w:cs="Arial"/>
                <w:b/>
                <w:bCs/>
                <w:color w:val="000000"/>
                <w:sz w:val="10"/>
                <w:szCs w:val="10"/>
                <w:lang w:eastAsia="sq-AL"/>
              </w:rPr>
            </w:pPr>
          </w:p>
        </w:tc>
        <w:tc>
          <w:tcPr>
            <w:tcW w:w="669" w:type="dxa"/>
            <w:vMerge/>
            <w:tcBorders>
              <w:top w:val="nil"/>
              <w:left w:val="single" w:sz="8" w:space="0" w:color="auto"/>
              <w:bottom w:val="single" w:sz="4" w:space="0" w:color="000000"/>
              <w:right w:val="single" w:sz="8" w:space="0" w:color="auto"/>
            </w:tcBorders>
            <w:vAlign w:val="center"/>
            <w:hideMark/>
          </w:tcPr>
          <w:p w14:paraId="5FEF2463" w14:textId="77777777" w:rsidR="00CE0ACC" w:rsidRPr="00795698" w:rsidRDefault="00CE0ACC" w:rsidP="00CE0ACC">
            <w:pPr>
              <w:rPr>
                <w:rFonts w:ascii="Arial" w:hAnsi="Arial" w:cs="Arial"/>
                <w:b/>
                <w:bCs/>
                <w:color w:val="000000"/>
                <w:sz w:val="10"/>
                <w:szCs w:val="10"/>
                <w:lang w:eastAsia="sq-AL"/>
              </w:rPr>
            </w:pPr>
          </w:p>
        </w:tc>
      </w:tr>
      <w:tr w:rsidR="00CE0ACC" w:rsidRPr="00795698" w14:paraId="5FEF2475" w14:textId="77777777" w:rsidTr="00CE0ACC">
        <w:trPr>
          <w:trHeight w:val="180"/>
          <w:jc w:val="center"/>
        </w:trPr>
        <w:tc>
          <w:tcPr>
            <w:tcW w:w="1210" w:type="dxa"/>
            <w:vMerge/>
            <w:tcBorders>
              <w:top w:val="nil"/>
              <w:left w:val="single" w:sz="8" w:space="0" w:color="auto"/>
              <w:bottom w:val="single" w:sz="4" w:space="0" w:color="000000"/>
              <w:right w:val="single" w:sz="8" w:space="0" w:color="auto"/>
            </w:tcBorders>
            <w:vAlign w:val="center"/>
            <w:hideMark/>
          </w:tcPr>
          <w:p w14:paraId="5FEF2465" w14:textId="77777777" w:rsidR="00CE0ACC" w:rsidRPr="00795698" w:rsidRDefault="00CE0ACC" w:rsidP="00CE0ACC">
            <w:pPr>
              <w:rPr>
                <w:rFonts w:ascii="Arial" w:hAnsi="Arial" w:cs="Arial"/>
                <w:b/>
                <w:bCs/>
                <w:color w:val="000000"/>
                <w:sz w:val="10"/>
                <w:szCs w:val="10"/>
                <w:lang w:eastAsia="sq-AL"/>
              </w:rPr>
            </w:pPr>
          </w:p>
        </w:tc>
        <w:tc>
          <w:tcPr>
            <w:tcW w:w="726" w:type="dxa"/>
            <w:vMerge/>
            <w:tcBorders>
              <w:top w:val="nil"/>
              <w:left w:val="single" w:sz="8" w:space="0" w:color="auto"/>
              <w:bottom w:val="single" w:sz="8" w:space="0" w:color="000000"/>
              <w:right w:val="single" w:sz="8" w:space="0" w:color="auto"/>
            </w:tcBorders>
            <w:vAlign w:val="center"/>
            <w:hideMark/>
          </w:tcPr>
          <w:p w14:paraId="5FEF2466" w14:textId="77777777" w:rsidR="00CE0ACC" w:rsidRPr="00795698" w:rsidRDefault="00CE0ACC" w:rsidP="00CE0ACC">
            <w:pPr>
              <w:rPr>
                <w:rFonts w:ascii="Arial" w:hAnsi="Arial" w:cs="Arial"/>
                <w:b/>
                <w:bCs/>
                <w:color w:val="000000"/>
                <w:sz w:val="10"/>
                <w:szCs w:val="10"/>
                <w:lang w:eastAsia="sq-AL"/>
              </w:rPr>
            </w:pPr>
          </w:p>
        </w:tc>
        <w:tc>
          <w:tcPr>
            <w:tcW w:w="727" w:type="dxa"/>
            <w:vMerge/>
            <w:tcBorders>
              <w:top w:val="nil"/>
              <w:left w:val="single" w:sz="8" w:space="0" w:color="auto"/>
              <w:bottom w:val="single" w:sz="8" w:space="0" w:color="000000"/>
              <w:right w:val="single" w:sz="8" w:space="0" w:color="auto"/>
            </w:tcBorders>
            <w:vAlign w:val="center"/>
            <w:hideMark/>
          </w:tcPr>
          <w:p w14:paraId="5FEF2467" w14:textId="77777777" w:rsidR="00CE0ACC" w:rsidRPr="00795698" w:rsidRDefault="00CE0ACC" w:rsidP="00CE0ACC">
            <w:pPr>
              <w:rPr>
                <w:rFonts w:ascii="Arial" w:hAnsi="Arial" w:cs="Arial"/>
                <w:b/>
                <w:bCs/>
                <w:color w:val="000000"/>
                <w:sz w:val="10"/>
                <w:szCs w:val="10"/>
                <w:lang w:eastAsia="sq-AL"/>
              </w:rPr>
            </w:pPr>
          </w:p>
        </w:tc>
        <w:tc>
          <w:tcPr>
            <w:tcW w:w="498" w:type="dxa"/>
            <w:vMerge/>
            <w:tcBorders>
              <w:top w:val="nil"/>
              <w:left w:val="single" w:sz="8" w:space="0" w:color="auto"/>
              <w:bottom w:val="single" w:sz="8" w:space="0" w:color="000000"/>
              <w:right w:val="single" w:sz="8" w:space="0" w:color="auto"/>
            </w:tcBorders>
            <w:vAlign w:val="center"/>
            <w:hideMark/>
          </w:tcPr>
          <w:p w14:paraId="5FEF2468" w14:textId="77777777" w:rsidR="00CE0ACC" w:rsidRPr="00795698" w:rsidRDefault="00CE0ACC" w:rsidP="00CE0ACC">
            <w:pPr>
              <w:rPr>
                <w:rFonts w:ascii="Arial" w:hAnsi="Arial" w:cs="Arial"/>
                <w:b/>
                <w:bCs/>
                <w:color w:val="000000"/>
                <w:sz w:val="10"/>
                <w:szCs w:val="10"/>
                <w:lang w:eastAsia="sq-AL"/>
              </w:rPr>
            </w:pPr>
          </w:p>
        </w:tc>
        <w:tc>
          <w:tcPr>
            <w:tcW w:w="2529" w:type="dxa"/>
            <w:vMerge/>
            <w:tcBorders>
              <w:top w:val="nil"/>
              <w:left w:val="single" w:sz="8" w:space="0" w:color="auto"/>
              <w:bottom w:val="single" w:sz="8" w:space="0" w:color="000000"/>
              <w:right w:val="single" w:sz="8" w:space="0" w:color="auto"/>
            </w:tcBorders>
            <w:vAlign w:val="center"/>
            <w:hideMark/>
          </w:tcPr>
          <w:p w14:paraId="5FEF2469" w14:textId="77777777" w:rsidR="00CE0ACC" w:rsidRPr="00795698" w:rsidRDefault="00CE0ACC" w:rsidP="00CE0ACC">
            <w:pPr>
              <w:rPr>
                <w:rFonts w:ascii="Arial" w:hAnsi="Arial" w:cs="Arial"/>
                <w:b/>
                <w:bCs/>
                <w:color w:val="000000"/>
                <w:sz w:val="10"/>
                <w:szCs w:val="10"/>
                <w:lang w:eastAsia="sq-AL"/>
              </w:rPr>
            </w:pPr>
          </w:p>
        </w:tc>
        <w:tc>
          <w:tcPr>
            <w:tcW w:w="696" w:type="dxa"/>
            <w:tcBorders>
              <w:top w:val="nil"/>
              <w:left w:val="nil"/>
              <w:bottom w:val="single" w:sz="8" w:space="0" w:color="auto"/>
              <w:right w:val="nil"/>
            </w:tcBorders>
            <w:shd w:val="clear" w:color="auto" w:fill="auto"/>
            <w:vAlign w:val="center"/>
            <w:hideMark/>
          </w:tcPr>
          <w:p w14:paraId="5FEF246A"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696" w:type="dxa"/>
            <w:tcBorders>
              <w:top w:val="nil"/>
              <w:left w:val="single" w:sz="8" w:space="0" w:color="auto"/>
              <w:bottom w:val="single" w:sz="8" w:space="0" w:color="auto"/>
              <w:right w:val="single" w:sz="8" w:space="0" w:color="auto"/>
            </w:tcBorders>
            <w:shd w:val="clear" w:color="auto" w:fill="auto"/>
            <w:vAlign w:val="center"/>
            <w:hideMark/>
          </w:tcPr>
          <w:p w14:paraId="5FEF246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696" w:type="dxa"/>
            <w:tcBorders>
              <w:top w:val="nil"/>
              <w:left w:val="nil"/>
              <w:bottom w:val="single" w:sz="8" w:space="0" w:color="auto"/>
              <w:right w:val="single" w:sz="8" w:space="0" w:color="auto"/>
            </w:tcBorders>
            <w:shd w:val="clear" w:color="auto" w:fill="auto"/>
            <w:vAlign w:val="center"/>
            <w:hideMark/>
          </w:tcPr>
          <w:p w14:paraId="5FEF246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Kosto</w:t>
            </w:r>
          </w:p>
        </w:tc>
        <w:tc>
          <w:tcPr>
            <w:tcW w:w="696" w:type="dxa"/>
            <w:tcBorders>
              <w:top w:val="nil"/>
              <w:left w:val="nil"/>
              <w:bottom w:val="single" w:sz="8" w:space="0" w:color="auto"/>
              <w:right w:val="nil"/>
            </w:tcBorders>
            <w:shd w:val="clear" w:color="auto" w:fill="auto"/>
            <w:vAlign w:val="center"/>
            <w:hideMark/>
          </w:tcPr>
          <w:p w14:paraId="5FEF246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696" w:type="dxa"/>
            <w:tcBorders>
              <w:top w:val="nil"/>
              <w:left w:val="single" w:sz="8" w:space="0" w:color="auto"/>
              <w:bottom w:val="single" w:sz="8" w:space="0" w:color="auto"/>
              <w:right w:val="single" w:sz="8" w:space="0" w:color="auto"/>
            </w:tcBorders>
            <w:shd w:val="clear" w:color="auto" w:fill="auto"/>
            <w:vAlign w:val="center"/>
            <w:hideMark/>
          </w:tcPr>
          <w:p w14:paraId="5FEF246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696" w:type="dxa"/>
            <w:tcBorders>
              <w:top w:val="nil"/>
              <w:left w:val="nil"/>
              <w:bottom w:val="single" w:sz="8" w:space="0" w:color="auto"/>
              <w:right w:val="single" w:sz="8" w:space="0" w:color="auto"/>
            </w:tcBorders>
            <w:shd w:val="clear" w:color="auto" w:fill="auto"/>
            <w:vAlign w:val="center"/>
            <w:hideMark/>
          </w:tcPr>
          <w:p w14:paraId="5FEF246F"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BSH</w:t>
            </w:r>
          </w:p>
        </w:tc>
        <w:tc>
          <w:tcPr>
            <w:tcW w:w="696" w:type="dxa"/>
            <w:tcBorders>
              <w:top w:val="nil"/>
              <w:left w:val="nil"/>
              <w:bottom w:val="single" w:sz="8" w:space="0" w:color="auto"/>
              <w:right w:val="nil"/>
            </w:tcBorders>
            <w:shd w:val="clear" w:color="auto" w:fill="auto"/>
            <w:vAlign w:val="center"/>
            <w:hideMark/>
          </w:tcPr>
          <w:p w14:paraId="5FEF2470"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589" w:type="dxa"/>
            <w:tcBorders>
              <w:top w:val="nil"/>
              <w:left w:val="single" w:sz="8" w:space="0" w:color="auto"/>
              <w:bottom w:val="single" w:sz="8" w:space="0" w:color="auto"/>
              <w:right w:val="single" w:sz="8" w:space="0" w:color="auto"/>
            </w:tcBorders>
            <w:shd w:val="clear" w:color="auto" w:fill="auto"/>
            <w:vAlign w:val="center"/>
            <w:hideMark/>
          </w:tcPr>
          <w:p w14:paraId="5FEF2471"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717" w:type="dxa"/>
            <w:tcBorders>
              <w:top w:val="nil"/>
              <w:left w:val="nil"/>
              <w:bottom w:val="single" w:sz="8" w:space="0" w:color="auto"/>
              <w:right w:val="single" w:sz="8" w:space="0" w:color="auto"/>
            </w:tcBorders>
            <w:shd w:val="clear" w:color="auto" w:fill="auto"/>
            <w:vAlign w:val="center"/>
            <w:hideMark/>
          </w:tcPr>
          <w:p w14:paraId="5FEF2472"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FH</w:t>
            </w:r>
          </w:p>
        </w:tc>
        <w:tc>
          <w:tcPr>
            <w:tcW w:w="621" w:type="dxa"/>
            <w:tcBorders>
              <w:top w:val="nil"/>
              <w:left w:val="nil"/>
              <w:bottom w:val="single" w:sz="8" w:space="0" w:color="auto"/>
              <w:right w:val="single" w:sz="8" w:space="0" w:color="auto"/>
            </w:tcBorders>
            <w:shd w:val="clear" w:color="auto" w:fill="auto"/>
            <w:vAlign w:val="center"/>
            <w:hideMark/>
          </w:tcPr>
          <w:p w14:paraId="5FEF247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w:t>
            </w:r>
          </w:p>
        </w:tc>
        <w:tc>
          <w:tcPr>
            <w:tcW w:w="669" w:type="dxa"/>
            <w:vMerge/>
            <w:tcBorders>
              <w:top w:val="nil"/>
              <w:left w:val="single" w:sz="8" w:space="0" w:color="auto"/>
              <w:bottom w:val="single" w:sz="4" w:space="0" w:color="000000"/>
              <w:right w:val="single" w:sz="8" w:space="0" w:color="auto"/>
            </w:tcBorders>
            <w:vAlign w:val="center"/>
            <w:hideMark/>
          </w:tcPr>
          <w:p w14:paraId="5FEF2474" w14:textId="77777777" w:rsidR="00CE0ACC" w:rsidRPr="00795698" w:rsidRDefault="00CE0ACC" w:rsidP="00CE0ACC">
            <w:pPr>
              <w:rPr>
                <w:rFonts w:ascii="Arial" w:hAnsi="Arial" w:cs="Arial"/>
                <w:b/>
                <w:bCs/>
                <w:color w:val="000000"/>
                <w:sz w:val="10"/>
                <w:szCs w:val="10"/>
                <w:lang w:eastAsia="sq-AL"/>
              </w:rPr>
            </w:pPr>
          </w:p>
        </w:tc>
      </w:tr>
      <w:tr w:rsidR="00CE0ACC" w:rsidRPr="00795698" w14:paraId="5FEF2486" w14:textId="77777777" w:rsidTr="00CE0ACC">
        <w:trPr>
          <w:trHeight w:val="180"/>
          <w:jc w:val="center"/>
        </w:trPr>
        <w:tc>
          <w:tcPr>
            <w:tcW w:w="1210" w:type="dxa"/>
            <w:tcBorders>
              <w:top w:val="single" w:sz="8" w:space="0" w:color="auto"/>
              <w:left w:val="single" w:sz="8" w:space="0" w:color="auto"/>
              <w:bottom w:val="single" w:sz="8" w:space="0" w:color="auto"/>
              <w:right w:val="nil"/>
            </w:tcBorders>
            <w:shd w:val="clear" w:color="auto" w:fill="auto"/>
            <w:vAlign w:val="center"/>
            <w:hideMark/>
          </w:tcPr>
          <w:p w14:paraId="5FEF2476" w14:textId="77777777" w:rsidR="00CE0ACC" w:rsidRPr="00795698" w:rsidRDefault="00CE0ACC" w:rsidP="00CE0ACC">
            <w:pP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OBJEKTIVI SPECIFIK: Fuqizimi i komuniteteve dhe institucioneve publike për identifikimin dhe raportimin e rasteve të ekstremizmit të dhunshëm dhe radikalizmit </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F2477"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14:paraId="5FEF2478"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2479"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2022</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14:paraId="5FEF247A"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2025</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7B"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12,590,081</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7C"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7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12,590,081</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7E"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11,971,741</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7F"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80"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11,971,741</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81"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618,340</w:t>
            </w:r>
          </w:p>
        </w:tc>
        <w:tc>
          <w:tcPr>
            <w:tcW w:w="589" w:type="dxa"/>
            <w:tcBorders>
              <w:top w:val="single" w:sz="4" w:space="0" w:color="auto"/>
              <w:left w:val="nil"/>
              <w:bottom w:val="single" w:sz="4" w:space="0" w:color="auto"/>
              <w:right w:val="single" w:sz="4" w:space="0" w:color="auto"/>
            </w:tcBorders>
            <w:shd w:val="clear" w:color="auto" w:fill="auto"/>
            <w:vAlign w:val="center"/>
            <w:hideMark/>
          </w:tcPr>
          <w:p w14:paraId="5FEF2482"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5FEF248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618,340</w:t>
            </w:r>
          </w:p>
        </w:tc>
        <w:tc>
          <w:tcPr>
            <w:tcW w:w="621" w:type="dxa"/>
            <w:tcBorders>
              <w:top w:val="single" w:sz="4" w:space="0" w:color="auto"/>
              <w:left w:val="nil"/>
              <w:bottom w:val="single" w:sz="4" w:space="0" w:color="auto"/>
              <w:right w:val="single" w:sz="4" w:space="0" w:color="auto"/>
            </w:tcBorders>
            <w:shd w:val="clear" w:color="auto" w:fill="auto"/>
            <w:vAlign w:val="center"/>
            <w:hideMark/>
          </w:tcPr>
          <w:p w14:paraId="5FEF248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69" w:type="dxa"/>
            <w:tcBorders>
              <w:top w:val="nil"/>
              <w:left w:val="nil"/>
              <w:bottom w:val="single" w:sz="4" w:space="0" w:color="auto"/>
              <w:right w:val="single" w:sz="8" w:space="0" w:color="auto"/>
            </w:tcBorders>
            <w:shd w:val="clear" w:color="auto" w:fill="auto"/>
            <w:noWrap/>
            <w:vAlign w:val="center"/>
            <w:hideMark/>
          </w:tcPr>
          <w:p w14:paraId="5FEF248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102,358</w:t>
            </w:r>
          </w:p>
        </w:tc>
      </w:tr>
      <w:tr w:rsidR="00CE0ACC" w:rsidRPr="00795698" w14:paraId="5FEF2497" w14:textId="77777777" w:rsidTr="00CE0ACC">
        <w:trPr>
          <w:trHeight w:val="180"/>
          <w:jc w:val="center"/>
        </w:trPr>
        <w:tc>
          <w:tcPr>
            <w:tcW w:w="1210" w:type="dxa"/>
            <w:tcBorders>
              <w:top w:val="nil"/>
              <w:left w:val="single" w:sz="8" w:space="0" w:color="auto"/>
              <w:bottom w:val="single" w:sz="8" w:space="0" w:color="auto"/>
              <w:right w:val="nil"/>
            </w:tcBorders>
            <w:shd w:val="clear" w:color="auto" w:fill="auto"/>
            <w:vAlign w:val="center"/>
            <w:hideMark/>
          </w:tcPr>
          <w:p w14:paraId="5FEF2487" w14:textId="14E35987" w:rsidR="00CE0ACC" w:rsidRPr="00795698" w:rsidRDefault="00CE0ACC" w:rsidP="00CE0ACC">
            <w:pPr>
              <w:rPr>
                <w:rFonts w:ascii="Arial" w:hAnsi="Arial" w:cs="Arial"/>
                <w:b/>
                <w:bCs/>
                <w:color w:val="000000"/>
                <w:sz w:val="10"/>
                <w:szCs w:val="10"/>
                <w:lang w:eastAsia="sq-AL"/>
              </w:rPr>
            </w:pPr>
            <w:r w:rsidRPr="00795698">
              <w:rPr>
                <w:rFonts w:ascii="Arial" w:hAnsi="Arial" w:cs="Arial"/>
                <w:b/>
                <w:bCs/>
                <w:color w:val="000000"/>
                <w:sz w:val="10"/>
                <w:szCs w:val="10"/>
                <w:lang w:eastAsia="sq-AL"/>
              </w:rPr>
              <w:t>OBJEKTIVI SPECIFIK: Analizimi dhe adresimi i faktorëve nxitës për individët që janë në rrezik për t</w:t>
            </w:r>
            <w:r w:rsidR="0041767D" w:rsidRPr="00795698">
              <w:rPr>
                <w:rFonts w:ascii="Arial" w:hAnsi="Arial" w:cs="Arial"/>
                <w:b/>
                <w:bCs/>
                <w:color w:val="000000"/>
                <w:sz w:val="10"/>
                <w:szCs w:val="10"/>
                <w:lang w:eastAsia="sq-AL"/>
              </w:rPr>
              <w:t>’</w:t>
            </w:r>
            <w:r w:rsidRPr="00795698">
              <w:rPr>
                <w:rFonts w:ascii="Arial" w:hAnsi="Arial" w:cs="Arial"/>
                <w:b/>
                <w:bCs/>
                <w:color w:val="000000"/>
                <w:sz w:val="10"/>
                <w:szCs w:val="10"/>
                <w:lang w:eastAsia="sq-AL"/>
              </w:rPr>
              <w:t>u radikalizuar apo përfshirë në ekstremizëm të dhunshëm dhe forcimi i komuniteteve vulnerabël përmes përfshirjes së tyre në shoqëri dhe tregun e punës</w:t>
            </w:r>
          </w:p>
        </w:tc>
        <w:tc>
          <w:tcPr>
            <w:tcW w:w="726" w:type="dxa"/>
            <w:tcBorders>
              <w:top w:val="nil"/>
              <w:left w:val="single" w:sz="4" w:space="0" w:color="auto"/>
              <w:bottom w:val="single" w:sz="4" w:space="0" w:color="auto"/>
              <w:right w:val="single" w:sz="4" w:space="0" w:color="auto"/>
            </w:tcBorders>
            <w:shd w:val="clear" w:color="auto" w:fill="auto"/>
            <w:vAlign w:val="center"/>
            <w:hideMark/>
          </w:tcPr>
          <w:p w14:paraId="5FEF2488"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nil"/>
              <w:left w:val="nil"/>
              <w:bottom w:val="single" w:sz="4" w:space="0" w:color="auto"/>
              <w:right w:val="single" w:sz="4" w:space="0" w:color="auto"/>
            </w:tcBorders>
            <w:shd w:val="clear" w:color="auto" w:fill="auto"/>
            <w:vAlign w:val="center"/>
            <w:hideMark/>
          </w:tcPr>
          <w:p w14:paraId="5FEF2489"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nil"/>
              <w:left w:val="nil"/>
              <w:bottom w:val="single" w:sz="4" w:space="0" w:color="auto"/>
              <w:right w:val="single" w:sz="4" w:space="0" w:color="auto"/>
            </w:tcBorders>
            <w:shd w:val="clear" w:color="auto" w:fill="auto"/>
            <w:vAlign w:val="center"/>
            <w:hideMark/>
          </w:tcPr>
          <w:p w14:paraId="5FEF248A"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2022</w:t>
            </w:r>
          </w:p>
        </w:tc>
        <w:tc>
          <w:tcPr>
            <w:tcW w:w="2529" w:type="dxa"/>
            <w:tcBorders>
              <w:top w:val="nil"/>
              <w:left w:val="nil"/>
              <w:bottom w:val="single" w:sz="4" w:space="0" w:color="auto"/>
              <w:right w:val="single" w:sz="4" w:space="0" w:color="auto"/>
            </w:tcBorders>
            <w:shd w:val="clear" w:color="auto" w:fill="auto"/>
            <w:vAlign w:val="center"/>
            <w:hideMark/>
          </w:tcPr>
          <w:p w14:paraId="5FEF248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2025</w:t>
            </w:r>
          </w:p>
        </w:tc>
        <w:tc>
          <w:tcPr>
            <w:tcW w:w="696" w:type="dxa"/>
            <w:tcBorders>
              <w:top w:val="nil"/>
              <w:left w:val="nil"/>
              <w:bottom w:val="single" w:sz="4" w:space="0" w:color="auto"/>
              <w:right w:val="single" w:sz="4" w:space="0" w:color="auto"/>
            </w:tcBorders>
            <w:shd w:val="clear" w:color="auto" w:fill="auto"/>
            <w:vAlign w:val="center"/>
            <w:hideMark/>
          </w:tcPr>
          <w:p w14:paraId="5FEF248C"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2,027,520</w:t>
            </w:r>
          </w:p>
        </w:tc>
        <w:tc>
          <w:tcPr>
            <w:tcW w:w="696" w:type="dxa"/>
            <w:tcBorders>
              <w:top w:val="nil"/>
              <w:left w:val="nil"/>
              <w:bottom w:val="single" w:sz="4" w:space="0" w:color="auto"/>
              <w:right w:val="single" w:sz="4" w:space="0" w:color="auto"/>
            </w:tcBorders>
            <w:shd w:val="clear" w:color="auto" w:fill="auto"/>
            <w:vAlign w:val="center"/>
            <w:hideMark/>
          </w:tcPr>
          <w:p w14:paraId="5FEF248D"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nil"/>
              <w:bottom w:val="single" w:sz="4" w:space="0" w:color="auto"/>
              <w:right w:val="single" w:sz="4" w:space="0" w:color="auto"/>
            </w:tcBorders>
            <w:shd w:val="clear" w:color="auto" w:fill="auto"/>
            <w:vAlign w:val="center"/>
            <w:hideMark/>
          </w:tcPr>
          <w:p w14:paraId="5FEF248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2,027,520</w:t>
            </w:r>
          </w:p>
        </w:tc>
        <w:tc>
          <w:tcPr>
            <w:tcW w:w="696" w:type="dxa"/>
            <w:tcBorders>
              <w:top w:val="nil"/>
              <w:left w:val="nil"/>
              <w:bottom w:val="single" w:sz="4" w:space="0" w:color="auto"/>
              <w:right w:val="single" w:sz="4" w:space="0" w:color="auto"/>
            </w:tcBorders>
            <w:shd w:val="clear" w:color="auto" w:fill="auto"/>
            <w:vAlign w:val="center"/>
            <w:hideMark/>
          </w:tcPr>
          <w:p w14:paraId="5FEF248F"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1,752,120</w:t>
            </w:r>
          </w:p>
        </w:tc>
        <w:tc>
          <w:tcPr>
            <w:tcW w:w="696" w:type="dxa"/>
            <w:tcBorders>
              <w:top w:val="nil"/>
              <w:left w:val="nil"/>
              <w:bottom w:val="single" w:sz="4" w:space="0" w:color="auto"/>
              <w:right w:val="single" w:sz="4" w:space="0" w:color="auto"/>
            </w:tcBorders>
            <w:shd w:val="clear" w:color="auto" w:fill="auto"/>
            <w:vAlign w:val="center"/>
            <w:hideMark/>
          </w:tcPr>
          <w:p w14:paraId="5FEF2490"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nil"/>
              <w:bottom w:val="single" w:sz="4" w:space="0" w:color="auto"/>
              <w:right w:val="single" w:sz="4" w:space="0" w:color="auto"/>
            </w:tcBorders>
            <w:shd w:val="clear" w:color="auto" w:fill="auto"/>
            <w:vAlign w:val="center"/>
            <w:hideMark/>
          </w:tcPr>
          <w:p w14:paraId="5FEF2491"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1,752,120</w:t>
            </w:r>
          </w:p>
        </w:tc>
        <w:tc>
          <w:tcPr>
            <w:tcW w:w="696" w:type="dxa"/>
            <w:tcBorders>
              <w:top w:val="nil"/>
              <w:left w:val="nil"/>
              <w:bottom w:val="single" w:sz="4" w:space="0" w:color="auto"/>
              <w:right w:val="single" w:sz="4" w:space="0" w:color="auto"/>
            </w:tcBorders>
            <w:shd w:val="clear" w:color="auto" w:fill="auto"/>
            <w:vAlign w:val="center"/>
            <w:hideMark/>
          </w:tcPr>
          <w:p w14:paraId="5FEF2492"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275,400</w:t>
            </w:r>
          </w:p>
        </w:tc>
        <w:tc>
          <w:tcPr>
            <w:tcW w:w="589" w:type="dxa"/>
            <w:tcBorders>
              <w:top w:val="nil"/>
              <w:left w:val="nil"/>
              <w:bottom w:val="single" w:sz="4" w:space="0" w:color="auto"/>
              <w:right w:val="single" w:sz="4" w:space="0" w:color="auto"/>
            </w:tcBorders>
            <w:shd w:val="clear" w:color="auto" w:fill="auto"/>
            <w:vAlign w:val="center"/>
            <w:hideMark/>
          </w:tcPr>
          <w:p w14:paraId="5FEF2493"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717" w:type="dxa"/>
            <w:tcBorders>
              <w:top w:val="nil"/>
              <w:left w:val="nil"/>
              <w:bottom w:val="single" w:sz="4" w:space="0" w:color="auto"/>
              <w:right w:val="single" w:sz="4" w:space="0" w:color="auto"/>
            </w:tcBorders>
            <w:shd w:val="clear" w:color="auto" w:fill="auto"/>
            <w:vAlign w:val="center"/>
            <w:hideMark/>
          </w:tcPr>
          <w:p w14:paraId="5FEF249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275,400</w:t>
            </w:r>
          </w:p>
        </w:tc>
        <w:tc>
          <w:tcPr>
            <w:tcW w:w="621" w:type="dxa"/>
            <w:tcBorders>
              <w:top w:val="nil"/>
              <w:left w:val="nil"/>
              <w:bottom w:val="single" w:sz="4" w:space="0" w:color="auto"/>
              <w:right w:val="single" w:sz="4" w:space="0" w:color="auto"/>
            </w:tcBorders>
            <w:shd w:val="clear" w:color="auto" w:fill="auto"/>
            <w:vAlign w:val="center"/>
            <w:hideMark/>
          </w:tcPr>
          <w:p w14:paraId="5FEF249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69" w:type="dxa"/>
            <w:tcBorders>
              <w:top w:val="nil"/>
              <w:left w:val="nil"/>
              <w:bottom w:val="single" w:sz="4" w:space="0" w:color="auto"/>
              <w:right w:val="single" w:sz="8" w:space="0" w:color="auto"/>
            </w:tcBorders>
            <w:shd w:val="clear" w:color="auto" w:fill="auto"/>
            <w:noWrap/>
            <w:vAlign w:val="center"/>
            <w:hideMark/>
          </w:tcPr>
          <w:p w14:paraId="5FEF249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16,484</w:t>
            </w:r>
          </w:p>
        </w:tc>
      </w:tr>
      <w:tr w:rsidR="00CE0ACC" w:rsidRPr="00795698" w14:paraId="5FEF24A8" w14:textId="77777777" w:rsidTr="00CE0ACC">
        <w:trPr>
          <w:trHeight w:val="180"/>
          <w:jc w:val="center"/>
        </w:trPr>
        <w:tc>
          <w:tcPr>
            <w:tcW w:w="1210" w:type="dxa"/>
            <w:tcBorders>
              <w:top w:val="single" w:sz="4" w:space="0" w:color="auto"/>
              <w:left w:val="single" w:sz="8" w:space="0" w:color="auto"/>
              <w:bottom w:val="nil"/>
              <w:right w:val="single" w:sz="4" w:space="0" w:color="auto"/>
            </w:tcBorders>
            <w:shd w:val="clear" w:color="auto" w:fill="auto"/>
            <w:vAlign w:val="bottom"/>
            <w:hideMark/>
          </w:tcPr>
          <w:p w14:paraId="5FEF2498" w14:textId="77777777" w:rsidR="00CE0ACC" w:rsidRPr="00795698" w:rsidRDefault="00CE0ACC" w:rsidP="00CE0ACC">
            <w:pPr>
              <w:rPr>
                <w:rFonts w:ascii="Arial" w:hAnsi="Arial" w:cs="Arial"/>
                <w:color w:val="000000"/>
                <w:sz w:val="10"/>
                <w:szCs w:val="10"/>
                <w:lang w:eastAsia="sq-AL"/>
              </w:rPr>
            </w:pPr>
            <w:r w:rsidRPr="00795698">
              <w:rPr>
                <w:rFonts w:ascii="Arial" w:hAnsi="Arial" w:cs="Arial"/>
                <w:b/>
                <w:bCs/>
                <w:color w:val="FF0000"/>
                <w:sz w:val="10"/>
                <w:szCs w:val="10"/>
                <w:lang w:eastAsia="sq-AL"/>
              </w:rPr>
              <w:t>Kosto totale Qëllimi I Politikës I</w:t>
            </w:r>
            <w:r w:rsidRPr="00795698">
              <w:rPr>
                <w:rFonts w:ascii="Arial" w:hAnsi="Arial" w:cs="Arial"/>
                <w:b/>
                <w:bCs/>
                <w:color w:val="FF0000"/>
                <w:sz w:val="10"/>
                <w:szCs w:val="10"/>
                <w:lang w:eastAsia="sq-AL"/>
              </w:rPr>
              <w:br/>
              <w:t>1.1 +1.2 +1.3 )</w:t>
            </w:r>
          </w:p>
        </w:tc>
        <w:tc>
          <w:tcPr>
            <w:tcW w:w="726" w:type="dxa"/>
            <w:tcBorders>
              <w:top w:val="nil"/>
              <w:left w:val="nil"/>
              <w:bottom w:val="nil"/>
              <w:right w:val="single" w:sz="4" w:space="0" w:color="auto"/>
            </w:tcBorders>
            <w:shd w:val="clear" w:color="auto" w:fill="auto"/>
            <w:noWrap/>
            <w:vAlign w:val="bottom"/>
            <w:hideMark/>
          </w:tcPr>
          <w:p w14:paraId="5FEF2499"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nil"/>
              <w:left w:val="nil"/>
              <w:bottom w:val="nil"/>
              <w:right w:val="single" w:sz="4" w:space="0" w:color="auto"/>
            </w:tcBorders>
            <w:shd w:val="clear" w:color="auto" w:fill="auto"/>
            <w:noWrap/>
            <w:vAlign w:val="bottom"/>
            <w:hideMark/>
          </w:tcPr>
          <w:p w14:paraId="5FEF249A"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nil"/>
              <w:left w:val="nil"/>
              <w:bottom w:val="nil"/>
              <w:right w:val="single" w:sz="4" w:space="0" w:color="auto"/>
            </w:tcBorders>
            <w:shd w:val="clear" w:color="auto" w:fill="auto"/>
            <w:noWrap/>
            <w:vAlign w:val="bottom"/>
            <w:hideMark/>
          </w:tcPr>
          <w:p w14:paraId="5FEF249B"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2529" w:type="dxa"/>
            <w:tcBorders>
              <w:top w:val="nil"/>
              <w:left w:val="nil"/>
              <w:bottom w:val="nil"/>
              <w:right w:val="single" w:sz="4" w:space="0" w:color="auto"/>
            </w:tcBorders>
            <w:shd w:val="clear" w:color="auto" w:fill="auto"/>
            <w:noWrap/>
            <w:vAlign w:val="bottom"/>
            <w:hideMark/>
          </w:tcPr>
          <w:p w14:paraId="5FEF249C"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696" w:type="dxa"/>
            <w:tcBorders>
              <w:top w:val="nil"/>
              <w:left w:val="nil"/>
              <w:bottom w:val="nil"/>
              <w:right w:val="single" w:sz="4" w:space="0" w:color="auto"/>
            </w:tcBorders>
            <w:shd w:val="clear" w:color="auto" w:fill="auto"/>
            <w:noWrap/>
            <w:vAlign w:val="center"/>
            <w:hideMark/>
          </w:tcPr>
          <w:p w14:paraId="5FEF249D"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14,617,601</w:t>
            </w:r>
          </w:p>
        </w:tc>
        <w:tc>
          <w:tcPr>
            <w:tcW w:w="696" w:type="dxa"/>
            <w:tcBorders>
              <w:top w:val="nil"/>
              <w:left w:val="nil"/>
              <w:bottom w:val="nil"/>
              <w:right w:val="single" w:sz="4" w:space="0" w:color="auto"/>
            </w:tcBorders>
            <w:shd w:val="clear" w:color="auto" w:fill="auto"/>
            <w:noWrap/>
            <w:vAlign w:val="center"/>
            <w:hideMark/>
          </w:tcPr>
          <w:p w14:paraId="5FEF249E"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96" w:type="dxa"/>
            <w:tcBorders>
              <w:top w:val="nil"/>
              <w:left w:val="nil"/>
              <w:bottom w:val="nil"/>
              <w:right w:val="single" w:sz="4" w:space="0" w:color="auto"/>
            </w:tcBorders>
            <w:shd w:val="clear" w:color="auto" w:fill="auto"/>
            <w:noWrap/>
            <w:vAlign w:val="center"/>
            <w:hideMark/>
          </w:tcPr>
          <w:p w14:paraId="5FEF249F"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14,617,601</w:t>
            </w:r>
          </w:p>
        </w:tc>
        <w:tc>
          <w:tcPr>
            <w:tcW w:w="696" w:type="dxa"/>
            <w:tcBorders>
              <w:top w:val="nil"/>
              <w:left w:val="nil"/>
              <w:bottom w:val="nil"/>
              <w:right w:val="single" w:sz="4" w:space="0" w:color="auto"/>
            </w:tcBorders>
            <w:shd w:val="clear" w:color="auto" w:fill="auto"/>
            <w:noWrap/>
            <w:vAlign w:val="center"/>
            <w:hideMark/>
          </w:tcPr>
          <w:p w14:paraId="5FEF24A0"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13,723,861</w:t>
            </w:r>
          </w:p>
        </w:tc>
        <w:tc>
          <w:tcPr>
            <w:tcW w:w="696" w:type="dxa"/>
            <w:tcBorders>
              <w:top w:val="nil"/>
              <w:left w:val="nil"/>
              <w:bottom w:val="nil"/>
              <w:right w:val="single" w:sz="4" w:space="0" w:color="auto"/>
            </w:tcBorders>
            <w:shd w:val="clear" w:color="auto" w:fill="auto"/>
            <w:noWrap/>
            <w:vAlign w:val="center"/>
            <w:hideMark/>
          </w:tcPr>
          <w:p w14:paraId="5FEF24A1"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96" w:type="dxa"/>
            <w:tcBorders>
              <w:top w:val="nil"/>
              <w:left w:val="nil"/>
              <w:bottom w:val="nil"/>
              <w:right w:val="single" w:sz="4" w:space="0" w:color="auto"/>
            </w:tcBorders>
            <w:shd w:val="clear" w:color="auto" w:fill="auto"/>
            <w:noWrap/>
            <w:vAlign w:val="center"/>
            <w:hideMark/>
          </w:tcPr>
          <w:p w14:paraId="5FEF24A2"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13,723,861</w:t>
            </w:r>
          </w:p>
        </w:tc>
        <w:tc>
          <w:tcPr>
            <w:tcW w:w="696" w:type="dxa"/>
            <w:tcBorders>
              <w:top w:val="nil"/>
              <w:left w:val="nil"/>
              <w:bottom w:val="nil"/>
              <w:right w:val="single" w:sz="4" w:space="0" w:color="auto"/>
            </w:tcBorders>
            <w:shd w:val="clear" w:color="auto" w:fill="auto"/>
            <w:noWrap/>
            <w:vAlign w:val="center"/>
            <w:hideMark/>
          </w:tcPr>
          <w:p w14:paraId="5FEF24A3"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893,740</w:t>
            </w:r>
          </w:p>
        </w:tc>
        <w:tc>
          <w:tcPr>
            <w:tcW w:w="589" w:type="dxa"/>
            <w:tcBorders>
              <w:top w:val="nil"/>
              <w:left w:val="nil"/>
              <w:bottom w:val="nil"/>
              <w:right w:val="single" w:sz="4" w:space="0" w:color="auto"/>
            </w:tcBorders>
            <w:shd w:val="clear" w:color="auto" w:fill="auto"/>
            <w:noWrap/>
            <w:vAlign w:val="center"/>
            <w:hideMark/>
          </w:tcPr>
          <w:p w14:paraId="5FEF24A4"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717" w:type="dxa"/>
            <w:tcBorders>
              <w:top w:val="nil"/>
              <w:left w:val="nil"/>
              <w:bottom w:val="nil"/>
              <w:right w:val="single" w:sz="4" w:space="0" w:color="auto"/>
            </w:tcBorders>
            <w:shd w:val="clear" w:color="auto" w:fill="auto"/>
            <w:noWrap/>
            <w:vAlign w:val="center"/>
            <w:hideMark/>
          </w:tcPr>
          <w:p w14:paraId="5FEF24A5"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893,740</w:t>
            </w:r>
          </w:p>
        </w:tc>
        <w:tc>
          <w:tcPr>
            <w:tcW w:w="621" w:type="dxa"/>
            <w:tcBorders>
              <w:top w:val="nil"/>
              <w:left w:val="nil"/>
              <w:bottom w:val="nil"/>
              <w:right w:val="single" w:sz="4" w:space="0" w:color="auto"/>
            </w:tcBorders>
            <w:shd w:val="clear" w:color="auto" w:fill="auto"/>
            <w:noWrap/>
            <w:vAlign w:val="center"/>
            <w:hideMark/>
          </w:tcPr>
          <w:p w14:paraId="5FEF24A6"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69" w:type="dxa"/>
            <w:tcBorders>
              <w:top w:val="nil"/>
              <w:left w:val="nil"/>
              <w:bottom w:val="single" w:sz="8" w:space="0" w:color="auto"/>
              <w:right w:val="single" w:sz="8" w:space="0" w:color="auto"/>
            </w:tcBorders>
            <w:shd w:val="clear" w:color="000000" w:fill="92D050"/>
            <w:noWrap/>
            <w:vAlign w:val="center"/>
            <w:hideMark/>
          </w:tcPr>
          <w:p w14:paraId="5FEF24A7"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118,842</w:t>
            </w:r>
          </w:p>
        </w:tc>
      </w:tr>
      <w:tr w:rsidR="00CE0ACC" w:rsidRPr="00795698" w14:paraId="5FEF24AA" w14:textId="77777777" w:rsidTr="00CE0ACC">
        <w:trPr>
          <w:trHeight w:val="180"/>
          <w:jc w:val="center"/>
        </w:trPr>
        <w:tc>
          <w:tcPr>
            <w:tcW w:w="13158"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24A9" w14:textId="77777777" w:rsidR="00CE0ACC" w:rsidRPr="00795698" w:rsidRDefault="00CE0ACC" w:rsidP="00CE0ACC">
            <w:pPr>
              <w:rPr>
                <w:rFonts w:ascii="Arial" w:hAnsi="Arial" w:cs="Arial"/>
                <w:b/>
                <w:bCs/>
                <w:color w:val="0070C0"/>
                <w:sz w:val="10"/>
                <w:szCs w:val="10"/>
                <w:lang w:eastAsia="sq-AL"/>
              </w:rPr>
            </w:pPr>
            <w:r w:rsidRPr="00795698">
              <w:rPr>
                <w:rFonts w:ascii="Arial" w:hAnsi="Arial" w:cs="Arial"/>
                <w:b/>
                <w:bCs/>
                <w:color w:val="0070C0"/>
                <w:sz w:val="10"/>
                <w:szCs w:val="10"/>
                <w:lang w:eastAsia="sq-AL"/>
              </w:rPr>
              <w:t>Qëllimi i Politikës II: ZHVILLIMI I KOMUNIKIMIT STRATEGJIK</w:t>
            </w:r>
          </w:p>
        </w:tc>
      </w:tr>
      <w:tr w:rsidR="00CE0ACC" w:rsidRPr="00795698" w14:paraId="5FEF24B2" w14:textId="77777777" w:rsidTr="00CE0ACC">
        <w:trPr>
          <w:trHeight w:val="180"/>
          <w:jc w:val="center"/>
        </w:trPr>
        <w:tc>
          <w:tcPr>
            <w:tcW w:w="1210"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24A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Objektivat Specifik </w:t>
            </w:r>
          </w:p>
        </w:tc>
        <w:tc>
          <w:tcPr>
            <w:tcW w:w="1453" w:type="dxa"/>
            <w:gridSpan w:val="2"/>
            <w:tcBorders>
              <w:top w:val="single" w:sz="8" w:space="0" w:color="auto"/>
              <w:left w:val="nil"/>
              <w:bottom w:val="single" w:sz="8" w:space="0" w:color="auto"/>
              <w:right w:val="single" w:sz="8" w:space="0" w:color="000000"/>
            </w:tcBorders>
            <w:shd w:val="clear" w:color="auto" w:fill="auto"/>
            <w:vAlign w:val="center"/>
            <w:hideMark/>
          </w:tcPr>
          <w:p w14:paraId="5FEF24A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Institucionet përgjegjegjëse</w:t>
            </w:r>
          </w:p>
        </w:tc>
        <w:tc>
          <w:tcPr>
            <w:tcW w:w="3027" w:type="dxa"/>
            <w:gridSpan w:val="2"/>
            <w:tcBorders>
              <w:top w:val="single" w:sz="8" w:space="0" w:color="auto"/>
              <w:left w:val="nil"/>
              <w:bottom w:val="single" w:sz="8" w:space="0" w:color="auto"/>
              <w:right w:val="single" w:sz="8" w:space="0" w:color="000000"/>
            </w:tcBorders>
            <w:shd w:val="clear" w:color="auto" w:fill="auto"/>
            <w:vAlign w:val="center"/>
            <w:hideMark/>
          </w:tcPr>
          <w:p w14:paraId="5FEF24A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Afati i Zbatimit </w:t>
            </w:r>
          </w:p>
        </w:tc>
        <w:tc>
          <w:tcPr>
            <w:tcW w:w="208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24A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Kosto indikative totale</w:t>
            </w:r>
          </w:p>
        </w:tc>
        <w:tc>
          <w:tcPr>
            <w:tcW w:w="4090" w:type="dxa"/>
            <w:gridSpan w:val="6"/>
            <w:tcBorders>
              <w:top w:val="single" w:sz="8" w:space="0" w:color="auto"/>
              <w:left w:val="nil"/>
              <w:bottom w:val="single" w:sz="8" w:space="0" w:color="auto"/>
              <w:right w:val="single" w:sz="8" w:space="0" w:color="000000"/>
            </w:tcBorders>
            <w:shd w:val="clear" w:color="auto" w:fill="auto"/>
            <w:vAlign w:val="center"/>
            <w:hideMark/>
          </w:tcPr>
          <w:p w14:paraId="5FEF24AF"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w:t>
            </w:r>
          </w:p>
        </w:tc>
        <w:tc>
          <w:tcPr>
            <w:tcW w:w="62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B0" w14:textId="0E1FF554"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Hendeku financiar</w:t>
            </w:r>
            <w:r w:rsidRPr="00795698">
              <w:rPr>
                <w:rFonts w:ascii="Arial" w:hAnsi="Arial" w:cs="Arial"/>
                <w:b/>
                <w:bCs/>
                <w:color w:val="000000"/>
                <w:sz w:val="10"/>
                <w:szCs w:val="10"/>
                <w:lang w:eastAsia="sq-AL"/>
              </w:rPr>
              <w:br/>
            </w:r>
            <w:r w:rsidR="007C064A" w:rsidRPr="00795698">
              <w:rPr>
                <w:rFonts w:ascii="Arial" w:hAnsi="Arial" w:cs="Arial"/>
                <w:b/>
                <w:bCs/>
                <w:color w:val="000000"/>
                <w:sz w:val="10"/>
                <w:szCs w:val="10"/>
                <w:lang w:eastAsia="sq-AL"/>
              </w:rPr>
              <w:t>2021–2025</w:t>
            </w:r>
            <w:r w:rsidRPr="00795698">
              <w:rPr>
                <w:rFonts w:ascii="Arial" w:hAnsi="Arial" w:cs="Arial"/>
                <w:b/>
                <w:bCs/>
                <w:color w:val="000000"/>
                <w:sz w:val="10"/>
                <w:szCs w:val="10"/>
                <w:lang w:eastAsia="sq-AL"/>
              </w:rPr>
              <w:br/>
              <w:t>(në Lekë)</w:t>
            </w:r>
          </w:p>
        </w:tc>
        <w:tc>
          <w:tcPr>
            <w:tcW w:w="66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24B1" w14:textId="120D409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Kosto </w:t>
            </w:r>
            <w:r w:rsidR="00CA234B" w:rsidRPr="00795698">
              <w:rPr>
                <w:rFonts w:ascii="Arial" w:hAnsi="Arial" w:cs="Arial"/>
                <w:b/>
                <w:bCs/>
                <w:color w:val="000000"/>
                <w:sz w:val="10"/>
                <w:szCs w:val="10"/>
                <w:lang w:eastAsia="sq-AL"/>
              </w:rPr>
              <w:t>totale në EUR</w:t>
            </w:r>
            <w:r w:rsidRPr="00795698">
              <w:rPr>
                <w:rFonts w:ascii="Arial" w:hAnsi="Arial" w:cs="Arial"/>
                <w:b/>
                <w:bCs/>
                <w:color w:val="000000"/>
                <w:sz w:val="10"/>
                <w:szCs w:val="10"/>
                <w:lang w:eastAsia="sq-AL"/>
              </w:rPr>
              <w:br/>
              <w:t>(</w:t>
            </w:r>
            <w:r w:rsidR="00CA234B" w:rsidRPr="00795698">
              <w:rPr>
                <w:rFonts w:ascii="Arial" w:hAnsi="Arial" w:cs="Arial"/>
                <w:b/>
                <w:bCs/>
                <w:color w:val="000000"/>
                <w:sz w:val="10"/>
                <w:szCs w:val="10"/>
                <w:lang w:eastAsia="sq-AL"/>
              </w:rPr>
              <w:t>kursi i këmbimit:</w:t>
            </w:r>
            <w:r w:rsidRPr="00795698">
              <w:rPr>
                <w:rFonts w:ascii="Arial" w:hAnsi="Arial" w:cs="Arial"/>
                <w:b/>
                <w:bCs/>
                <w:color w:val="000000"/>
                <w:sz w:val="10"/>
                <w:szCs w:val="10"/>
                <w:lang w:eastAsia="sq-AL"/>
              </w:rPr>
              <w:t xml:space="preserve"> 1 EUR = 123ALL)</w:t>
            </w:r>
          </w:p>
        </w:tc>
      </w:tr>
      <w:tr w:rsidR="00CE0ACC" w:rsidRPr="00795698" w14:paraId="5FEF24BD" w14:textId="77777777" w:rsidTr="00CE0ACC">
        <w:trPr>
          <w:trHeight w:val="180"/>
          <w:jc w:val="center"/>
        </w:trPr>
        <w:tc>
          <w:tcPr>
            <w:tcW w:w="1210" w:type="dxa"/>
            <w:vMerge/>
            <w:tcBorders>
              <w:top w:val="nil"/>
              <w:left w:val="single" w:sz="8" w:space="0" w:color="auto"/>
              <w:bottom w:val="single" w:sz="4" w:space="0" w:color="000000"/>
              <w:right w:val="single" w:sz="8" w:space="0" w:color="auto"/>
            </w:tcBorders>
            <w:vAlign w:val="center"/>
            <w:hideMark/>
          </w:tcPr>
          <w:p w14:paraId="5FEF24B3" w14:textId="77777777" w:rsidR="00CE0ACC" w:rsidRPr="00795698" w:rsidRDefault="00CE0ACC" w:rsidP="00CE0ACC">
            <w:pPr>
              <w:rPr>
                <w:rFonts w:ascii="Arial" w:hAnsi="Arial" w:cs="Arial"/>
                <w:b/>
                <w:bCs/>
                <w:color w:val="000000"/>
                <w:sz w:val="10"/>
                <w:szCs w:val="10"/>
                <w:lang w:eastAsia="sq-AL"/>
              </w:rPr>
            </w:pPr>
          </w:p>
        </w:tc>
        <w:tc>
          <w:tcPr>
            <w:tcW w:w="726"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B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Institucioni përgjegjës</w:t>
            </w:r>
          </w:p>
        </w:tc>
        <w:tc>
          <w:tcPr>
            <w:tcW w:w="7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B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Institucioni kontribues</w:t>
            </w:r>
          </w:p>
        </w:tc>
        <w:tc>
          <w:tcPr>
            <w:tcW w:w="498"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B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Afati i fillimit</w:t>
            </w:r>
          </w:p>
        </w:tc>
        <w:tc>
          <w:tcPr>
            <w:tcW w:w="2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B7" w14:textId="02A7349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Afati</w:t>
            </w:r>
            <w:r w:rsidR="007C064A" w:rsidRPr="00795698">
              <w:rPr>
                <w:rFonts w:ascii="Arial" w:hAnsi="Arial" w:cs="Arial"/>
                <w:b/>
                <w:bCs/>
                <w:color w:val="000000"/>
                <w:sz w:val="10"/>
                <w:szCs w:val="10"/>
                <w:lang w:eastAsia="sq-AL"/>
              </w:rPr>
              <w:t xml:space="preserve"> </w:t>
            </w:r>
            <w:r w:rsidRPr="00795698">
              <w:rPr>
                <w:rFonts w:ascii="Arial" w:hAnsi="Arial" w:cs="Arial"/>
                <w:b/>
                <w:bCs/>
                <w:color w:val="000000"/>
                <w:sz w:val="10"/>
                <w:szCs w:val="10"/>
                <w:lang w:eastAsia="sq-AL"/>
              </w:rPr>
              <w:t>i mbarimit</w:t>
            </w:r>
          </w:p>
        </w:tc>
        <w:tc>
          <w:tcPr>
            <w:tcW w:w="2088" w:type="dxa"/>
            <w:gridSpan w:val="3"/>
            <w:vMerge/>
            <w:tcBorders>
              <w:top w:val="nil"/>
              <w:left w:val="single" w:sz="8" w:space="0" w:color="auto"/>
              <w:bottom w:val="single" w:sz="8" w:space="0" w:color="000000"/>
              <w:right w:val="single" w:sz="8" w:space="0" w:color="auto"/>
            </w:tcBorders>
            <w:vAlign w:val="center"/>
            <w:hideMark/>
          </w:tcPr>
          <w:p w14:paraId="5FEF24B8" w14:textId="77777777" w:rsidR="00CE0ACC" w:rsidRPr="00795698" w:rsidRDefault="00CE0ACC" w:rsidP="00CE0ACC">
            <w:pPr>
              <w:rPr>
                <w:rFonts w:ascii="Arial" w:hAnsi="Arial" w:cs="Arial"/>
                <w:b/>
                <w:bCs/>
                <w:color w:val="000000"/>
                <w:sz w:val="10"/>
                <w:szCs w:val="10"/>
                <w:lang w:eastAsia="sq-AL"/>
              </w:rPr>
            </w:pPr>
          </w:p>
        </w:tc>
        <w:tc>
          <w:tcPr>
            <w:tcW w:w="2088" w:type="dxa"/>
            <w:gridSpan w:val="3"/>
            <w:tcBorders>
              <w:top w:val="single" w:sz="8" w:space="0" w:color="auto"/>
              <w:left w:val="nil"/>
              <w:bottom w:val="single" w:sz="8" w:space="0" w:color="auto"/>
              <w:right w:val="single" w:sz="8" w:space="0" w:color="000000"/>
            </w:tcBorders>
            <w:shd w:val="clear" w:color="auto" w:fill="auto"/>
            <w:vAlign w:val="center"/>
            <w:hideMark/>
          </w:tcPr>
          <w:p w14:paraId="5FEF24B9" w14:textId="1CA58B0F"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PBA </w:t>
            </w:r>
            <w:r w:rsidR="006249E3" w:rsidRPr="00795698">
              <w:rPr>
                <w:rFonts w:ascii="Arial" w:hAnsi="Arial" w:cs="Arial"/>
                <w:b/>
                <w:bCs/>
                <w:color w:val="000000"/>
                <w:sz w:val="10"/>
                <w:szCs w:val="10"/>
                <w:lang w:eastAsia="sq-AL"/>
              </w:rPr>
              <w:t>2023–2025</w:t>
            </w:r>
          </w:p>
        </w:tc>
        <w:tc>
          <w:tcPr>
            <w:tcW w:w="2002" w:type="dxa"/>
            <w:gridSpan w:val="3"/>
            <w:tcBorders>
              <w:top w:val="single" w:sz="8" w:space="0" w:color="auto"/>
              <w:left w:val="nil"/>
              <w:bottom w:val="single" w:sz="8" w:space="0" w:color="auto"/>
              <w:right w:val="single" w:sz="8" w:space="0" w:color="000000"/>
            </w:tcBorders>
            <w:shd w:val="clear" w:color="auto" w:fill="auto"/>
            <w:vAlign w:val="center"/>
            <w:hideMark/>
          </w:tcPr>
          <w:p w14:paraId="5FEF24BA"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Financim i huaj</w:t>
            </w:r>
          </w:p>
        </w:tc>
        <w:tc>
          <w:tcPr>
            <w:tcW w:w="621" w:type="dxa"/>
            <w:vMerge/>
            <w:tcBorders>
              <w:top w:val="nil"/>
              <w:left w:val="single" w:sz="8" w:space="0" w:color="auto"/>
              <w:bottom w:val="single" w:sz="8" w:space="0" w:color="000000"/>
              <w:right w:val="single" w:sz="8" w:space="0" w:color="auto"/>
            </w:tcBorders>
            <w:vAlign w:val="center"/>
            <w:hideMark/>
          </w:tcPr>
          <w:p w14:paraId="5FEF24BB" w14:textId="77777777" w:rsidR="00CE0ACC" w:rsidRPr="00795698" w:rsidRDefault="00CE0ACC" w:rsidP="00CE0ACC">
            <w:pPr>
              <w:rPr>
                <w:rFonts w:ascii="Arial" w:hAnsi="Arial" w:cs="Arial"/>
                <w:b/>
                <w:bCs/>
                <w:color w:val="000000"/>
                <w:sz w:val="10"/>
                <w:szCs w:val="10"/>
                <w:lang w:eastAsia="sq-AL"/>
              </w:rPr>
            </w:pPr>
          </w:p>
        </w:tc>
        <w:tc>
          <w:tcPr>
            <w:tcW w:w="669" w:type="dxa"/>
            <w:vMerge/>
            <w:tcBorders>
              <w:top w:val="nil"/>
              <w:left w:val="single" w:sz="8" w:space="0" w:color="auto"/>
              <w:bottom w:val="single" w:sz="4" w:space="0" w:color="000000"/>
              <w:right w:val="single" w:sz="8" w:space="0" w:color="auto"/>
            </w:tcBorders>
            <w:vAlign w:val="center"/>
            <w:hideMark/>
          </w:tcPr>
          <w:p w14:paraId="5FEF24BC" w14:textId="77777777" w:rsidR="00CE0ACC" w:rsidRPr="00795698" w:rsidRDefault="00CE0ACC" w:rsidP="00CE0ACC">
            <w:pPr>
              <w:rPr>
                <w:rFonts w:ascii="Arial" w:hAnsi="Arial" w:cs="Arial"/>
                <w:b/>
                <w:bCs/>
                <w:color w:val="000000"/>
                <w:sz w:val="10"/>
                <w:szCs w:val="10"/>
                <w:lang w:eastAsia="sq-AL"/>
              </w:rPr>
            </w:pPr>
          </w:p>
        </w:tc>
      </w:tr>
      <w:tr w:rsidR="00CE0ACC" w:rsidRPr="00795698" w14:paraId="5FEF24CE" w14:textId="77777777" w:rsidTr="00CE0ACC">
        <w:trPr>
          <w:trHeight w:val="180"/>
          <w:jc w:val="center"/>
        </w:trPr>
        <w:tc>
          <w:tcPr>
            <w:tcW w:w="1210" w:type="dxa"/>
            <w:vMerge/>
            <w:tcBorders>
              <w:top w:val="nil"/>
              <w:left w:val="single" w:sz="8" w:space="0" w:color="auto"/>
              <w:bottom w:val="single" w:sz="4" w:space="0" w:color="000000"/>
              <w:right w:val="single" w:sz="8" w:space="0" w:color="auto"/>
            </w:tcBorders>
            <w:vAlign w:val="center"/>
            <w:hideMark/>
          </w:tcPr>
          <w:p w14:paraId="5FEF24BE" w14:textId="77777777" w:rsidR="00CE0ACC" w:rsidRPr="00795698" w:rsidRDefault="00CE0ACC" w:rsidP="00CE0ACC">
            <w:pPr>
              <w:rPr>
                <w:rFonts w:ascii="Arial" w:hAnsi="Arial" w:cs="Arial"/>
                <w:b/>
                <w:bCs/>
                <w:color w:val="000000"/>
                <w:sz w:val="10"/>
                <w:szCs w:val="10"/>
                <w:lang w:eastAsia="sq-AL"/>
              </w:rPr>
            </w:pPr>
          </w:p>
        </w:tc>
        <w:tc>
          <w:tcPr>
            <w:tcW w:w="726" w:type="dxa"/>
            <w:vMerge/>
            <w:tcBorders>
              <w:top w:val="nil"/>
              <w:left w:val="single" w:sz="8" w:space="0" w:color="auto"/>
              <w:bottom w:val="single" w:sz="8" w:space="0" w:color="000000"/>
              <w:right w:val="single" w:sz="8" w:space="0" w:color="auto"/>
            </w:tcBorders>
            <w:vAlign w:val="center"/>
            <w:hideMark/>
          </w:tcPr>
          <w:p w14:paraId="5FEF24BF" w14:textId="77777777" w:rsidR="00CE0ACC" w:rsidRPr="00795698" w:rsidRDefault="00CE0ACC" w:rsidP="00CE0ACC">
            <w:pPr>
              <w:rPr>
                <w:rFonts w:ascii="Arial" w:hAnsi="Arial" w:cs="Arial"/>
                <w:b/>
                <w:bCs/>
                <w:color w:val="000000"/>
                <w:sz w:val="10"/>
                <w:szCs w:val="10"/>
                <w:lang w:eastAsia="sq-AL"/>
              </w:rPr>
            </w:pPr>
          </w:p>
        </w:tc>
        <w:tc>
          <w:tcPr>
            <w:tcW w:w="727" w:type="dxa"/>
            <w:vMerge/>
            <w:tcBorders>
              <w:top w:val="nil"/>
              <w:left w:val="single" w:sz="8" w:space="0" w:color="auto"/>
              <w:bottom w:val="single" w:sz="8" w:space="0" w:color="000000"/>
              <w:right w:val="single" w:sz="8" w:space="0" w:color="auto"/>
            </w:tcBorders>
            <w:vAlign w:val="center"/>
            <w:hideMark/>
          </w:tcPr>
          <w:p w14:paraId="5FEF24C0" w14:textId="77777777" w:rsidR="00CE0ACC" w:rsidRPr="00795698" w:rsidRDefault="00CE0ACC" w:rsidP="00CE0ACC">
            <w:pPr>
              <w:rPr>
                <w:rFonts w:ascii="Arial" w:hAnsi="Arial" w:cs="Arial"/>
                <w:b/>
                <w:bCs/>
                <w:color w:val="000000"/>
                <w:sz w:val="10"/>
                <w:szCs w:val="10"/>
                <w:lang w:eastAsia="sq-AL"/>
              </w:rPr>
            </w:pPr>
          </w:p>
        </w:tc>
        <w:tc>
          <w:tcPr>
            <w:tcW w:w="498" w:type="dxa"/>
            <w:vMerge/>
            <w:tcBorders>
              <w:top w:val="nil"/>
              <w:left w:val="single" w:sz="8" w:space="0" w:color="auto"/>
              <w:bottom w:val="single" w:sz="8" w:space="0" w:color="000000"/>
              <w:right w:val="single" w:sz="8" w:space="0" w:color="auto"/>
            </w:tcBorders>
            <w:vAlign w:val="center"/>
            <w:hideMark/>
          </w:tcPr>
          <w:p w14:paraId="5FEF24C1" w14:textId="77777777" w:rsidR="00CE0ACC" w:rsidRPr="00795698" w:rsidRDefault="00CE0ACC" w:rsidP="00CE0ACC">
            <w:pPr>
              <w:rPr>
                <w:rFonts w:ascii="Arial" w:hAnsi="Arial" w:cs="Arial"/>
                <w:b/>
                <w:bCs/>
                <w:color w:val="000000"/>
                <w:sz w:val="10"/>
                <w:szCs w:val="10"/>
                <w:lang w:eastAsia="sq-AL"/>
              </w:rPr>
            </w:pPr>
          </w:p>
        </w:tc>
        <w:tc>
          <w:tcPr>
            <w:tcW w:w="2529" w:type="dxa"/>
            <w:vMerge/>
            <w:tcBorders>
              <w:top w:val="nil"/>
              <w:left w:val="single" w:sz="8" w:space="0" w:color="auto"/>
              <w:bottom w:val="single" w:sz="8" w:space="0" w:color="000000"/>
              <w:right w:val="single" w:sz="8" w:space="0" w:color="auto"/>
            </w:tcBorders>
            <w:vAlign w:val="center"/>
            <w:hideMark/>
          </w:tcPr>
          <w:p w14:paraId="5FEF24C2" w14:textId="77777777" w:rsidR="00CE0ACC" w:rsidRPr="00795698" w:rsidRDefault="00CE0ACC" w:rsidP="00CE0ACC">
            <w:pPr>
              <w:rPr>
                <w:rFonts w:ascii="Arial" w:hAnsi="Arial" w:cs="Arial"/>
                <w:b/>
                <w:bCs/>
                <w:color w:val="000000"/>
                <w:sz w:val="10"/>
                <w:szCs w:val="10"/>
                <w:lang w:eastAsia="sq-AL"/>
              </w:rPr>
            </w:pPr>
          </w:p>
        </w:tc>
        <w:tc>
          <w:tcPr>
            <w:tcW w:w="696" w:type="dxa"/>
            <w:tcBorders>
              <w:top w:val="nil"/>
              <w:left w:val="nil"/>
              <w:bottom w:val="single" w:sz="8" w:space="0" w:color="auto"/>
              <w:right w:val="nil"/>
            </w:tcBorders>
            <w:shd w:val="clear" w:color="auto" w:fill="auto"/>
            <w:vAlign w:val="center"/>
            <w:hideMark/>
          </w:tcPr>
          <w:p w14:paraId="5FEF24C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696" w:type="dxa"/>
            <w:tcBorders>
              <w:top w:val="nil"/>
              <w:left w:val="single" w:sz="8" w:space="0" w:color="auto"/>
              <w:bottom w:val="single" w:sz="8" w:space="0" w:color="auto"/>
              <w:right w:val="single" w:sz="8" w:space="0" w:color="auto"/>
            </w:tcBorders>
            <w:shd w:val="clear" w:color="auto" w:fill="auto"/>
            <w:vAlign w:val="center"/>
            <w:hideMark/>
          </w:tcPr>
          <w:p w14:paraId="5FEF24C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696" w:type="dxa"/>
            <w:tcBorders>
              <w:top w:val="nil"/>
              <w:left w:val="nil"/>
              <w:bottom w:val="single" w:sz="8" w:space="0" w:color="auto"/>
              <w:right w:val="single" w:sz="8" w:space="0" w:color="auto"/>
            </w:tcBorders>
            <w:shd w:val="clear" w:color="auto" w:fill="auto"/>
            <w:vAlign w:val="center"/>
            <w:hideMark/>
          </w:tcPr>
          <w:p w14:paraId="5FEF24C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Kosto</w:t>
            </w:r>
          </w:p>
        </w:tc>
        <w:tc>
          <w:tcPr>
            <w:tcW w:w="696" w:type="dxa"/>
            <w:tcBorders>
              <w:top w:val="nil"/>
              <w:left w:val="nil"/>
              <w:bottom w:val="single" w:sz="8" w:space="0" w:color="auto"/>
              <w:right w:val="nil"/>
            </w:tcBorders>
            <w:shd w:val="clear" w:color="auto" w:fill="auto"/>
            <w:vAlign w:val="center"/>
            <w:hideMark/>
          </w:tcPr>
          <w:p w14:paraId="5FEF24C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696" w:type="dxa"/>
            <w:tcBorders>
              <w:top w:val="nil"/>
              <w:left w:val="single" w:sz="8" w:space="0" w:color="auto"/>
              <w:bottom w:val="single" w:sz="8" w:space="0" w:color="auto"/>
              <w:right w:val="single" w:sz="8" w:space="0" w:color="auto"/>
            </w:tcBorders>
            <w:shd w:val="clear" w:color="auto" w:fill="auto"/>
            <w:vAlign w:val="center"/>
            <w:hideMark/>
          </w:tcPr>
          <w:p w14:paraId="5FEF24C7"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696" w:type="dxa"/>
            <w:tcBorders>
              <w:top w:val="nil"/>
              <w:left w:val="nil"/>
              <w:bottom w:val="single" w:sz="8" w:space="0" w:color="auto"/>
              <w:right w:val="single" w:sz="8" w:space="0" w:color="auto"/>
            </w:tcBorders>
            <w:shd w:val="clear" w:color="auto" w:fill="auto"/>
            <w:vAlign w:val="center"/>
            <w:hideMark/>
          </w:tcPr>
          <w:p w14:paraId="5FEF24C8"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BSH</w:t>
            </w:r>
          </w:p>
        </w:tc>
        <w:tc>
          <w:tcPr>
            <w:tcW w:w="696" w:type="dxa"/>
            <w:tcBorders>
              <w:top w:val="nil"/>
              <w:left w:val="nil"/>
              <w:bottom w:val="single" w:sz="8" w:space="0" w:color="auto"/>
              <w:right w:val="nil"/>
            </w:tcBorders>
            <w:shd w:val="clear" w:color="auto" w:fill="auto"/>
            <w:vAlign w:val="center"/>
            <w:hideMark/>
          </w:tcPr>
          <w:p w14:paraId="5FEF24C9"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589" w:type="dxa"/>
            <w:tcBorders>
              <w:top w:val="nil"/>
              <w:left w:val="single" w:sz="8" w:space="0" w:color="auto"/>
              <w:bottom w:val="single" w:sz="8" w:space="0" w:color="auto"/>
              <w:right w:val="single" w:sz="8" w:space="0" w:color="auto"/>
            </w:tcBorders>
            <w:shd w:val="clear" w:color="auto" w:fill="auto"/>
            <w:vAlign w:val="center"/>
            <w:hideMark/>
          </w:tcPr>
          <w:p w14:paraId="5FEF24CA"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717" w:type="dxa"/>
            <w:tcBorders>
              <w:top w:val="nil"/>
              <w:left w:val="nil"/>
              <w:bottom w:val="single" w:sz="8" w:space="0" w:color="auto"/>
              <w:right w:val="single" w:sz="8" w:space="0" w:color="auto"/>
            </w:tcBorders>
            <w:shd w:val="clear" w:color="auto" w:fill="auto"/>
            <w:vAlign w:val="center"/>
            <w:hideMark/>
          </w:tcPr>
          <w:p w14:paraId="5FEF24C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FH</w:t>
            </w:r>
          </w:p>
        </w:tc>
        <w:tc>
          <w:tcPr>
            <w:tcW w:w="621" w:type="dxa"/>
            <w:tcBorders>
              <w:top w:val="nil"/>
              <w:left w:val="nil"/>
              <w:bottom w:val="single" w:sz="8" w:space="0" w:color="auto"/>
              <w:right w:val="single" w:sz="8" w:space="0" w:color="auto"/>
            </w:tcBorders>
            <w:shd w:val="clear" w:color="auto" w:fill="auto"/>
            <w:vAlign w:val="center"/>
            <w:hideMark/>
          </w:tcPr>
          <w:p w14:paraId="5FEF24C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w:t>
            </w:r>
          </w:p>
        </w:tc>
        <w:tc>
          <w:tcPr>
            <w:tcW w:w="669" w:type="dxa"/>
            <w:vMerge/>
            <w:tcBorders>
              <w:top w:val="nil"/>
              <w:left w:val="single" w:sz="8" w:space="0" w:color="auto"/>
              <w:bottom w:val="single" w:sz="4" w:space="0" w:color="000000"/>
              <w:right w:val="single" w:sz="8" w:space="0" w:color="auto"/>
            </w:tcBorders>
            <w:vAlign w:val="center"/>
            <w:hideMark/>
          </w:tcPr>
          <w:p w14:paraId="5FEF24CD" w14:textId="77777777" w:rsidR="00CE0ACC" w:rsidRPr="00795698" w:rsidRDefault="00CE0ACC" w:rsidP="00CE0ACC">
            <w:pPr>
              <w:rPr>
                <w:rFonts w:ascii="Arial" w:hAnsi="Arial" w:cs="Arial"/>
                <w:b/>
                <w:bCs/>
                <w:color w:val="000000"/>
                <w:sz w:val="10"/>
                <w:szCs w:val="10"/>
                <w:lang w:eastAsia="sq-AL"/>
              </w:rPr>
            </w:pPr>
          </w:p>
        </w:tc>
      </w:tr>
      <w:tr w:rsidR="00CE0ACC" w:rsidRPr="00795698" w14:paraId="5FEF24DF" w14:textId="77777777" w:rsidTr="00CE0ACC">
        <w:trPr>
          <w:trHeight w:val="180"/>
          <w:jc w:val="center"/>
        </w:trPr>
        <w:tc>
          <w:tcPr>
            <w:tcW w:w="1210" w:type="dxa"/>
            <w:tcBorders>
              <w:top w:val="single" w:sz="8" w:space="0" w:color="auto"/>
              <w:left w:val="single" w:sz="8" w:space="0" w:color="auto"/>
              <w:bottom w:val="single" w:sz="8" w:space="0" w:color="auto"/>
              <w:right w:val="nil"/>
            </w:tcBorders>
            <w:shd w:val="clear" w:color="auto" w:fill="auto"/>
            <w:vAlign w:val="center"/>
            <w:hideMark/>
          </w:tcPr>
          <w:p w14:paraId="5FEF24CF" w14:textId="52A56FC7" w:rsidR="00CE0ACC" w:rsidRPr="00795698" w:rsidRDefault="00CE0ACC" w:rsidP="00CE0ACC">
            <w:pP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OBJEKTIVI SPECIFIK: Komunikimi strategjik dhe </w:t>
            </w:r>
            <w:r w:rsidR="00C62D65" w:rsidRPr="00795698">
              <w:rPr>
                <w:rFonts w:ascii="Arial" w:hAnsi="Arial" w:cs="Arial"/>
                <w:b/>
                <w:bCs/>
                <w:color w:val="000000"/>
                <w:sz w:val="10"/>
                <w:szCs w:val="10"/>
                <w:lang w:eastAsia="sq-AL"/>
              </w:rPr>
              <w:t>kundër</w:t>
            </w:r>
            <w:r w:rsidRPr="00795698">
              <w:rPr>
                <w:rFonts w:ascii="Arial" w:hAnsi="Arial" w:cs="Arial"/>
                <w:b/>
                <w:bCs/>
                <w:color w:val="000000"/>
                <w:sz w:val="10"/>
                <w:szCs w:val="10"/>
                <w:lang w:eastAsia="sq-AL"/>
              </w:rPr>
              <w:t>narrativa online e ekstremizmit të dhunshëm</w:t>
            </w:r>
            <w:r w:rsidR="007C064A" w:rsidRPr="00795698">
              <w:rPr>
                <w:rFonts w:ascii="Arial" w:hAnsi="Arial" w:cs="Arial"/>
                <w:b/>
                <w:bCs/>
                <w:color w:val="000000"/>
                <w:sz w:val="10"/>
                <w:szCs w:val="10"/>
                <w:lang w:eastAsia="sq-AL"/>
              </w:rPr>
              <w:t xml:space="preserve"> </w:t>
            </w:r>
            <w:r w:rsidRPr="00795698">
              <w:rPr>
                <w:rFonts w:ascii="Arial" w:hAnsi="Arial" w:cs="Arial"/>
                <w:b/>
                <w:bCs/>
                <w:color w:val="000000"/>
                <w:sz w:val="10"/>
                <w:szCs w:val="10"/>
                <w:lang w:eastAsia="sq-AL"/>
              </w:rPr>
              <w:t>dhe radikalizmit</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F24D0"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14:paraId="5FEF24D1"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24D2"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2022</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14:paraId="5FEF24D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2025</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4"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9,496,679</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5"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500,000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9,996,679</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7"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9,146,399</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8"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9"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9,146,399</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4DA"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850,280</w:t>
            </w:r>
          </w:p>
        </w:tc>
        <w:tc>
          <w:tcPr>
            <w:tcW w:w="589" w:type="dxa"/>
            <w:tcBorders>
              <w:top w:val="single" w:sz="4" w:space="0" w:color="auto"/>
              <w:left w:val="nil"/>
              <w:bottom w:val="single" w:sz="4" w:space="0" w:color="auto"/>
              <w:right w:val="single" w:sz="4" w:space="0" w:color="auto"/>
            </w:tcBorders>
            <w:shd w:val="clear" w:color="auto" w:fill="auto"/>
            <w:vAlign w:val="center"/>
            <w:hideMark/>
          </w:tcPr>
          <w:p w14:paraId="5FEF24DB"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5FEF24D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850,280</w:t>
            </w:r>
          </w:p>
        </w:tc>
        <w:tc>
          <w:tcPr>
            <w:tcW w:w="621" w:type="dxa"/>
            <w:tcBorders>
              <w:top w:val="single" w:sz="4" w:space="0" w:color="auto"/>
              <w:left w:val="nil"/>
              <w:bottom w:val="single" w:sz="4" w:space="0" w:color="auto"/>
              <w:right w:val="single" w:sz="4" w:space="0" w:color="auto"/>
            </w:tcBorders>
            <w:shd w:val="clear" w:color="auto" w:fill="auto"/>
            <w:vAlign w:val="center"/>
            <w:hideMark/>
          </w:tcPr>
          <w:p w14:paraId="5FEF24D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69" w:type="dxa"/>
            <w:tcBorders>
              <w:top w:val="nil"/>
              <w:left w:val="nil"/>
              <w:bottom w:val="single" w:sz="4" w:space="0" w:color="auto"/>
              <w:right w:val="single" w:sz="8" w:space="0" w:color="auto"/>
            </w:tcBorders>
            <w:shd w:val="clear" w:color="auto" w:fill="auto"/>
            <w:noWrap/>
            <w:vAlign w:val="center"/>
            <w:hideMark/>
          </w:tcPr>
          <w:p w14:paraId="5FEF24D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81,274</w:t>
            </w:r>
          </w:p>
        </w:tc>
      </w:tr>
      <w:tr w:rsidR="00CE0ACC" w:rsidRPr="00795698" w14:paraId="5FEF24F0" w14:textId="77777777" w:rsidTr="00CE0ACC">
        <w:trPr>
          <w:trHeight w:val="180"/>
          <w:jc w:val="center"/>
        </w:trPr>
        <w:tc>
          <w:tcPr>
            <w:tcW w:w="1210" w:type="dxa"/>
            <w:tcBorders>
              <w:top w:val="single" w:sz="4" w:space="0" w:color="auto"/>
              <w:left w:val="single" w:sz="8" w:space="0" w:color="auto"/>
              <w:bottom w:val="nil"/>
              <w:right w:val="single" w:sz="4" w:space="0" w:color="auto"/>
            </w:tcBorders>
            <w:shd w:val="clear" w:color="auto" w:fill="auto"/>
            <w:vAlign w:val="center"/>
            <w:hideMark/>
          </w:tcPr>
          <w:p w14:paraId="5FEF24E0"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Kosto totale Qëllimi i Politikës II (2.1 )</w:t>
            </w:r>
          </w:p>
        </w:tc>
        <w:tc>
          <w:tcPr>
            <w:tcW w:w="726" w:type="dxa"/>
            <w:tcBorders>
              <w:top w:val="nil"/>
              <w:left w:val="nil"/>
              <w:bottom w:val="single" w:sz="8" w:space="0" w:color="auto"/>
              <w:right w:val="single" w:sz="4" w:space="0" w:color="auto"/>
            </w:tcBorders>
            <w:shd w:val="clear" w:color="auto" w:fill="auto"/>
            <w:noWrap/>
            <w:vAlign w:val="bottom"/>
            <w:hideMark/>
          </w:tcPr>
          <w:p w14:paraId="5FEF24E1"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nil"/>
              <w:left w:val="nil"/>
              <w:bottom w:val="single" w:sz="8" w:space="0" w:color="auto"/>
              <w:right w:val="single" w:sz="4" w:space="0" w:color="auto"/>
            </w:tcBorders>
            <w:shd w:val="clear" w:color="auto" w:fill="auto"/>
            <w:noWrap/>
            <w:vAlign w:val="bottom"/>
            <w:hideMark/>
          </w:tcPr>
          <w:p w14:paraId="5FEF24E2"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nil"/>
              <w:left w:val="nil"/>
              <w:bottom w:val="single" w:sz="8" w:space="0" w:color="auto"/>
              <w:right w:val="single" w:sz="4" w:space="0" w:color="auto"/>
            </w:tcBorders>
            <w:shd w:val="clear" w:color="auto" w:fill="auto"/>
            <w:noWrap/>
            <w:vAlign w:val="bottom"/>
            <w:hideMark/>
          </w:tcPr>
          <w:p w14:paraId="5FEF24E3"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2529" w:type="dxa"/>
            <w:tcBorders>
              <w:top w:val="nil"/>
              <w:left w:val="nil"/>
              <w:bottom w:val="single" w:sz="8" w:space="0" w:color="auto"/>
              <w:right w:val="single" w:sz="4" w:space="0" w:color="auto"/>
            </w:tcBorders>
            <w:shd w:val="clear" w:color="auto" w:fill="auto"/>
            <w:noWrap/>
            <w:vAlign w:val="bottom"/>
            <w:hideMark/>
          </w:tcPr>
          <w:p w14:paraId="5FEF24E4"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696" w:type="dxa"/>
            <w:tcBorders>
              <w:top w:val="nil"/>
              <w:left w:val="nil"/>
              <w:bottom w:val="single" w:sz="8" w:space="0" w:color="auto"/>
              <w:right w:val="single" w:sz="4" w:space="0" w:color="auto"/>
            </w:tcBorders>
            <w:shd w:val="clear" w:color="auto" w:fill="auto"/>
            <w:noWrap/>
            <w:vAlign w:val="center"/>
            <w:hideMark/>
          </w:tcPr>
          <w:p w14:paraId="5FEF24E5"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9,496,679</w:t>
            </w:r>
          </w:p>
        </w:tc>
        <w:tc>
          <w:tcPr>
            <w:tcW w:w="696" w:type="dxa"/>
            <w:tcBorders>
              <w:top w:val="nil"/>
              <w:left w:val="nil"/>
              <w:bottom w:val="single" w:sz="8" w:space="0" w:color="auto"/>
              <w:right w:val="single" w:sz="4" w:space="0" w:color="auto"/>
            </w:tcBorders>
            <w:shd w:val="clear" w:color="auto" w:fill="auto"/>
            <w:noWrap/>
            <w:vAlign w:val="center"/>
            <w:hideMark/>
          </w:tcPr>
          <w:p w14:paraId="5FEF24E6"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500,000</w:t>
            </w:r>
          </w:p>
        </w:tc>
        <w:tc>
          <w:tcPr>
            <w:tcW w:w="696" w:type="dxa"/>
            <w:tcBorders>
              <w:top w:val="nil"/>
              <w:left w:val="nil"/>
              <w:bottom w:val="single" w:sz="8" w:space="0" w:color="auto"/>
              <w:right w:val="single" w:sz="4" w:space="0" w:color="auto"/>
            </w:tcBorders>
            <w:shd w:val="clear" w:color="auto" w:fill="auto"/>
            <w:noWrap/>
            <w:vAlign w:val="center"/>
            <w:hideMark/>
          </w:tcPr>
          <w:p w14:paraId="5FEF24E7"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9,996,679</w:t>
            </w:r>
          </w:p>
        </w:tc>
        <w:tc>
          <w:tcPr>
            <w:tcW w:w="696" w:type="dxa"/>
            <w:tcBorders>
              <w:top w:val="nil"/>
              <w:left w:val="nil"/>
              <w:bottom w:val="single" w:sz="8" w:space="0" w:color="auto"/>
              <w:right w:val="single" w:sz="4" w:space="0" w:color="auto"/>
            </w:tcBorders>
            <w:shd w:val="clear" w:color="auto" w:fill="auto"/>
            <w:noWrap/>
            <w:vAlign w:val="center"/>
            <w:hideMark/>
          </w:tcPr>
          <w:p w14:paraId="5FEF24E8"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9,146,399</w:t>
            </w:r>
          </w:p>
        </w:tc>
        <w:tc>
          <w:tcPr>
            <w:tcW w:w="696" w:type="dxa"/>
            <w:tcBorders>
              <w:top w:val="nil"/>
              <w:left w:val="nil"/>
              <w:bottom w:val="single" w:sz="8" w:space="0" w:color="auto"/>
              <w:right w:val="single" w:sz="4" w:space="0" w:color="auto"/>
            </w:tcBorders>
            <w:shd w:val="clear" w:color="auto" w:fill="auto"/>
            <w:noWrap/>
            <w:vAlign w:val="center"/>
            <w:hideMark/>
          </w:tcPr>
          <w:p w14:paraId="5FEF24E9"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96" w:type="dxa"/>
            <w:tcBorders>
              <w:top w:val="nil"/>
              <w:left w:val="nil"/>
              <w:bottom w:val="single" w:sz="8" w:space="0" w:color="auto"/>
              <w:right w:val="single" w:sz="4" w:space="0" w:color="auto"/>
            </w:tcBorders>
            <w:shd w:val="clear" w:color="auto" w:fill="auto"/>
            <w:noWrap/>
            <w:vAlign w:val="center"/>
            <w:hideMark/>
          </w:tcPr>
          <w:p w14:paraId="5FEF24EA"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9,146,399</w:t>
            </w:r>
          </w:p>
        </w:tc>
        <w:tc>
          <w:tcPr>
            <w:tcW w:w="696" w:type="dxa"/>
            <w:tcBorders>
              <w:top w:val="nil"/>
              <w:left w:val="nil"/>
              <w:bottom w:val="single" w:sz="8" w:space="0" w:color="auto"/>
              <w:right w:val="single" w:sz="4" w:space="0" w:color="auto"/>
            </w:tcBorders>
            <w:shd w:val="clear" w:color="auto" w:fill="auto"/>
            <w:noWrap/>
            <w:vAlign w:val="center"/>
            <w:hideMark/>
          </w:tcPr>
          <w:p w14:paraId="5FEF24EB"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850,280</w:t>
            </w:r>
          </w:p>
        </w:tc>
        <w:tc>
          <w:tcPr>
            <w:tcW w:w="589" w:type="dxa"/>
            <w:tcBorders>
              <w:top w:val="nil"/>
              <w:left w:val="nil"/>
              <w:bottom w:val="single" w:sz="8" w:space="0" w:color="auto"/>
              <w:right w:val="single" w:sz="4" w:space="0" w:color="auto"/>
            </w:tcBorders>
            <w:shd w:val="clear" w:color="auto" w:fill="auto"/>
            <w:noWrap/>
            <w:vAlign w:val="center"/>
            <w:hideMark/>
          </w:tcPr>
          <w:p w14:paraId="5FEF24EC"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717" w:type="dxa"/>
            <w:tcBorders>
              <w:top w:val="nil"/>
              <w:left w:val="nil"/>
              <w:bottom w:val="single" w:sz="8" w:space="0" w:color="auto"/>
              <w:right w:val="single" w:sz="4" w:space="0" w:color="auto"/>
            </w:tcBorders>
            <w:shd w:val="clear" w:color="auto" w:fill="auto"/>
            <w:noWrap/>
            <w:vAlign w:val="center"/>
            <w:hideMark/>
          </w:tcPr>
          <w:p w14:paraId="5FEF24ED"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850,280</w:t>
            </w:r>
          </w:p>
        </w:tc>
        <w:tc>
          <w:tcPr>
            <w:tcW w:w="621" w:type="dxa"/>
            <w:tcBorders>
              <w:top w:val="nil"/>
              <w:left w:val="nil"/>
              <w:bottom w:val="single" w:sz="8" w:space="0" w:color="auto"/>
              <w:right w:val="single" w:sz="4" w:space="0" w:color="auto"/>
            </w:tcBorders>
            <w:shd w:val="clear" w:color="auto" w:fill="auto"/>
            <w:noWrap/>
            <w:vAlign w:val="center"/>
            <w:hideMark/>
          </w:tcPr>
          <w:p w14:paraId="5FEF24EE"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69" w:type="dxa"/>
            <w:tcBorders>
              <w:top w:val="nil"/>
              <w:left w:val="nil"/>
              <w:bottom w:val="single" w:sz="8" w:space="0" w:color="auto"/>
              <w:right w:val="single" w:sz="8" w:space="0" w:color="auto"/>
            </w:tcBorders>
            <w:shd w:val="clear" w:color="000000" w:fill="92D050"/>
            <w:noWrap/>
            <w:vAlign w:val="center"/>
            <w:hideMark/>
          </w:tcPr>
          <w:p w14:paraId="5FEF24EF"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81,274</w:t>
            </w:r>
          </w:p>
        </w:tc>
      </w:tr>
      <w:tr w:rsidR="00CE0ACC" w:rsidRPr="00795698" w14:paraId="5FEF24F2" w14:textId="77777777" w:rsidTr="00CE0ACC">
        <w:trPr>
          <w:trHeight w:val="180"/>
          <w:jc w:val="center"/>
        </w:trPr>
        <w:tc>
          <w:tcPr>
            <w:tcW w:w="13158"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FEF24F1" w14:textId="77777777" w:rsidR="00CE0ACC" w:rsidRPr="00795698" w:rsidRDefault="00CE0ACC" w:rsidP="00CE0ACC">
            <w:pPr>
              <w:rPr>
                <w:rFonts w:ascii="Arial" w:hAnsi="Arial" w:cs="Arial"/>
                <w:b/>
                <w:bCs/>
                <w:color w:val="0070C0"/>
                <w:sz w:val="10"/>
                <w:szCs w:val="10"/>
                <w:lang w:eastAsia="sq-AL"/>
              </w:rPr>
            </w:pPr>
            <w:r w:rsidRPr="00795698">
              <w:rPr>
                <w:rFonts w:ascii="Arial" w:hAnsi="Arial" w:cs="Arial"/>
                <w:b/>
                <w:bCs/>
                <w:color w:val="0070C0"/>
                <w:sz w:val="10"/>
                <w:szCs w:val="10"/>
                <w:lang w:eastAsia="sq-AL"/>
              </w:rPr>
              <w:t>Qëllimi i Politikës III: Reagim nëpërmjet reduktimit dhe lehtësimit të pasojave të fenomeneve të radikalizmit, ekstremizmit të dhunshëm dhe terrorizmit</w:t>
            </w:r>
          </w:p>
        </w:tc>
      </w:tr>
      <w:tr w:rsidR="00CE0ACC" w:rsidRPr="00795698" w14:paraId="5FEF24FA" w14:textId="77777777" w:rsidTr="00CE0ACC">
        <w:trPr>
          <w:trHeight w:val="180"/>
          <w:jc w:val="center"/>
        </w:trPr>
        <w:tc>
          <w:tcPr>
            <w:tcW w:w="1210"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24F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Objektivat Specifik </w:t>
            </w:r>
          </w:p>
        </w:tc>
        <w:tc>
          <w:tcPr>
            <w:tcW w:w="1453" w:type="dxa"/>
            <w:gridSpan w:val="2"/>
            <w:tcBorders>
              <w:top w:val="single" w:sz="8" w:space="0" w:color="auto"/>
              <w:left w:val="nil"/>
              <w:bottom w:val="single" w:sz="8" w:space="0" w:color="auto"/>
              <w:right w:val="single" w:sz="8" w:space="0" w:color="000000"/>
            </w:tcBorders>
            <w:shd w:val="clear" w:color="auto" w:fill="auto"/>
            <w:vAlign w:val="center"/>
            <w:hideMark/>
          </w:tcPr>
          <w:p w14:paraId="5FEF24F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Institucionet përgjegjegjëse</w:t>
            </w:r>
          </w:p>
        </w:tc>
        <w:tc>
          <w:tcPr>
            <w:tcW w:w="3027" w:type="dxa"/>
            <w:gridSpan w:val="2"/>
            <w:tcBorders>
              <w:top w:val="single" w:sz="8" w:space="0" w:color="auto"/>
              <w:left w:val="nil"/>
              <w:bottom w:val="single" w:sz="8" w:space="0" w:color="auto"/>
              <w:right w:val="single" w:sz="8" w:space="0" w:color="000000"/>
            </w:tcBorders>
            <w:shd w:val="clear" w:color="auto" w:fill="auto"/>
            <w:vAlign w:val="center"/>
            <w:hideMark/>
          </w:tcPr>
          <w:p w14:paraId="5FEF24F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Afati i Zbatimit </w:t>
            </w:r>
          </w:p>
        </w:tc>
        <w:tc>
          <w:tcPr>
            <w:tcW w:w="208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EF24F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Kosto indikative totale</w:t>
            </w:r>
          </w:p>
        </w:tc>
        <w:tc>
          <w:tcPr>
            <w:tcW w:w="4090" w:type="dxa"/>
            <w:gridSpan w:val="6"/>
            <w:tcBorders>
              <w:top w:val="single" w:sz="8" w:space="0" w:color="auto"/>
              <w:left w:val="nil"/>
              <w:bottom w:val="single" w:sz="8" w:space="0" w:color="auto"/>
              <w:right w:val="single" w:sz="8" w:space="0" w:color="000000"/>
            </w:tcBorders>
            <w:shd w:val="clear" w:color="auto" w:fill="auto"/>
            <w:vAlign w:val="center"/>
            <w:hideMark/>
          </w:tcPr>
          <w:p w14:paraId="5FEF24F7"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w:t>
            </w:r>
          </w:p>
        </w:tc>
        <w:tc>
          <w:tcPr>
            <w:tcW w:w="621"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F8" w14:textId="30C30655"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Hendeku financiar</w:t>
            </w:r>
            <w:r w:rsidRPr="00795698">
              <w:rPr>
                <w:rFonts w:ascii="Arial" w:hAnsi="Arial" w:cs="Arial"/>
                <w:b/>
                <w:bCs/>
                <w:color w:val="000000"/>
                <w:sz w:val="10"/>
                <w:szCs w:val="10"/>
                <w:lang w:eastAsia="sq-AL"/>
              </w:rPr>
              <w:br/>
            </w:r>
            <w:r w:rsidR="007C064A" w:rsidRPr="00795698">
              <w:rPr>
                <w:rFonts w:ascii="Arial" w:hAnsi="Arial" w:cs="Arial"/>
                <w:b/>
                <w:bCs/>
                <w:color w:val="000000"/>
                <w:sz w:val="10"/>
                <w:szCs w:val="10"/>
                <w:lang w:eastAsia="sq-AL"/>
              </w:rPr>
              <w:t>2021–2025</w:t>
            </w:r>
            <w:r w:rsidRPr="00795698">
              <w:rPr>
                <w:rFonts w:ascii="Arial" w:hAnsi="Arial" w:cs="Arial"/>
                <w:b/>
                <w:bCs/>
                <w:color w:val="000000"/>
                <w:sz w:val="10"/>
                <w:szCs w:val="10"/>
                <w:lang w:eastAsia="sq-AL"/>
              </w:rPr>
              <w:br/>
              <w:t>(në Lekë)</w:t>
            </w:r>
          </w:p>
        </w:tc>
        <w:tc>
          <w:tcPr>
            <w:tcW w:w="669" w:type="dxa"/>
            <w:vMerge w:val="restart"/>
            <w:tcBorders>
              <w:top w:val="nil"/>
              <w:left w:val="single" w:sz="8" w:space="0" w:color="auto"/>
              <w:bottom w:val="single" w:sz="4" w:space="0" w:color="000000"/>
              <w:right w:val="single" w:sz="8" w:space="0" w:color="auto"/>
            </w:tcBorders>
            <w:shd w:val="clear" w:color="auto" w:fill="auto"/>
            <w:vAlign w:val="center"/>
            <w:hideMark/>
          </w:tcPr>
          <w:p w14:paraId="5FEF24F9" w14:textId="6DB76863"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Kosto </w:t>
            </w:r>
            <w:r w:rsidR="00CA234B" w:rsidRPr="00795698">
              <w:rPr>
                <w:rFonts w:ascii="Arial" w:hAnsi="Arial" w:cs="Arial"/>
                <w:b/>
                <w:bCs/>
                <w:color w:val="000000"/>
                <w:sz w:val="10"/>
                <w:szCs w:val="10"/>
                <w:lang w:eastAsia="sq-AL"/>
              </w:rPr>
              <w:t>totale në EUR</w:t>
            </w:r>
            <w:r w:rsidRPr="00795698">
              <w:rPr>
                <w:rFonts w:ascii="Arial" w:hAnsi="Arial" w:cs="Arial"/>
                <w:b/>
                <w:bCs/>
                <w:color w:val="000000"/>
                <w:sz w:val="10"/>
                <w:szCs w:val="10"/>
                <w:lang w:eastAsia="sq-AL"/>
              </w:rPr>
              <w:br/>
              <w:t>(</w:t>
            </w:r>
            <w:r w:rsidR="00CA234B" w:rsidRPr="00795698">
              <w:rPr>
                <w:rFonts w:ascii="Arial" w:hAnsi="Arial" w:cs="Arial"/>
                <w:b/>
                <w:bCs/>
                <w:color w:val="000000"/>
                <w:sz w:val="10"/>
                <w:szCs w:val="10"/>
                <w:lang w:eastAsia="sq-AL"/>
              </w:rPr>
              <w:t>kursi i këmbimit:</w:t>
            </w:r>
            <w:r w:rsidRPr="00795698">
              <w:rPr>
                <w:rFonts w:ascii="Arial" w:hAnsi="Arial" w:cs="Arial"/>
                <w:b/>
                <w:bCs/>
                <w:color w:val="000000"/>
                <w:sz w:val="10"/>
                <w:szCs w:val="10"/>
                <w:lang w:eastAsia="sq-AL"/>
              </w:rPr>
              <w:t xml:space="preserve"> 1 EUR = 123ALL)</w:t>
            </w:r>
          </w:p>
        </w:tc>
      </w:tr>
      <w:tr w:rsidR="00CE0ACC" w:rsidRPr="00795698" w14:paraId="5FEF2505" w14:textId="77777777" w:rsidTr="00CE0ACC">
        <w:trPr>
          <w:trHeight w:val="180"/>
          <w:jc w:val="center"/>
        </w:trPr>
        <w:tc>
          <w:tcPr>
            <w:tcW w:w="1210" w:type="dxa"/>
            <w:vMerge/>
            <w:tcBorders>
              <w:top w:val="nil"/>
              <w:left w:val="single" w:sz="8" w:space="0" w:color="auto"/>
              <w:bottom w:val="single" w:sz="4" w:space="0" w:color="000000"/>
              <w:right w:val="single" w:sz="8" w:space="0" w:color="auto"/>
            </w:tcBorders>
            <w:vAlign w:val="center"/>
            <w:hideMark/>
          </w:tcPr>
          <w:p w14:paraId="5FEF24FB" w14:textId="77777777" w:rsidR="00CE0ACC" w:rsidRPr="00795698" w:rsidRDefault="00CE0ACC" w:rsidP="00CE0ACC">
            <w:pPr>
              <w:rPr>
                <w:rFonts w:ascii="Arial" w:hAnsi="Arial" w:cs="Arial"/>
                <w:b/>
                <w:bCs/>
                <w:color w:val="000000"/>
                <w:sz w:val="10"/>
                <w:szCs w:val="10"/>
                <w:lang w:eastAsia="sq-AL"/>
              </w:rPr>
            </w:pPr>
          </w:p>
        </w:tc>
        <w:tc>
          <w:tcPr>
            <w:tcW w:w="726"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F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Institucioni përgjegjës</w:t>
            </w:r>
          </w:p>
        </w:tc>
        <w:tc>
          <w:tcPr>
            <w:tcW w:w="7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F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Institucioni kontribues</w:t>
            </w:r>
          </w:p>
        </w:tc>
        <w:tc>
          <w:tcPr>
            <w:tcW w:w="498"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F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Afati i fillimit</w:t>
            </w:r>
          </w:p>
        </w:tc>
        <w:tc>
          <w:tcPr>
            <w:tcW w:w="2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FEF24FF" w14:textId="0C8AFF50"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Afati</w:t>
            </w:r>
            <w:r w:rsidR="007C064A" w:rsidRPr="00795698">
              <w:rPr>
                <w:rFonts w:ascii="Arial" w:hAnsi="Arial" w:cs="Arial"/>
                <w:b/>
                <w:bCs/>
                <w:color w:val="000000"/>
                <w:sz w:val="10"/>
                <w:szCs w:val="10"/>
                <w:lang w:eastAsia="sq-AL"/>
              </w:rPr>
              <w:t xml:space="preserve"> </w:t>
            </w:r>
            <w:r w:rsidRPr="00795698">
              <w:rPr>
                <w:rFonts w:ascii="Arial" w:hAnsi="Arial" w:cs="Arial"/>
                <w:b/>
                <w:bCs/>
                <w:color w:val="000000"/>
                <w:sz w:val="10"/>
                <w:szCs w:val="10"/>
                <w:lang w:eastAsia="sq-AL"/>
              </w:rPr>
              <w:t>i mbarimit</w:t>
            </w:r>
          </w:p>
        </w:tc>
        <w:tc>
          <w:tcPr>
            <w:tcW w:w="2088" w:type="dxa"/>
            <w:gridSpan w:val="3"/>
            <w:vMerge/>
            <w:tcBorders>
              <w:top w:val="nil"/>
              <w:left w:val="single" w:sz="8" w:space="0" w:color="auto"/>
              <w:bottom w:val="single" w:sz="8" w:space="0" w:color="000000"/>
              <w:right w:val="single" w:sz="8" w:space="0" w:color="auto"/>
            </w:tcBorders>
            <w:vAlign w:val="center"/>
            <w:hideMark/>
          </w:tcPr>
          <w:p w14:paraId="5FEF2500" w14:textId="77777777" w:rsidR="00CE0ACC" w:rsidRPr="00795698" w:rsidRDefault="00CE0ACC" w:rsidP="00CE0ACC">
            <w:pPr>
              <w:rPr>
                <w:rFonts w:ascii="Arial" w:hAnsi="Arial" w:cs="Arial"/>
                <w:b/>
                <w:bCs/>
                <w:color w:val="000000"/>
                <w:sz w:val="10"/>
                <w:szCs w:val="10"/>
                <w:lang w:eastAsia="sq-AL"/>
              </w:rPr>
            </w:pPr>
          </w:p>
        </w:tc>
        <w:tc>
          <w:tcPr>
            <w:tcW w:w="2088" w:type="dxa"/>
            <w:gridSpan w:val="3"/>
            <w:tcBorders>
              <w:top w:val="single" w:sz="8" w:space="0" w:color="auto"/>
              <w:left w:val="nil"/>
              <w:bottom w:val="single" w:sz="8" w:space="0" w:color="auto"/>
              <w:right w:val="single" w:sz="8" w:space="0" w:color="000000"/>
            </w:tcBorders>
            <w:shd w:val="clear" w:color="auto" w:fill="auto"/>
            <w:vAlign w:val="center"/>
            <w:hideMark/>
          </w:tcPr>
          <w:p w14:paraId="5FEF2501" w14:textId="16003649"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PBA </w:t>
            </w:r>
            <w:r w:rsidR="006249E3" w:rsidRPr="00795698">
              <w:rPr>
                <w:rFonts w:ascii="Arial" w:hAnsi="Arial" w:cs="Arial"/>
                <w:b/>
                <w:bCs/>
                <w:color w:val="000000"/>
                <w:sz w:val="10"/>
                <w:szCs w:val="10"/>
                <w:lang w:eastAsia="sq-AL"/>
              </w:rPr>
              <w:t>2023–2025</w:t>
            </w:r>
          </w:p>
        </w:tc>
        <w:tc>
          <w:tcPr>
            <w:tcW w:w="2002" w:type="dxa"/>
            <w:gridSpan w:val="3"/>
            <w:tcBorders>
              <w:top w:val="single" w:sz="8" w:space="0" w:color="auto"/>
              <w:left w:val="nil"/>
              <w:bottom w:val="single" w:sz="8" w:space="0" w:color="auto"/>
              <w:right w:val="single" w:sz="8" w:space="0" w:color="000000"/>
            </w:tcBorders>
            <w:shd w:val="clear" w:color="auto" w:fill="auto"/>
            <w:vAlign w:val="center"/>
            <w:hideMark/>
          </w:tcPr>
          <w:p w14:paraId="5FEF2502"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Financim i huaj</w:t>
            </w:r>
          </w:p>
        </w:tc>
        <w:tc>
          <w:tcPr>
            <w:tcW w:w="621" w:type="dxa"/>
            <w:vMerge/>
            <w:tcBorders>
              <w:top w:val="nil"/>
              <w:left w:val="single" w:sz="8" w:space="0" w:color="auto"/>
              <w:bottom w:val="single" w:sz="8" w:space="0" w:color="000000"/>
              <w:right w:val="single" w:sz="8" w:space="0" w:color="auto"/>
            </w:tcBorders>
            <w:vAlign w:val="center"/>
            <w:hideMark/>
          </w:tcPr>
          <w:p w14:paraId="5FEF2503" w14:textId="77777777" w:rsidR="00CE0ACC" w:rsidRPr="00795698" w:rsidRDefault="00CE0ACC" w:rsidP="00CE0ACC">
            <w:pPr>
              <w:rPr>
                <w:rFonts w:ascii="Arial" w:hAnsi="Arial" w:cs="Arial"/>
                <w:b/>
                <w:bCs/>
                <w:color w:val="000000"/>
                <w:sz w:val="10"/>
                <w:szCs w:val="10"/>
                <w:lang w:eastAsia="sq-AL"/>
              </w:rPr>
            </w:pPr>
          </w:p>
        </w:tc>
        <w:tc>
          <w:tcPr>
            <w:tcW w:w="669" w:type="dxa"/>
            <w:vMerge/>
            <w:tcBorders>
              <w:top w:val="nil"/>
              <w:left w:val="single" w:sz="8" w:space="0" w:color="auto"/>
              <w:bottom w:val="single" w:sz="4" w:space="0" w:color="000000"/>
              <w:right w:val="single" w:sz="8" w:space="0" w:color="auto"/>
            </w:tcBorders>
            <w:vAlign w:val="center"/>
            <w:hideMark/>
          </w:tcPr>
          <w:p w14:paraId="5FEF2504" w14:textId="77777777" w:rsidR="00CE0ACC" w:rsidRPr="00795698" w:rsidRDefault="00CE0ACC" w:rsidP="00CE0ACC">
            <w:pPr>
              <w:rPr>
                <w:rFonts w:ascii="Arial" w:hAnsi="Arial" w:cs="Arial"/>
                <w:b/>
                <w:bCs/>
                <w:color w:val="000000"/>
                <w:sz w:val="10"/>
                <w:szCs w:val="10"/>
                <w:lang w:eastAsia="sq-AL"/>
              </w:rPr>
            </w:pPr>
          </w:p>
        </w:tc>
      </w:tr>
      <w:tr w:rsidR="00CE0ACC" w:rsidRPr="00795698" w14:paraId="5FEF2516" w14:textId="77777777" w:rsidTr="00CE0ACC">
        <w:trPr>
          <w:trHeight w:val="180"/>
          <w:jc w:val="center"/>
        </w:trPr>
        <w:tc>
          <w:tcPr>
            <w:tcW w:w="1210" w:type="dxa"/>
            <w:vMerge/>
            <w:tcBorders>
              <w:top w:val="nil"/>
              <w:left w:val="single" w:sz="8" w:space="0" w:color="auto"/>
              <w:bottom w:val="single" w:sz="4" w:space="0" w:color="000000"/>
              <w:right w:val="single" w:sz="8" w:space="0" w:color="auto"/>
            </w:tcBorders>
            <w:vAlign w:val="center"/>
            <w:hideMark/>
          </w:tcPr>
          <w:p w14:paraId="5FEF2506" w14:textId="77777777" w:rsidR="00CE0ACC" w:rsidRPr="00795698" w:rsidRDefault="00CE0ACC" w:rsidP="00CE0ACC">
            <w:pPr>
              <w:rPr>
                <w:rFonts w:ascii="Arial" w:hAnsi="Arial" w:cs="Arial"/>
                <w:b/>
                <w:bCs/>
                <w:color w:val="000000"/>
                <w:sz w:val="10"/>
                <w:szCs w:val="10"/>
                <w:lang w:eastAsia="sq-AL"/>
              </w:rPr>
            </w:pPr>
          </w:p>
        </w:tc>
        <w:tc>
          <w:tcPr>
            <w:tcW w:w="726" w:type="dxa"/>
            <w:vMerge/>
            <w:tcBorders>
              <w:top w:val="nil"/>
              <w:left w:val="single" w:sz="8" w:space="0" w:color="auto"/>
              <w:bottom w:val="single" w:sz="8" w:space="0" w:color="000000"/>
              <w:right w:val="single" w:sz="8" w:space="0" w:color="auto"/>
            </w:tcBorders>
            <w:vAlign w:val="center"/>
            <w:hideMark/>
          </w:tcPr>
          <w:p w14:paraId="5FEF2507" w14:textId="77777777" w:rsidR="00CE0ACC" w:rsidRPr="00795698" w:rsidRDefault="00CE0ACC" w:rsidP="00CE0ACC">
            <w:pPr>
              <w:rPr>
                <w:rFonts w:ascii="Arial" w:hAnsi="Arial" w:cs="Arial"/>
                <w:b/>
                <w:bCs/>
                <w:color w:val="000000"/>
                <w:sz w:val="10"/>
                <w:szCs w:val="10"/>
                <w:lang w:eastAsia="sq-AL"/>
              </w:rPr>
            </w:pPr>
          </w:p>
        </w:tc>
        <w:tc>
          <w:tcPr>
            <w:tcW w:w="727" w:type="dxa"/>
            <w:vMerge/>
            <w:tcBorders>
              <w:top w:val="nil"/>
              <w:left w:val="single" w:sz="8" w:space="0" w:color="auto"/>
              <w:bottom w:val="single" w:sz="8" w:space="0" w:color="000000"/>
              <w:right w:val="single" w:sz="8" w:space="0" w:color="auto"/>
            </w:tcBorders>
            <w:vAlign w:val="center"/>
            <w:hideMark/>
          </w:tcPr>
          <w:p w14:paraId="5FEF2508" w14:textId="77777777" w:rsidR="00CE0ACC" w:rsidRPr="00795698" w:rsidRDefault="00CE0ACC" w:rsidP="00CE0ACC">
            <w:pPr>
              <w:rPr>
                <w:rFonts w:ascii="Arial" w:hAnsi="Arial" w:cs="Arial"/>
                <w:b/>
                <w:bCs/>
                <w:color w:val="000000"/>
                <w:sz w:val="10"/>
                <w:szCs w:val="10"/>
                <w:lang w:eastAsia="sq-AL"/>
              </w:rPr>
            </w:pPr>
          </w:p>
        </w:tc>
        <w:tc>
          <w:tcPr>
            <w:tcW w:w="498" w:type="dxa"/>
            <w:vMerge/>
            <w:tcBorders>
              <w:top w:val="nil"/>
              <w:left w:val="single" w:sz="8" w:space="0" w:color="auto"/>
              <w:bottom w:val="single" w:sz="8" w:space="0" w:color="000000"/>
              <w:right w:val="single" w:sz="8" w:space="0" w:color="auto"/>
            </w:tcBorders>
            <w:vAlign w:val="center"/>
            <w:hideMark/>
          </w:tcPr>
          <w:p w14:paraId="5FEF2509" w14:textId="77777777" w:rsidR="00CE0ACC" w:rsidRPr="00795698" w:rsidRDefault="00CE0ACC" w:rsidP="00CE0ACC">
            <w:pPr>
              <w:rPr>
                <w:rFonts w:ascii="Arial" w:hAnsi="Arial" w:cs="Arial"/>
                <w:b/>
                <w:bCs/>
                <w:color w:val="000000"/>
                <w:sz w:val="10"/>
                <w:szCs w:val="10"/>
                <w:lang w:eastAsia="sq-AL"/>
              </w:rPr>
            </w:pPr>
          </w:p>
        </w:tc>
        <w:tc>
          <w:tcPr>
            <w:tcW w:w="2529" w:type="dxa"/>
            <w:vMerge/>
            <w:tcBorders>
              <w:top w:val="nil"/>
              <w:left w:val="single" w:sz="8" w:space="0" w:color="auto"/>
              <w:bottom w:val="single" w:sz="8" w:space="0" w:color="000000"/>
              <w:right w:val="single" w:sz="8" w:space="0" w:color="auto"/>
            </w:tcBorders>
            <w:vAlign w:val="center"/>
            <w:hideMark/>
          </w:tcPr>
          <w:p w14:paraId="5FEF250A" w14:textId="77777777" w:rsidR="00CE0ACC" w:rsidRPr="00795698" w:rsidRDefault="00CE0ACC" w:rsidP="00CE0ACC">
            <w:pPr>
              <w:rPr>
                <w:rFonts w:ascii="Arial" w:hAnsi="Arial" w:cs="Arial"/>
                <w:b/>
                <w:bCs/>
                <w:color w:val="000000"/>
                <w:sz w:val="10"/>
                <w:szCs w:val="10"/>
                <w:lang w:eastAsia="sq-AL"/>
              </w:rPr>
            </w:pPr>
          </w:p>
        </w:tc>
        <w:tc>
          <w:tcPr>
            <w:tcW w:w="696" w:type="dxa"/>
            <w:tcBorders>
              <w:top w:val="nil"/>
              <w:left w:val="nil"/>
              <w:bottom w:val="single" w:sz="8" w:space="0" w:color="auto"/>
              <w:right w:val="nil"/>
            </w:tcBorders>
            <w:shd w:val="clear" w:color="auto" w:fill="auto"/>
            <w:vAlign w:val="center"/>
            <w:hideMark/>
          </w:tcPr>
          <w:p w14:paraId="5FEF250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696" w:type="dxa"/>
            <w:tcBorders>
              <w:top w:val="nil"/>
              <w:left w:val="single" w:sz="8" w:space="0" w:color="auto"/>
              <w:bottom w:val="single" w:sz="8" w:space="0" w:color="auto"/>
              <w:right w:val="single" w:sz="8" w:space="0" w:color="auto"/>
            </w:tcBorders>
            <w:shd w:val="clear" w:color="auto" w:fill="auto"/>
            <w:vAlign w:val="center"/>
            <w:hideMark/>
          </w:tcPr>
          <w:p w14:paraId="5FEF250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696" w:type="dxa"/>
            <w:tcBorders>
              <w:top w:val="nil"/>
              <w:left w:val="nil"/>
              <w:bottom w:val="single" w:sz="8" w:space="0" w:color="auto"/>
              <w:right w:val="single" w:sz="8" w:space="0" w:color="auto"/>
            </w:tcBorders>
            <w:shd w:val="clear" w:color="auto" w:fill="auto"/>
            <w:vAlign w:val="center"/>
            <w:hideMark/>
          </w:tcPr>
          <w:p w14:paraId="5FEF250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Kosto</w:t>
            </w:r>
          </w:p>
        </w:tc>
        <w:tc>
          <w:tcPr>
            <w:tcW w:w="696" w:type="dxa"/>
            <w:tcBorders>
              <w:top w:val="nil"/>
              <w:left w:val="nil"/>
              <w:bottom w:val="single" w:sz="8" w:space="0" w:color="auto"/>
              <w:right w:val="nil"/>
            </w:tcBorders>
            <w:shd w:val="clear" w:color="auto" w:fill="auto"/>
            <w:vAlign w:val="center"/>
            <w:hideMark/>
          </w:tcPr>
          <w:p w14:paraId="5FEF250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696" w:type="dxa"/>
            <w:tcBorders>
              <w:top w:val="nil"/>
              <w:left w:val="single" w:sz="8" w:space="0" w:color="auto"/>
              <w:bottom w:val="single" w:sz="8" w:space="0" w:color="auto"/>
              <w:right w:val="single" w:sz="8" w:space="0" w:color="auto"/>
            </w:tcBorders>
            <w:shd w:val="clear" w:color="auto" w:fill="auto"/>
            <w:vAlign w:val="center"/>
            <w:hideMark/>
          </w:tcPr>
          <w:p w14:paraId="5FEF250F"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696" w:type="dxa"/>
            <w:tcBorders>
              <w:top w:val="nil"/>
              <w:left w:val="nil"/>
              <w:bottom w:val="single" w:sz="8" w:space="0" w:color="auto"/>
              <w:right w:val="single" w:sz="8" w:space="0" w:color="auto"/>
            </w:tcBorders>
            <w:shd w:val="clear" w:color="auto" w:fill="auto"/>
            <w:vAlign w:val="center"/>
            <w:hideMark/>
          </w:tcPr>
          <w:p w14:paraId="5FEF2510"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BSH</w:t>
            </w:r>
          </w:p>
        </w:tc>
        <w:tc>
          <w:tcPr>
            <w:tcW w:w="696" w:type="dxa"/>
            <w:tcBorders>
              <w:top w:val="nil"/>
              <w:left w:val="nil"/>
              <w:bottom w:val="single" w:sz="8" w:space="0" w:color="auto"/>
              <w:right w:val="nil"/>
            </w:tcBorders>
            <w:shd w:val="clear" w:color="auto" w:fill="auto"/>
            <w:vAlign w:val="center"/>
            <w:hideMark/>
          </w:tcPr>
          <w:p w14:paraId="5FEF2511"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Korente</w:t>
            </w:r>
          </w:p>
        </w:tc>
        <w:tc>
          <w:tcPr>
            <w:tcW w:w="589" w:type="dxa"/>
            <w:tcBorders>
              <w:top w:val="nil"/>
              <w:left w:val="single" w:sz="8" w:space="0" w:color="auto"/>
              <w:bottom w:val="single" w:sz="8" w:space="0" w:color="auto"/>
              <w:right w:val="single" w:sz="8" w:space="0" w:color="auto"/>
            </w:tcBorders>
            <w:shd w:val="clear" w:color="auto" w:fill="auto"/>
            <w:vAlign w:val="center"/>
            <w:hideMark/>
          </w:tcPr>
          <w:p w14:paraId="5FEF2512"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Kapitale</w:t>
            </w:r>
          </w:p>
        </w:tc>
        <w:tc>
          <w:tcPr>
            <w:tcW w:w="717" w:type="dxa"/>
            <w:tcBorders>
              <w:top w:val="nil"/>
              <w:left w:val="nil"/>
              <w:bottom w:val="single" w:sz="8" w:space="0" w:color="auto"/>
              <w:right w:val="single" w:sz="8" w:space="0" w:color="auto"/>
            </w:tcBorders>
            <w:shd w:val="clear" w:color="auto" w:fill="auto"/>
            <w:vAlign w:val="center"/>
            <w:hideMark/>
          </w:tcPr>
          <w:p w14:paraId="5FEF251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Total FH</w:t>
            </w:r>
          </w:p>
        </w:tc>
        <w:tc>
          <w:tcPr>
            <w:tcW w:w="621" w:type="dxa"/>
            <w:tcBorders>
              <w:top w:val="nil"/>
              <w:left w:val="nil"/>
              <w:bottom w:val="single" w:sz="8" w:space="0" w:color="auto"/>
              <w:right w:val="single" w:sz="8" w:space="0" w:color="auto"/>
            </w:tcBorders>
            <w:shd w:val="clear" w:color="auto" w:fill="auto"/>
            <w:vAlign w:val="center"/>
            <w:hideMark/>
          </w:tcPr>
          <w:p w14:paraId="5FEF251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 </w:t>
            </w:r>
          </w:p>
        </w:tc>
        <w:tc>
          <w:tcPr>
            <w:tcW w:w="669" w:type="dxa"/>
            <w:vMerge/>
            <w:tcBorders>
              <w:top w:val="nil"/>
              <w:left w:val="single" w:sz="8" w:space="0" w:color="auto"/>
              <w:bottom w:val="single" w:sz="4" w:space="0" w:color="000000"/>
              <w:right w:val="single" w:sz="8" w:space="0" w:color="auto"/>
            </w:tcBorders>
            <w:vAlign w:val="center"/>
            <w:hideMark/>
          </w:tcPr>
          <w:p w14:paraId="5FEF2515" w14:textId="77777777" w:rsidR="00CE0ACC" w:rsidRPr="00795698" w:rsidRDefault="00CE0ACC" w:rsidP="00CE0ACC">
            <w:pPr>
              <w:rPr>
                <w:rFonts w:ascii="Arial" w:hAnsi="Arial" w:cs="Arial"/>
                <w:b/>
                <w:bCs/>
                <w:color w:val="000000"/>
                <w:sz w:val="10"/>
                <w:szCs w:val="10"/>
                <w:lang w:eastAsia="sq-AL"/>
              </w:rPr>
            </w:pPr>
          </w:p>
        </w:tc>
      </w:tr>
      <w:tr w:rsidR="00CE0ACC" w:rsidRPr="00795698" w14:paraId="5FEF2527" w14:textId="77777777" w:rsidTr="00CE0ACC">
        <w:trPr>
          <w:trHeight w:val="180"/>
          <w:jc w:val="center"/>
        </w:trPr>
        <w:tc>
          <w:tcPr>
            <w:tcW w:w="1210" w:type="dxa"/>
            <w:tcBorders>
              <w:top w:val="single" w:sz="8" w:space="0" w:color="auto"/>
              <w:left w:val="single" w:sz="8" w:space="0" w:color="auto"/>
              <w:bottom w:val="single" w:sz="8" w:space="0" w:color="auto"/>
              <w:right w:val="nil"/>
            </w:tcBorders>
            <w:shd w:val="clear" w:color="auto" w:fill="auto"/>
            <w:vAlign w:val="center"/>
            <w:hideMark/>
          </w:tcPr>
          <w:p w14:paraId="5FEF2517" w14:textId="3F057ED1" w:rsidR="00CE0ACC" w:rsidRPr="00795698" w:rsidRDefault="00CE0ACC" w:rsidP="00CE0ACC">
            <w:pPr>
              <w:rPr>
                <w:rFonts w:ascii="Arial" w:hAnsi="Arial" w:cs="Arial"/>
                <w:b/>
                <w:bCs/>
                <w:color w:val="000000"/>
                <w:sz w:val="10"/>
                <w:szCs w:val="10"/>
                <w:lang w:eastAsia="sq-AL"/>
              </w:rPr>
            </w:pPr>
            <w:r w:rsidRPr="00795698">
              <w:rPr>
                <w:rFonts w:ascii="Arial" w:hAnsi="Arial" w:cs="Arial"/>
                <w:b/>
                <w:bCs/>
                <w:color w:val="000000"/>
                <w:sz w:val="10"/>
                <w:szCs w:val="10"/>
                <w:lang w:eastAsia="sq-AL"/>
              </w:rPr>
              <w:t>OBJEKTIVI SPECIFIK:Përmirësim i infrastrukturës dhe ngritje kapacitetesh të punonjësve të institucioneve publike për zhvillimin e programeve t</w:t>
            </w:r>
            <w:r w:rsidR="00C62D65" w:rsidRPr="00795698">
              <w:rPr>
                <w:rFonts w:ascii="Arial" w:hAnsi="Arial" w:cs="Arial"/>
                <w:b/>
                <w:bCs/>
                <w:color w:val="000000"/>
                <w:sz w:val="10"/>
                <w:szCs w:val="10"/>
                <w:lang w:eastAsia="sq-AL"/>
              </w:rPr>
              <w:t>ë</w:t>
            </w:r>
            <w:r w:rsidRPr="00795698">
              <w:rPr>
                <w:rFonts w:ascii="Arial" w:hAnsi="Arial" w:cs="Arial"/>
                <w:b/>
                <w:bCs/>
                <w:color w:val="000000"/>
                <w:sz w:val="10"/>
                <w:szCs w:val="10"/>
                <w:lang w:eastAsia="sq-AL"/>
              </w:rPr>
              <w:t xml:space="preserve"> rehabilitimit dhe riintegrimit për </w:t>
            </w:r>
            <w:r w:rsidRPr="00795698">
              <w:rPr>
                <w:rFonts w:ascii="Arial" w:hAnsi="Arial" w:cs="Arial"/>
                <w:b/>
                <w:bCs/>
                <w:color w:val="000000"/>
                <w:sz w:val="10"/>
                <w:szCs w:val="10"/>
                <w:lang w:eastAsia="sq-AL"/>
              </w:rPr>
              <w:lastRenderedPageBreak/>
              <w:t>personat e radikalizuar ose të kthyerit nga zonat e konfliktit</w:t>
            </w:r>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F2518"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lastRenderedPageBreak/>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14:paraId="5FEF2519"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single" w:sz="4" w:space="0" w:color="auto"/>
              <w:left w:val="nil"/>
              <w:bottom w:val="single" w:sz="4" w:space="0" w:color="auto"/>
              <w:right w:val="single" w:sz="4" w:space="0" w:color="auto"/>
            </w:tcBorders>
            <w:shd w:val="clear" w:color="auto" w:fill="auto"/>
            <w:vAlign w:val="center"/>
            <w:hideMark/>
          </w:tcPr>
          <w:p w14:paraId="5FEF251A"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2022</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14:paraId="5FEF251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2025</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1C"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5,173,040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1D"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500,000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1E"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5,673,040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1F"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4,813,097</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20"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21"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4,813,097</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5FEF2522"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859,943</w:t>
            </w:r>
          </w:p>
        </w:tc>
        <w:tc>
          <w:tcPr>
            <w:tcW w:w="589" w:type="dxa"/>
            <w:tcBorders>
              <w:top w:val="single" w:sz="4" w:space="0" w:color="auto"/>
              <w:left w:val="nil"/>
              <w:bottom w:val="single" w:sz="4" w:space="0" w:color="auto"/>
              <w:right w:val="single" w:sz="4" w:space="0" w:color="auto"/>
            </w:tcBorders>
            <w:shd w:val="clear" w:color="auto" w:fill="auto"/>
            <w:vAlign w:val="center"/>
            <w:hideMark/>
          </w:tcPr>
          <w:p w14:paraId="5FEF2523"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5FEF2524"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859,943</w:t>
            </w:r>
          </w:p>
        </w:tc>
        <w:tc>
          <w:tcPr>
            <w:tcW w:w="621" w:type="dxa"/>
            <w:tcBorders>
              <w:top w:val="single" w:sz="4" w:space="0" w:color="auto"/>
              <w:left w:val="nil"/>
              <w:bottom w:val="single" w:sz="4" w:space="0" w:color="auto"/>
              <w:right w:val="single" w:sz="4" w:space="0" w:color="auto"/>
            </w:tcBorders>
            <w:shd w:val="clear" w:color="auto" w:fill="auto"/>
            <w:vAlign w:val="center"/>
            <w:hideMark/>
          </w:tcPr>
          <w:p w14:paraId="5FEF252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69" w:type="dxa"/>
            <w:tcBorders>
              <w:top w:val="nil"/>
              <w:left w:val="nil"/>
              <w:bottom w:val="single" w:sz="4" w:space="0" w:color="auto"/>
              <w:right w:val="single" w:sz="8" w:space="0" w:color="auto"/>
            </w:tcBorders>
            <w:shd w:val="clear" w:color="auto" w:fill="auto"/>
            <w:noWrap/>
            <w:vAlign w:val="center"/>
            <w:hideMark/>
          </w:tcPr>
          <w:p w14:paraId="5FEF252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46,122</w:t>
            </w:r>
          </w:p>
        </w:tc>
      </w:tr>
      <w:tr w:rsidR="00CE0ACC" w:rsidRPr="00795698" w14:paraId="5FEF2538" w14:textId="77777777" w:rsidTr="00CE0ACC">
        <w:trPr>
          <w:trHeight w:val="180"/>
          <w:jc w:val="center"/>
        </w:trPr>
        <w:tc>
          <w:tcPr>
            <w:tcW w:w="1210" w:type="dxa"/>
            <w:tcBorders>
              <w:top w:val="nil"/>
              <w:left w:val="single" w:sz="8" w:space="0" w:color="auto"/>
              <w:bottom w:val="single" w:sz="8" w:space="0" w:color="auto"/>
              <w:right w:val="nil"/>
            </w:tcBorders>
            <w:shd w:val="clear" w:color="auto" w:fill="auto"/>
            <w:vAlign w:val="center"/>
            <w:hideMark/>
          </w:tcPr>
          <w:p w14:paraId="5FEF2528" w14:textId="3B61E715" w:rsidR="00CE0ACC" w:rsidRPr="00795698" w:rsidRDefault="00CE0ACC" w:rsidP="00C62D65">
            <w:pP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 OBJEKTIVI SPECIFIK:Fuqizimi ekonomik i personave të radikalizuar dhe familjeve t</w:t>
            </w:r>
            <w:r w:rsidR="00C62D65" w:rsidRPr="00795698">
              <w:rPr>
                <w:rFonts w:ascii="Arial" w:hAnsi="Arial" w:cs="Arial"/>
                <w:b/>
                <w:bCs/>
                <w:color w:val="000000"/>
                <w:sz w:val="10"/>
                <w:szCs w:val="10"/>
                <w:lang w:eastAsia="sq-AL"/>
              </w:rPr>
              <w:t>ë</w:t>
            </w:r>
            <w:r w:rsidRPr="00795698">
              <w:rPr>
                <w:rFonts w:ascii="Arial" w:hAnsi="Arial" w:cs="Arial"/>
                <w:b/>
                <w:bCs/>
                <w:color w:val="000000"/>
                <w:sz w:val="10"/>
                <w:szCs w:val="10"/>
                <w:lang w:eastAsia="sq-AL"/>
              </w:rPr>
              <w:t xml:space="preserve"> kthyera nga vendet e luftës përmes integrimit dhe harmonizimit të ndërhyrjeve për kualifikime dhe</w:t>
            </w:r>
            <w:r w:rsidR="007C064A" w:rsidRPr="00795698">
              <w:rPr>
                <w:rFonts w:ascii="Arial" w:hAnsi="Arial" w:cs="Arial"/>
                <w:b/>
                <w:bCs/>
                <w:color w:val="000000"/>
                <w:sz w:val="10"/>
                <w:szCs w:val="10"/>
                <w:lang w:eastAsia="sq-AL"/>
              </w:rPr>
              <w:t xml:space="preserve"> </w:t>
            </w:r>
            <w:r w:rsidRPr="00795698">
              <w:rPr>
                <w:rFonts w:ascii="Arial" w:hAnsi="Arial" w:cs="Arial"/>
                <w:b/>
                <w:bCs/>
                <w:color w:val="000000"/>
                <w:sz w:val="10"/>
                <w:szCs w:val="10"/>
                <w:lang w:eastAsia="sq-AL"/>
              </w:rPr>
              <w:t>punësim</w:t>
            </w:r>
          </w:p>
        </w:tc>
        <w:tc>
          <w:tcPr>
            <w:tcW w:w="726" w:type="dxa"/>
            <w:tcBorders>
              <w:top w:val="nil"/>
              <w:left w:val="single" w:sz="4" w:space="0" w:color="auto"/>
              <w:bottom w:val="single" w:sz="4" w:space="0" w:color="auto"/>
              <w:right w:val="single" w:sz="4" w:space="0" w:color="auto"/>
            </w:tcBorders>
            <w:shd w:val="clear" w:color="auto" w:fill="auto"/>
            <w:vAlign w:val="center"/>
            <w:hideMark/>
          </w:tcPr>
          <w:p w14:paraId="5FEF2529"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nil"/>
              <w:left w:val="nil"/>
              <w:bottom w:val="single" w:sz="4" w:space="0" w:color="auto"/>
              <w:right w:val="single" w:sz="4" w:space="0" w:color="auto"/>
            </w:tcBorders>
            <w:shd w:val="clear" w:color="auto" w:fill="auto"/>
            <w:vAlign w:val="center"/>
            <w:hideMark/>
          </w:tcPr>
          <w:p w14:paraId="5FEF252A"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nil"/>
              <w:left w:val="nil"/>
              <w:bottom w:val="single" w:sz="4" w:space="0" w:color="auto"/>
              <w:right w:val="single" w:sz="4" w:space="0" w:color="auto"/>
            </w:tcBorders>
            <w:shd w:val="clear" w:color="auto" w:fill="auto"/>
            <w:vAlign w:val="center"/>
            <w:hideMark/>
          </w:tcPr>
          <w:p w14:paraId="5FEF252B"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2022</w:t>
            </w:r>
          </w:p>
        </w:tc>
        <w:tc>
          <w:tcPr>
            <w:tcW w:w="2529" w:type="dxa"/>
            <w:tcBorders>
              <w:top w:val="nil"/>
              <w:left w:val="nil"/>
              <w:bottom w:val="single" w:sz="4" w:space="0" w:color="auto"/>
              <w:right w:val="single" w:sz="4" w:space="0" w:color="auto"/>
            </w:tcBorders>
            <w:shd w:val="clear" w:color="auto" w:fill="auto"/>
            <w:vAlign w:val="center"/>
            <w:hideMark/>
          </w:tcPr>
          <w:p w14:paraId="5FEF252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2025</w:t>
            </w:r>
          </w:p>
        </w:tc>
        <w:tc>
          <w:tcPr>
            <w:tcW w:w="696" w:type="dxa"/>
            <w:tcBorders>
              <w:top w:val="nil"/>
              <w:left w:val="nil"/>
              <w:bottom w:val="single" w:sz="4" w:space="0" w:color="auto"/>
              <w:right w:val="single" w:sz="4" w:space="0" w:color="auto"/>
            </w:tcBorders>
            <w:shd w:val="clear" w:color="auto" w:fill="auto"/>
            <w:vAlign w:val="center"/>
            <w:hideMark/>
          </w:tcPr>
          <w:p w14:paraId="5FEF252D"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5,423,730</w:t>
            </w:r>
          </w:p>
        </w:tc>
        <w:tc>
          <w:tcPr>
            <w:tcW w:w="696" w:type="dxa"/>
            <w:tcBorders>
              <w:top w:val="nil"/>
              <w:left w:val="nil"/>
              <w:bottom w:val="single" w:sz="4" w:space="0" w:color="auto"/>
              <w:right w:val="single" w:sz="4" w:space="0" w:color="auto"/>
            </w:tcBorders>
            <w:shd w:val="clear" w:color="auto" w:fill="auto"/>
            <w:vAlign w:val="center"/>
            <w:hideMark/>
          </w:tcPr>
          <w:p w14:paraId="5FEF252E"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nil"/>
              <w:bottom w:val="single" w:sz="4" w:space="0" w:color="auto"/>
              <w:right w:val="single" w:sz="4" w:space="0" w:color="auto"/>
            </w:tcBorders>
            <w:shd w:val="clear" w:color="auto" w:fill="auto"/>
            <w:vAlign w:val="center"/>
            <w:hideMark/>
          </w:tcPr>
          <w:p w14:paraId="5FEF252F"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5,423,730</w:t>
            </w:r>
          </w:p>
        </w:tc>
        <w:tc>
          <w:tcPr>
            <w:tcW w:w="696" w:type="dxa"/>
            <w:tcBorders>
              <w:top w:val="nil"/>
              <w:left w:val="nil"/>
              <w:bottom w:val="single" w:sz="4" w:space="0" w:color="auto"/>
              <w:right w:val="single" w:sz="4" w:space="0" w:color="auto"/>
            </w:tcBorders>
            <w:shd w:val="clear" w:color="auto" w:fill="auto"/>
            <w:vAlign w:val="center"/>
            <w:hideMark/>
          </w:tcPr>
          <w:p w14:paraId="5FEF2530"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5,100,380</w:t>
            </w:r>
          </w:p>
        </w:tc>
        <w:tc>
          <w:tcPr>
            <w:tcW w:w="696" w:type="dxa"/>
            <w:tcBorders>
              <w:top w:val="nil"/>
              <w:left w:val="nil"/>
              <w:bottom w:val="single" w:sz="4" w:space="0" w:color="auto"/>
              <w:right w:val="single" w:sz="4" w:space="0" w:color="auto"/>
            </w:tcBorders>
            <w:shd w:val="clear" w:color="auto" w:fill="auto"/>
            <w:vAlign w:val="center"/>
            <w:hideMark/>
          </w:tcPr>
          <w:p w14:paraId="5FEF2531"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nil"/>
              <w:bottom w:val="single" w:sz="4" w:space="0" w:color="auto"/>
              <w:right w:val="single" w:sz="4" w:space="0" w:color="auto"/>
            </w:tcBorders>
            <w:shd w:val="clear" w:color="auto" w:fill="auto"/>
            <w:vAlign w:val="center"/>
            <w:hideMark/>
          </w:tcPr>
          <w:p w14:paraId="5FEF2532"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5,100,380</w:t>
            </w:r>
          </w:p>
        </w:tc>
        <w:tc>
          <w:tcPr>
            <w:tcW w:w="696" w:type="dxa"/>
            <w:tcBorders>
              <w:top w:val="nil"/>
              <w:left w:val="nil"/>
              <w:bottom w:val="single" w:sz="4" w:space="0" w:color="auto"/>
              <w:right w:val="single" w:sz="4" w:space="0" w:color="auto"/>
            </w:tcBorders>
            <w:shd w:val="clear" w:color="auto" w:fill="auto"/>
            <w:vAlign w:val="center"/>
            <w:hideMark/>
          </w:tcPr>
          <w:p w14:paraId="5FEF2533"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323,350</w:t>
            </w:r>
          </w:p>
        </w:tc>
        <w:tc>
          <w:tcPr>
            <w:tcW w:w="589" w:type="dxa"/>
            <w:tcBorders>
              <w:top w:val="nil"/>
              <w:left w:val="nil"/>
              <w:bottom w:val="single" w:sz="4" w:space="0" w:color="auto"/>
              <w:right w:val="single" w:sz="4" w:space="0" w:color="auto"/>
            </w:tcBorders>
            <w:shd w:val="clear" w:color="auto" w:fill="auto"/>
            <w:vAlign w:val="center"/>
            <w:hideMark/>
          </w:tcPr>
          <w:p w14:paraId="5FEF2534"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717" w:type="dxa"/>
            <w:tcBorders>
              <w:top w:val="nil"/>
              <w:left w:val="nil"/>
              <w:bottom w:val="single" w:sz="4" w:space="0" w:color="auto"/>
              <w:right w:val="single" w:sz="4" w:space="0" w:color="auto"/>
            </w:tcBorders>
            <w:shd w:val="clear" w:color="auto" w:fill="auto"/>
            <w:vAlign w:val="center"/>
            <w:hideMark/>
          </w:tcPr>
          <w:p w14:paraId="5FEF2535"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323,350</w:t>
            </w:r>
          </w:p>
        </w:tc>
        <w:tc>
          <w:tcPr>
            <w:tcW w:w="621" w:type="dxa"/>
            <w:tcBorders>
              <w:top w:val="nil"/>
              <w:left w:val="nil"/>
              <w:bottom w:val="single" w:sz="4" w:space="0" w:color="auto"/>
              <w:right w:val="single" w:sz="4" w:space="0" w:color="auto"/>
            </w:tcBorders>
            <w:shd w:val="clear" w:color="auto" w:fill="auto"/>
            <w:vAlign w:val="center"/>
            <w:hideMark/>
          </w:tcPr>
          <w:p w14:paraId="5FEF253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69" w:type="dxa"/>
            <w:tcBorders>
              <w:top w:val="nil"/>
              <w:left w:val="nil"/>
              <w:bottom w:val="single" w:sz="4" w:space="0" w:color="auto"/>
              <w:right w:val="single" w:sz="8" w:space="0" w:color="auto"/>
            </w:tcBorders>
            <w:shd w:val="clear" w:color="auto" w:fill="auto"/>
            <w:noWrap/>
            <w:vAlign w:val="center"/>
            <w:hideMark/>
          </w:tcPr>
          <w:p w14:paraId="5FEF2537"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44,095</w:t>
            </w:r>
          </w:p>
        </w:tc>
      </w:tr>
      <w:tr w:rsidR="00CE0ACC" w:rsidRPr="00795698" w14:paraId="5FEF2549" w14:textId="77777777" w:rsidTr="00CE0ACC">
        <w:trPr>
          <w:trHeight w:val="180"/>
          <w:jc w:val="center"/>
        </w:trPr>
        <w:tc>
          <w:tcPr>
            <w:tcW w:w="1210" w:type="dxa"/>
            <w:tcBorders>
              <w:top w:val="nil"/>
              <w:left w:val="single" w:sz="8" w:space="0" w:color="auto"/>
              <w:bottom w:val="single" w:sz="8" w:space="0" w:color="auto"/>
              <w:right w:val="nil"/>
            </w:tcBorders>
            <w:shd w:val="clear" w:color="auto" w:fill="auto"/>
            <w:vAlign w:val="center"/>
            <w:hideMark/>
          </w:tcPr>
          <w:p w14:paraId="5FEF2539" w14:textId="24CD0CE4" w:rsidR="00CE0ACC" w:rsidRPr="00795698" w:rsidRDefault="00CE0ACC" w:rsidP="00CE0ACC">
            <w:pPr>
              <w:rPr>
                <w:rFonts w:ascii="Arial" w:hAnsi="Arial" w:cs="Arial"/>
                <w:b/>
                <w:bCs/>
                <w:color w:val="000000"/>
                <w:sz w:val="10"/>
                <w:szCs w:val="10"/>
                <w:lang w:eastAsia="sq-AL"/>
              </w:rPr>
            </w:pPr>
            <w:r w:rsidRPr="00795698">
              <w:rPr>
                <w:rFonts w:ascii="Arial" w:hAnsi="Arial" w:cs="Arial"/>
                <w:b/>
                <w:bCs/>
                <w:color w:val="000000"/>
                <w:sz w:val="10"/>
                <w:szCs w:val="10"/>
                <w:lang w:eastAsia="sq-AL"/>
              </w:rPr>
              <w:t xml:space="preserve"> OBJEKTIVI SPECIFIK: Rritja e aksesit të personave të radikalizuar</w:t>
            </w:r>
            <w:r w:rsidR="007C064A" w:rsidRPr="00795698">
              <w:rPr>
                <w:rFonts w:ascii="Arial" w:hAnsi="Arial" w:cs="Arial"/>
                <w:b/>
                <w:bCs/>
                <w:color w:val="000000"/>
                <w:sz w:val="10"/>
                <w:szCs w:val="10"/>
                <w:lang w:eastAsia="sq-AL"/>
              </w:rPr>
              <w:t xml:space="preserve"> </w:t>
            </w:r>
            <w:r w:rsidRPr="00795698">
              <w:rPr>
                <w:rFonts w:ascii="Arial" w:hAnsi="Arial" w:cs="Arial"/>
                <w:b/>
                <w:bCs/>
                <w:color w:val="000000"/>
                <w:sz w:val="10"/>
                <w:szCs w:val="10"/>
                <w:lang w:eastAsia="sq-AL"/>
              </w:rPr>
              <w:t>dhe të kthyer nga vendet e luftës në programet e strehimit social</w:t>
            </w:r>
          </w:p>
        </w:tc>
        <w:tc>
          <w:tcPr>
            <w:tcW w:w="726" w:type="dxa"/>
            <w:tcBorders>
              <w:top w:val="nil"/>
              <w:left w:val="single" w:sz="4" w:space="0" w:color="auto"/>
              <w:bottom w:val="nil"/>
              <w:right w:val="single" w:sz="4" w:space="0" w:color="auto"/>
            </w:tcBorders>
            <w:shd w:val="clear" w:color="auto" w:fill="auto"/>
            <w:vAlign w:val="center"/>
            <w:hideMark/>
          </w:tcPr>
          <w:p w14:paraId="5FEF253A"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nil"/>
              <w:left w:val="nil"/>
              <w:bottom w:val="nil"/>
              <w:right w:val="single" w:sz="4" w:space="0" w:color="auto"/>
            </w:tcBorders>
            <w:shd w:val="clear" w:color="auto" w:fill="auto"/>
            <w:vAlign w:val="center"/>
            <w:hideMark/>
          </w:tcPr>
          <w:p w14:paraId="5FEF253B"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nil"/>
              <w:left w:val="nil"/>
              <w:bottom w:val="single" w:sz="4" w:space="0" w:color="auto"/>
              <w:right w:val="single" w:sz="4" w:space="0" w:color="auto"/>
            </w:tcBorders>
            <w:shd w:val="clear" w:color="auto" w:fill="auto"/>
            <w:vAlign w:val="center"/>
            <w:hideMark/>
          </w:tcPr>
          <w:p w14:paraId="5FEF253C"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2022</w:t>
            </w:r>
          </w:p>
        </w:tc>
        <w:tc>
          <w:tcPr>
            <w:tcW w:w="2529" w:type="dxa"/>
            <w:tcBorders>
              <w:top w:val="nil"/>
              <w:left w:val="nil"/>
              <w:bottom w:val="single" w:sz="4" w:space="0" w:color="auto"/>
              <w:right w:val="single" w:sz="4" w:space="0" w:color="auto"/>
            </w:tcBorders>
            <w:shd w:val="clear" w:color="auto" w:fill="auto"/>
            <w:vAlign w:val="center"/>
            <w:hideMark/>
          </w:tcPr>
          <w:p w14:paraId="5FEF253D"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2025</w:t>
            </w:r>
          </w:p>
        </w:tc>
        <w:tc>
          <w:tcPr>
            <w:tcW w:w="696" w:type="dxa"/>
            <w:tcBorders>
              <w:top w:val="nil"/>
              <w:left w:val="nil"/>
              <w:bottom w:val="single" w:sz="4" w:space="0" w:color="auto"/>
              <w:right w:val="single" w:sz="4" w:space="0" w:color="auto"/>
            </w:tcBorders>
            <w:shd w:val="clear" w:color="auto" w:fill="auto"/>
            <w:vAlign w:val="center"/>
            <w:hideMark/>
          </w:tcPr>
          <w:p w14:paraId="5FEF253E"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1,299,750</w:t>
            </w:r>
          </w:p>
        </w:tc>
        <w:tc>
          <w:tcPr>
            <w:tcW w:w="696" w:type="dxa"/>
            <w:tcBorders>
              <w:top w:val="nil"/>
              <w:left w:val="nil"/>
              <w:bottom w:val="single" w:sz="4" w:space="0" w:color="auto"/>
              <w:right w:val="single" w:sz="4" w:space="0" w:color="auto"/>
            </w:tcBorders>
            <w:shd w:val="clear" w:color="auto" w:fill="auto"/>
            <w:vAlign w:val="center"/>
            <w:hideMark/>
          </w:tcPr>
          <w:p w14:paraId="5FEF253F"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nil"/>
              <w:bottom w:val="single" w:sz="4" w:space="0" w:color="auto"/>
              <w:right w:val="single" w:sz="4" w:space="0" w:color="auto"/>
            </w:tcBorders>
            <w:shd w:val="clear" w:color="auto" w:fill="auto"/>
            <w:vAlign w:val="center"/>
            <w:hideMark/>
          </w:tcPr>
          <w:p w14:paraId="5FEF2540"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1,299,750</w:t>
            </w:r>
          </w:p>
        </w:tc>
        <w:tc>
          <w:tcPr>
            <w:tcW w:w="696" w:type="dxa"/>
            <w:tcBorders>
              <w:top w:val="nil"/>
              <w:left w:val="nil"/>
              <w:bottom w:val="single" w:sz="4" w:space="0" w:color="auto"/>
              <w:right w:val="single" w:sz="4" w:space="0" w:color="auto"/>
            </w:tcBorders>
            <w:shd w:val="clear" w:color="auto" w:fill="auto"/>
            <w:vAlign w:val="center"/>
            <w:hideMark/>
          </w:tcPr>
          <w:p w14:paraId="5FEF2541"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1,299,750</w:t>
            </w:r>
          </w:p>
        </w:tc>
        <w:tc>
          <w:tcPr>
            <w:tcW w:w="696" w:type="dxa"/>
            <w:tcBorders>
              <w:top w:val="nil"/>
              <w:left w:val="nil"/>
              <w:bottom w:val="single" w:sz="4" w:space="0" w:color="auto"/>
              <w:right w:val="single" w:sz="4" w:space="0" w:color="auto"/>
            </w:tcBorders>
            <w:shd w:val="clear" w:color="auto" w:fill="auto"/>
            <w:vAlign w:val="center"/>
            <w:hideMark/>
          </w:tcPr>
          <w:p w14:paraId="5FEF2542"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nil"/>
              <w:bottom w:val="single" w:sz="4" w:space="0" w:color="auto"/>
              <w:right w:val="single" w:sz="4" w:space="0" w:color="auto"/>
            </w:tcBorders>
            <w:shd w:val="clear" w:color="auto" w:fill="auto"/>
            <w:vAlign w:val="center"/>
            <w:hideMark/>
          </w:tcPr>
          <w:p w14:paraId="5FEF2543"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1,299,750</w:t>
            </w:r>
          </w:p>
        </w:tc>
        <w:tc>
          <w:tcPr>
            <w:tcW w:w="696" w:type="dxa"/>
            <w:tcBorders>
              <w:top w:val="nil"/>
              <w:left w:val="nil"/>
              <w:bottom w:val="single" w:sz="4" w:space="0" w:color="auto"/>
              <w:right w:val="single" w:sz="4" w:space="0" w:color="auto"/>
            </w:tcBorders>
            <w:shd w:val="clear" w:color="auto" w:fill="auto"/>
            <w:vAlign w:val="center"/>
            <w:hideMark/>
          </w:tcPr>
          <w:p w14:paraId="5FEF2544"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589" w:type="dxa"/>
            <w:tcBorders>
              <w:top w:val="nil"/>
              <w:left w:val="nil"/>
              <w:bottom w:val="nil"/>
              <w:right w:val="single" w:sz="4" w:space="0" w:color="auto"/>
            </w:tcBorders>
            <w:shd w:val="clear" w:color="auto" w:fill="auto"/>
            <w:vAlign w:val="center"/>
            <w:hideMark/>
          </w:tcPr>
          <w:p w14:paraId="5FEF2545"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17" w:type="dxa"/>
            <w:tcBorders>
              <w:top w:val="nil"/>
              <w:left w:val="nil"/>
              <w:bottom w:val="single" w:sz="4" w:space="0" w:color="auto"/>
              <w:right w:val="single" w:sz="4" w:space="0" w:color="auto"/>
            </w:tcBorders>
            <w:shd w:val="clear" w:color="auto" w:fill="auto"/>
            <w:vAlign w:val="center"/>
            <w:hideMark/>
          </w:tcPr>
          <w:p w14:paraId="5FEF2546"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21" w:type="dxa"/>
            <w:tcBorders>
              <w:top w:val="nil"/>
              <w:left w:val="nil"/>
              <w:bottom w:val="single" w:sz="4" w:space="0" w:color="auto"/>
              <w:right w:val="single" w:sz="4" w:space="0" w:color="auto"/>
            </w:tcBorders>
            <w:shd w:val="clear" w:color="auto" w:fill="auto"/>
            <w:vAlign w:val="center"/>
            <w:hideMark/>
          </w:tcPr>
          <w:p w14:paraId="5FEF2547"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0</w:t>
            </w:r>
          </w:p>
        </w:tc>
        <w:tc>
          <w:tcPr>
            <w:tcW w:w="669" w:type="dxa"/>
            <w:tcBorders>
              <w:top w:val="nil"/>
              <w:left w:val="nil"/>
              <w:bottom w:val="single" w:sz="4" w:space="0" w:color="auto"/>
              <w:right w:val="single" w:sz="8" w:space="0" w:color="auto"/>
            </w:tcBorders>
            <w:shd w:val="clear" w:color="auto" w:fill="auto"/>
            <w:noWrap/>
            <w:vAlign w:val="center"/>
            <w:hideMark/>
          </w:tcPr>
          <w:p w14:paraId="5FEF2548" w14:textId="77777777" w:rsidR="00CE0ACC" w:rsidRPr="00795698" w:rsidRDefault="00CE0ACC" w:rsidP="00CE0ACC">
            <w:pPr>
              <w:jc w:val="center"/>
              <w:rPr>
                <w:rFonts w:ascii="Arial" w:hAnsi="Arial" w:cs="Arial"/>
                <w:b/>
                <w:bCs/>
                <w:color w:val="000000"/>
                <w:sz w:val="10"/>
                <w:szCs w:val="10"/>
                <w:lang w:eastAsia="sq-AL"/>
              </w:rPr>
            </w:pPr>
            <w:r w:rsidRPr="00795698">
              <w:rPr>
                <w:rFonts w:ascii="Arial" w:hAnsi="Arial" w:cs="Arial"/>
                <w:b/>
                <w:bCs/>
                <w:color w:val="000000"/>
                <w:sz w:val="10"/>
                <w:szCs w:val="10"/>
                <w:lang w:eastAsia="sq-AL"/>
              </w:rPr>
              <w:t>10,567</w:t>
            </w:r>
          </w:p>
        </w:tc>
      </w:tr>
      <w:tr w:rsidR="00CE0ACC" w:rsidRPr="00795698" w14:paraId="5FEF255A" w14:textId="77777777" w:rsidTr="00CE0ACC">
        <w:trPr>
          <w:trHeight w:val="180"/>
          <w:jc w:val="center"/>
        </w:trPr>
        <w:tc>
          <w:tcPr>
            <w:tcW w:w="1210" w:type="dxa"/>
            <w:tcBorders>
              <w:top w:val="single" w:sz="4" w:space="0" w:color="auto"/>
              <w:left w:val="single" w:sz="8" w:space="0" w:color="auto"/>
              <w:bottom w:val="nil"/>
              <w:right w:val="single" w:sz="4" w:space="0" w:color="auto"/>
            </w:tcBorders>
            <w:shd w:val="clear" w:color="auto" w:fill="auto"/>
            <w:vAlign w:val="center"/>
            <w:hideMark/>
          </w:tcPr>
          <w:p w14:paraId="5FEF254A"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Kosto totale Qëllimi i Politikës III(3.1 +3.2 +3.3 )</w:t>
            </w:r>
          </w:p>
        </w:tc>
        <w:tc>
          <w:tcPr>
            <w:tcW w:w="726" w:type="dxa"/>
            <w:tcBorders>
              <w:top w:val="single" w:sz="4" w:space="0" w:color="auto"/>
              <w:left w:val="nil"/>
              <w:bottom w:val="single" w:sz="8" w:space="0" w:color="auto"/>
              <w:right w:val="single" w:sz="4" w:space="0" w:color="auto"/>
            </w:tcBorders>
            <w:shd w:val="clear" w:color="auto" w:fill="auto"/>
            <w:noWrap/>
            <w:vAlign w:val="bottom"/>
            <w:hideMark/>
          </w:tcPr>
          <w:p w14:paraId="5FEF254B"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727" w:type="dxa"/>
            <w:tcBorders>
              <w:top w:val="single" w:sz="4" w:space="0" w:color="auto"/>
              <w:left w:val="nil"/>
              <w:bottom w:val="single" w:sz="8" w:space="0" w:color="auto"/>
              <w:right w:val="single" w:sz="4" w:space="0" w:color="auto"/>
            </w:tcBorders>
            <w:shd w:val="clear" w:color="auto" w:fill="auto"/>
            <w:noWrap/>
            <w:vAlign w:val="bottom"/>
            <w:hideMark/>
          </w:tcPr>
          <w:p w14:paraId="5FEF254C"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498" w:type="dxa"/>
            <w:tcBorders>
              <w:top w:val="nil"/>
              <w:left w:val="nil"/>
              <w:bottom w:val="single" w:sz="8" w:space="0" w:color="auto"/>
              <w:right w:val="single" w:sz="4" w:space="0" w:color="auto"/>
            </w:tcBorders>
            <w:shd w:val="clear" w:color="auto" w:fill="auto"/>
            <w:noWrap/>
            <w:vAlign w:val="bottom"/>
            <w:hideMark/>
          </w:tcPr>
          <w:p w14:paraId="5FEF254D"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2529" w:type="dxa"/>
            <w:tcBorders>
              <w:top w:val="nil"/>
              <w:left w:val="nil"/>
              <w:bottom w:val="single" w:sz="8" w:space="0" w:color="auto"/>
              <w:right w:val="single" w:sz="4" w:space="0" w:color="auto"/>
            </w:tcBorders>
            <w:shd w:val="clear" w:color="auto" w:fill="auto"/>
            <w:noWrap/>
            <w:vAlign w:val="bottom"/>
            <w:hideMark/>
          </w:tcPr>
          <w:p w14:paraId="5FEF254E" w14:textId="77777777" w:rsidR="00CE0ACC" w:rsidRPr="00795698" w:rsidRDefault="00CE0ACC" w:rsidP="00CE0ACC">
            <w:pP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696" w:type="dxa"/>
            <w:tcBorders>
              <w:top w:val="nil"/>
              <w:left w:val="nil"/>
              <w:bottom w:val="single" w:sz="8" w:space="0" w:color="auto"/>
              <w:right w:val="single" w:sz="4" w:space="0" w:color="auto"/>
            </w:tcBorders>
            <w:shd w:val="clear" w:color="auto" w:fill="auto"/>
            <w:noWrap/>
            <w:vAlign w:val="center"/>
            <w:hideMark/>
          </w:tcPr>
          <w:p w14:paraId="5FEF254F"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11,896,520</w:t>
            </w:r>
          </w:p>
        </w:tc>
        <w:tc>
          <w:tcPr>
            <w:tcW w:w="696" w:type="dxa"/>
            <w:tcBorders>
              <w:top w:val="nil"/>
              <w:left w:val="nil"/>
              <w:bottom w:val="single" w:sz="8" w:space="0" w:color="auto"/>
              <w:right w:val="single" w:sz="4" w:space="0" w:color="auto"/>
            </w:tcBorders>
            <w:shd w:val="clear" w:color="auto" w:fill="auto"/>
            <w:noWrap/>
            <w:vAlign w:val="center"/>
            <w:hideMark/>
          </w:tcPr>
          <w:p w14:paraId="5FEF2550"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500,000</w:t>
            </w:r>
          </w:p>
        </w:tc>
        <w:tc>
          <w:tcPr>
            <w:tcW w:w="696" w:type="dxa"/>
            <w:tcBorders>
              <w:top w:val="nil"/>
              <w:left w:val="nil"/>
              <w:bottom w:val="single" w:sz="8" w:space="0" w:color="auto"/>
              <w:right w:val="single" w:sz="4" w:space="0" w:color="auto"/>
            </w:tcBorders>
            <w:shd w:val="clear" w:color="auto" w:fill="auto"/>
            <w:noWrap/>
            <w:vAlign w:val="center"/>
            <w:hideMark/>
          </w:tcPr>
          <w:p w14:paraId="5FEF2551"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12,396,520</w:t>
            </w:r>
          </w:p>
        </w:tc>
        <w:tc>
          <w:tcPr>
            <w:tcW w:w="696" w:type="dxa"/>
            <w:tcBorders>
              <w:top w:val="nil"/>
              <w:left w:val="nil"/>
              <w:bottom w:val="single" w:sz="8" w:space="0" w:color="auto"/>
              <w:right w:val="single" w:sz="4" w:space="0" w:color="auto"/>
            </w:tcBorders>
            <w:shd w:val="clear" w:color="auto" w:fill="auto"/>
            <w:noWrap/>
            <w:vAlign w:val="center"/>
            <w:hideMark/>
          </w:tcPr>
          <w:p w14:paraId="5FEF2552"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11,213,227</w:t>
            </w:r>
          </w:p>
        </w:tc>
        <w:tc>
          <w:tcPr>
            <w:tcW w:w="696" w:type="dxa"/>
            <w:tcBorders>
              <w:top w:val="nil"/>
              <w:left w:val="nil"/>
              <w:bottom w:val="single" w:sz="8" w:space="0" w:color="auto"/>
              <w:right w:val="single" w:sz="4" w:space="0" w:color="auto"/>
            </w:tcBorders>
            <w:shd w:val="clear" w:color="auto" w:fill="auto"/>
            <w:noWrap/>
            <w:vAlign w:val="center"/>
            <w:hideMark/>
          </w:tcPr>
          <w:p w14:paraId="5FEF2553"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96" w:type="dxa"/>
            <w:tcBorders>
              <w:top w:val="nil"/>
              <w:left w:val="nil"/>
              <w:bottom w:val="single" w:sz="8" w:space="0" w:color="auto"/>
              <w:right w:val="single" w:sz="4" w:space="0" w:color="auto"/>
            </w:tcBorders>
            <w:shd w:val="clear" w:color="auto" w:fill="auto"/>
            <w:noWrap/>
            <w:vAlign w:val="center"/>
            <w:hideMark/>
          </w:tcPr>
          <w:p w14:paraId="5FEF2554"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11,213,227</w:t>
            </w:r>
          </w:p>
        </w:tc>
        <w:tc>
          <w:tcPr>
            <w:tcW w:w="696" w:type="dxa"/>
            <w:tcBorders>
              <w:top w:val="nil"/>
              <w:left w:val="nil"/>
              <w:bottom w:val="single" w:sz="8" w:space="0" w:color="auto"/>
              <w:right w:val="single" w:sz="4" w:space="0" w:color="auto"/>
            </w:tcBorders>
            <w:shd w:val="clear" w:color="auto" w:fill="auto"/>
            <w:noWrap/>
            <w:vAlign w:val="center"/>
            <w:hideMark/>
          </w:tcPr>
          <w:p w14:paraId="5FEF2555"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1,183,293</w:t>
            </w:r>
          </w:p>
        </w:tc>
        <w:tc>
          <w:tcPr>
            <w:tcW w:w="589" w:type="dxa"/>
            <w:tcBorders>
              <w:top w:val="single" w:sz="4" w:space="0" w:color="auto"/>
              <w:left w:val="nil"/>
              <w:bottom w:val="single" w:sz="8" w:space="0" w:color="auto"/>
              <w:right w:val="single" w:sz="4" w:space="0" w:color="auto"/>
            </w:tcBorders>
            <w:shd w:val="clear" w:color="auto" w:fill="auto"/>
            <w:noWrap/>
            <w:vAlign w:val="center"/>
            <w:hideMark/>
          </w:tcPr>
          <w:p w14:paraId="5FEF2556"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717" w:type="dxa"/>
            <w:tcBorders>
              <w:top w:val="nil"/>
              <w:left w:val="nil"/>
              <w:bottom w:val="single" w:sz="8" w:space="0" w:color="auto"/>
              <w:right w:val="single" w:sz="4" w:space="0" w:color="auto"/>
            </w:tcBorders>
            <w:shd w:val="clear" w:color="auto" w:fill="auto"/>
            <w:noWrap/>
            <w:vAlign w:val="center"/>
            <w:hideMark/>
          </w:tcPr>
          <w:p w14:paraId="5FEF2557"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1,183,293</w:t>
            </w:r>
          </w:p>
        </w:tc>
        <w:tc>
          <w:tcPr>
            <w:tcW w:w="621" w:type="dxa"/>
            <w:tcBorders>
              <w:top w:val="nil"/>
              <w:left w:val="nil"/>
              <w:bottom w:val="single" w:sz="8" w:space="0" w:color="auto"/>
              <w:right w:val="single" w:sz="4" w:space="0" w:color="auto"/>
            </w:tcBorders>
            <w:shd w:val="clear" w:color="auto" w:fill="auto"/>
            <w:noWrap/>
            <w:vAlign w:val="center"/>
            <w:hideMark/>
          </w:tcPr>
          <w:p w14:paraId="5FEF2558"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69" w:type="dxa"/>
            <w:tcBorders>
              <w:top w:val="nil"/>
              <w:left w:val="nil"/>
              <w:bottom w:val="single" w:sz="8" w:space="0" w:color="auto"/>
              <w:right w:val="single" w:sz="8" w:space="0" w:color="auto"/>
            </w:tcBorders>
            <w:shd w:val="clear" w:color="000000" w:fill="92D050"/>
            <w:noWrap/>
            <w:vAlign w:val="center"/>
            <w:hideMark/>
          </w:tcPr>
          <w:p w14:paraId="5FEF2559"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100,785</w:t>
            </w:r>
          </w:p>
        </w:tc>
      </w:tr>
      <w:tr w:rsidR="00CE0ACC" w:rsidRPr="00795698" w14:paraId="5FEF256B" w14:textId="77777777" w:rsidTr="00CE0ACC">
        <w:trPr>
          <w:trHeight w:val="180"/>
          <w:jc w:val="center"/>
        </w:trPr>
        <w:tc>
          <w:tcPr>
            <w:tcW w:w="1210"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5FEF255B"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Kosto Totale e PV</w:t>
            </w:r>
          </w:p>
        </w:tc>
        <w:tc>
          <w:tcPr>
            <w:tcW w:w="726" w:type="dxa"/>
            <w:tcBorders>
              <w:top w:val="single" w:sz="4" w:space="0" w:color="auto"/>
              <w:left w:val="nil"/>
              <w:bottom w:val="single" w:sz="8" w:space="0" w:color="auto"/>
              <w:right w:val="single" w:sz="4" w:space="0" w:color="auto"/>
            </w:tcBorders>
            <w:shd w:val="clear" w:color="000000" w:fill="BDD7EE"/>
            <w:noWrap/>
            <w:vAlign w:val="center"/>
            <w:hideMark/>
          </w:tcPr>
          <w:p w14:paraId="5FEF255C"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 </w:t>
            </w:r>
          </w:p>
        </w:tc>
        <w:tc>
          <w:tcPr>
            <w:tcW w:w="727" w:type="dxa"/>
            <w:tcBorders>
              <w:top w:val="single" w:sz="4" w:space="0" w:color="auto"/>
              <w:left w:val="nil"/>
              <w:bottom w:val="single" w:sz="8" w:space="0" w:color="auto"/>
              <w:right w:val="single" w:sz="4" w:space="0" w:color="auto"/>
            </w:tcBorders>
            <w:shd w:val="clear" w:color="000000" w:fill="BDD7EE"/>
            <w:noWrap/>
            <w:vAlign w:val="center"/>
            <w:hideMark/>
          </w:tcPr>
          <w:p w14:paraId="5FEF255D"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 </w:t>
            </w:r>
          </w:p>
        </w:tc>
        <w:tc>
          <w:tcPr>
            <w:tcW w:w="498" w:type="dxa"/>
            <w:tcBorders>
              <w:top w:val="single" w:sz="4" w:space="0" w:color="auto"/>
              <w:left w:val="nil"/>
              <w:bottom w:val="single" w:sz="8" w:space="0" w:color="auto"/>
              <w:right w:val="single" w:sz="4" w:space="0" w:color="auto"/>
            </w:tcBorders>
            <w:shd w:val="clear" w:color="000000" w:fill="BDD7EE"/>
            <w:noWrap/>
            <w:vAlign w:val="center"/>
            <w:hideMark/>
          </w:tcPr>
          <w:p w14:paraId="5FEF255E"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 </w:t>
            </w:r>
          </w:p>
        </w:tc>
        <w:tc>
          <w:tcPr>
            <w:tcW w:w="2529" w:type="dxa"/>
            <w:tcBorders>
              <w:top w:val="single" w:sz="4" w:space="0" w:color="auto"/>
              <w:left w:val="nil"/>
              <w:bottom w:val="single" w:sz="8" w:space="0" w:color="auto"/>
              <w:right w:val="single" w:sz="4" w:space="0" w:color="auto"/>
            </w:tcBorders>
            <w:shd w:val="clear" w:color="000000" w:fill="BDD7EE"/>
            <w:noWrap/>
            <w:vAlign w:val="center"/>
            <w:hideMark/>
          </w:tcPr>
          <w:p w14:paraId="5FEF255F" w14:textId="77777777" w:rsidR="00CE0ACC" w:rsidRPr="00795698" w:rsidRDefault="00CE0ACC" w:rsidP="00CE0ACC">
            <w:pPr>
              <w:rPr>
                <w:rFonts w:ascii="Arial" w:hAnsi="Arial" w:cs="Arial"/>
                <w:b/>
                <w:bCs/>
                <w:color w:val="FF0000"/>
                <w:sz w:val="10"/>
                <w:szCs w:val="10"/>
                <w:lang w:eastAsia="sq-AL"/>
              </w:rPr>
            </w:pPr>
            <w:r w:rsidRPr="00795698">
              <w:rPr>
                <w:rFonts w:ascii="Arial" w:hAnsi="Arial" w:cs="Arial"/>
                <w:b/>
                <w:bCs/>
                <w:color w:val="FF0000"/>
                <w:sz w:val="10"/>
                <w:szCs w:val="10"/>
                <w:lang w:eastAsia="sq-AL"/>
              </w:rPr>
              <w:t> </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0"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36,010,800</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1"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1,000,000</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2"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37,010,800</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3"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34,083,487</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4"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5"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34,083,487</w:t>
            </w:r>
          </w:p>
        </w:tc>
        <w:tc>
          <w:tcPr>
            <w:tcW w:w="696" w:type="dxa"/>
            <w:tcBorders>
              <w:top w:val="single" w:sz="4" w:space="0" w:color="auto"/>
              <w:left w:val="nil"/>
              <w:bottom w:val="single" w:sz="8" w:space="0" w:color="auto"/>
              <w:right w:val="single" w:sz="4" w:space="0" w:color="auto"/>
            </w:tcBorders>
            <w:shd w:val="clear" w:color="000000" w:fill="BDD7EE"/>
            <w:noWrap/>
            <w:vAlign w:val="center"/>
            <w:hideMark/>
          </w:tcPr>
          <w:p w14:paraId="5FEF2566"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2,927,313</w:t>
            </w:r>
          </w:p>
        </w:tc>
        <w:tc>
          <w:tcPr>
            <w:tcW w:w="589" w:type="dxa"/>
            <w:tcBorders>
              <w:top w:val="single" w:sz="4" w:space="0" w:color="auto"/>
              <w:left w:val="nil"/>
              <w:bottom w:val="single" w:sz="8" w:space="0" w:color="auto"/>
              <w:right w:val="single" w:sz="4" w:space="0" w:color="auto"/>
            </w:tcBorders>
            <w:shd w:val="clear" w:color="000000" w:fill="BDD7EE"/>
            <w:noWrap/>
            <w:vAlign w:val="center"/>
            <w:hideMark/>
          </w:tcPr>
          <w:p w14:paraId="5FEF2567"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717" w:type="dxa"/>
            <w:tcBorders>
              <w:top w:val="single" w:sz="4" w:space="0" w:color="auto"/>
              <w:left w:val="nil"/>
              <w:bottom w:val="single" w:sz="8" w:space="0" w:color="auto"/>
              <w:right w:val="single" w:sz="4" w:space="0" w:color="auto"/>
            </w:tcBorders>
            <w:shd w:val="clear" w:color="000000" w:fill="BDD7EE"/>
            <w:noWrap/>
            <w:vAlign w:val="center"/>
            <w:hideMark/>
          </w:tcPr>
          <w:p w14:paraId="5FEF2568"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2,927,313</w:t>
            </w:r>
          </w:p>
        </w:tc>
        <w:tc>
          <w:tcPr>
            <w:tcW w:w="621" w:type="dxa"/>
            <w:tcBorders>
              <w:top w:val="single" w:sz="4" w:space="0" w:color="auto"/>
              <w:left w:val="nil"/>
              <w:bottom w:val="single" w:sz="8" w:space="0" w:color="auto"/>
              <w:right w:val="single" w:sz="4" w:space="0" w:color="auto"/>
            </w:tcBorders>
            <w:shd w:val="clear" w:color="000000" w:fill="BDD7EE"/>
            <w:noWrap/>
            <w:vAlign w:val="center"/>
            <w:hideMark/>
          </w:tcPr>
          <w:p w14:paraId="5FEF2569"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0</w:t>
            </w:r>
          </w:p>
        </w:tc>
        <w:tc>
          <w:tcPr>
            <w:tcW w:w="669" w:type="dxa"/>
            <w:tcBorders>
              <w:top w:val="single" w:sz="4" w:space="0" w:color="auto"/>
              <w:left w:val="nil"/>
              <w:bottom w:val="single" w:sz="8" w:space="0" w:color="auto"/>
              <w:right w:val="single" w:sz="4" w:space="0" w:color="auto"/>
            </w:tcBorders>
            <w:shd w:val="clear" w:color="000000" w:fill="BDD7EE"/>
            <w:noWrap/>
            <w:vAlign w:val="center"/>
            <w:hideMark/>
          </w:tcPr>
          <w:p w14:paraId="5FEF256A" w14:textId="77777777" w:rsidR="00CE0ACC" w:rsidRPr="00795698" w:rsidRDefault="00CE0ACC" w:rsidP="00CE0ACC">
            <w:pPr>
              <w:jc w:val="center"/>
              <w:rPr>
                <w:rFonts w:ascii="Arial" w:hAnsi="Arial" w:cs="Arial"/>
                <w:b/>
                <w:bCs/>
                <w:color w:val="FF0000"/>
                <w:sz w:val="10"/>
                <w:szCs w:val="10"/>
                <w:lang w:eastAsia="sq-AL"/>
              </w:rPr>
            </w:pPr>
            <w:r w:rsidRPr="00795698">
              <w:rPr>
                <w:rFonts w:ascii="Arial" w:hAnsi="Arial" w:cs="Arial"/>
                <w:b/>
                <w:bCs/>
                <w:color w:val="FF0000"/>
                <w:sz w:val="10"/>
                <w:szCs w:val="10"/>
                <w:lang w:eastAsia="sq-AL"/>
              </w:rPr>
              <w:t>300,901</w:t>
            </w:r>
          </w:p>
        </w:tc>
      </w:tr>
      <w:tr w:rsidR="00CE0ACC" w:rsidRPr="00795698" w14:paraId="5FEF257C"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6C"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6D"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6E"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6F"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70" w14:textId="77777777" w:rsidR="00CE0ACC" w:rsidRPr="00795698" w:rsidRDefault="00CE0ACC" w:rsidP="00CE0ACC">
            <w:pP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1"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2"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3"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4"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5"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6"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77" w14:textId="77777777" w:rsidR="00CE0ACC" w:rsidRPr="00795698" w:rsidRDefault="00CE0ACC" w:rsidP="00CE0ACC">
            <w:pPr>
              <w:jc w:val="cente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center"/>
            <w:hideMark/>
          </w:tcPr>
          <w:p w14:paraId="5FEF2578"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579"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7A"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7B"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8D"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7D"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7E"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7F"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80"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81" w14:textId="77777777" w:rsidR="00CE0ACC" w:rsidRPr="00795698" w:rsidRDefault="00CE0ACC" w:rsidP="00CE0ACC">
            <w:pP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2"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3"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4"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5"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6"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7"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88" w14:textId="77777777" w:rsidR="00CE0ACC" w:rsidRPr="00795698" w:rsidRDefault="00CE0ACC" w:rsidP="00CE0ACC">
            <w:pPr>
              <w:jc w:val="cente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center"/>
            <w:hideMark/>
          </w:tcPr>
          <w:p w14:paraId="5FEF2589"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58A"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8B"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8C"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9E"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8E"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8F"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90"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91"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92" w14:textId="77777777" w:rsidR="00CE0ACC" w:rsidRPr="00795698" w:rsidRDefault="00CE0ACC" w:rsidP="00CE0ACC">
            <w:pP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3"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4"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5"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6"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7"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8"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99" w14:textId="77777777" w:rsidR="00CE0ACC" w:rsidRPr="00795698" w:rsidRDefault="00CE0ACC" w:rsidP="00CE0ACC">
            <w:pPr>
              <w:jc w:val="cente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center"/>
            <w:hideMark/>
          </w:tcPr>
          <w:p w14:paraId="5FEF259A"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59B"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9C"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9D"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AF"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9F"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A0"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A1"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A2"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A3" w14:textId="0FE42C10" w:rsidR="00CE0ACC" w:rsidRPr="00795698" w:rsidRDefault="007C064A" w:rsidP="00CE0ACC">
            <w:pPr>
              <w:rPr>
                <w:rFonts w:ascii="Arial" w:hAnsi="Arial" w:cs="Arial"/>
                <w:color w:val="000000"/>
                <w:sz w:val="10"/>
                <w:szCs w:val="10"/>
                <w:lang w:eastAsia="sq-AL"/>
              </w:rPr>
            </w:pPr>
            <w:r w:rsidRPr="00795698">
              <w:rPr>
                <w:rFonts w:ascii="Arial" w:hAnsi="Arial" w:cs="Arial"/>
                <w:color w:val="000000"/>
                <w:sz w:val="10"/>
                <w:szCs w:val="10"/>
                <w:lang w:eastAsia="sq-AL"/>
              </w:rPr>
              <w:t xml:space="preserve">                           </w:t>
            </w:r>
            <w:r w:rsidR="00CE0ACC" w:rsidRPr="00795698">
              <w:rPr>
                <w:rFonts w:ascii="Arial" w:hAnsi="Arial" w:cs="Arial"/>
                <w:color w:val="000000"/>
                <w:sz w:val="10"/>
                <w:szCs w:val="10"/>
                <w:lang w:eastAsia="sq-AL"/>
              </w:rPr>
              <w:t xml:space="preserve">300,901 </w:t>
            </w:r>
          </w:p>
        </w:tc>
        <w:tc>
          <w:tcPr>
            <w:tcW w:w="696"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5FEF25A4"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Kosto totale e PV</w:t>
            </w:r>
          </w:p>
        </w:tc>
        <w:tc>
          <w:tcPr>
            <w:tcW w:w="696" w:type="dxa"/>
            <w:tcBorders>
              <w:top w:val="single" w:sz="4" w:space="0" w:color="auto"/>
              <w:left w:val="nil"/>
              <w:bottom w:val="single" w:sz="4" w:space="0" w:color="auto"/>
              <w:right w:val="single" w:sz="4" w:space="0" w:color="auto"/>
            </w:tcBorders>
            <w:shd w:val="clear" w:color="000000" w:fill="4472C4"/>
            <w:noWrap/>
            <w:vAlign w:val="center"/>
            <w:hideMark/>
          </w:tcPr>
          <w:p w14:paraId="5FEF25A5"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37,010,800</w:t>
            </w:r>
          </w:p>
        </w:tc>
        <w:tc>
          <w:tcPr>
            <w:tcW w:w="696" w:type="dxa"/>
            <w:tcBorders>
              <w:top w:val="nil"/>
              <w:left w:val="nil"/>
              <w:bottom w:val="nil"/>
              <w:right w:val="nil"/>
            </w:tcBorders>
            <w:shd w:val="clear" w:color="auto" w:fill="auto"/>
            <w:noWrap/>
            <w:vAlign w:val="center"/>
            <w:hideMark/>
          </w:tcPr>
          <w:p w14:paraId="5FEF25A6"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w:t>
            </w:r>
          </w:p>
        </w:tc>
        <w:tc>
          <w:tcPr>
            <w:tcW w:w="696"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FEF25A7"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 </w:t>
            </w:r>
          </w:p>
        </w:tc>
        <w:tc>
          <w:tcPr>
            <w:tcW w:w="696" w:type="dxa"/>
            <w:tcBorders>
              <w:top w:val="single" w:sz="4" w:space="0" w:color="auto"/>
              <w:left w:val="nil"/>
              <w:bottom w:val="single" w:sz="4" w:space="0" w:color="auto"/>
              <w:right w:val="single" w:sz="4" w:space="0" w:color="auto"/>
            </w:tcBorders>
            <w:shd w:val="clear" w:color="000000" w:fill="70AD47"/>
            <w:noWrap/>
            <w:vAlign w:val="center"/>
            <w:hideMark/>
          </w:tcPr>
          <w:p w14:paraId="5FEF25A8"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Kosto Korente</w:t>
            </w:r>
          </w:p>
        </w:tc>
        <w:tc>
          <w:tcPr>
            <w:tcW w:w="696" w:type="dxa"/>
            <w:tcBorders>
              <w:top w:val="single" w:sz="4" w:space="0" w:color="auto"/>
              <w:left w:val="nil"/>
              <w:bottom w:val="single" w:sz="4" w:space="0" w:color="auto"/>
              <w:right w:val="single" w:sz="4" w:space="0" w:color="auto"/>
            </w:tcBorders>
            <w:shd w:val="clear" w:color="000000" w:fill="70AD47"/>
            <w:noWrap/>
            <w:vAlign w:val="center"/>
            <w:hideMark/>
          </w:tcPr>
          <w:p w14:paraId="5FEF25A9"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Kosto Kapitale</w:t>
            </w:r>
          </w:p>
        </w:tc>
        <w:tc>
          <w:tcPr>
            <w:tcW w:w="696" w:type="dxa"/>
            <w:tcBorders>
              <w:top w:val="single" w:sz="4" w:space="0" w:color="auto"/>
              <w:left w:val="nil"/>
              <w:bottom w:val="single" w:sz="4" w:space="0" w:color="auto"/>
              <w:right w:val="single" w:sz="4" w:space="0" w:color="auto"/>
            </w:tcBorders>
            <w:shd w:val="clear" w:color="000000" w:fill="70AD47"/>
            <w:noWrap/>
            <w:vAlign w:val="center"/>
            <w:hideMark/>
          </w:tcPr>
          <w:p w14:paraId="5FEF25AA"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Totali</w:t>
            </w:r>
          </w:p>
        </w:tc>
        <w:tc>
          <w:tcPr>
            <w:tcW w:w="589" w:type="dxa"/>
            <w:tcBorders>
              <w:top w:val="nil"/>
              <w:left w:val="nil"/>
              <w:bottom w:val="nil"/>
              <w:right w:val="nil"/>
            </w:tcBorders>
            <w:shd w:val="clear" w:color="auto" w:fill="auto"/>
            <w:noWrap/>
            <w:vAlign w:val="center"/>
            <w:hideMark/>
          </w:tcPr>
          <w:p w14:paraId="5FEF25AB"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w:t>
            </w:r>
          </w:p>
        </w:tc>
        <w:tc>
          <w:tcPr>
            <w:tcW w:w="717" w:type="dxa"/>
            <w:tcBorders>
              <w:top w:val="nil"/>
              <w:left w:val="nil"/>
              <w:bottom w:val="nil"/>
              <w:right w:val="nil"/>
            </w:tcBorders>
            <w:shd w:val="clear" w:color="auto" w:fill="auto"/>
            <w:noWrap/>
            <w:vAlign w:val="center"/>
            <w:hideMark/>
          </w:tcPr>
          <w:p w14:paraId="5FEF25AC"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AD"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AE"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C0"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B0"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B1"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B2"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B3"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B4" w14:textId="50869F13" w:rsidR="00CE0ACC" w:rsidRPr="00795698" w:rsidRDefault="007C064A" w:rsidP="00CE0ACC">
            <w:pPr>
              <w:rPr>
                <w:rFonts w:ascii="Arial" w:hAnsi="Arial" w:cs="Arial"/>
                <w:color w:val="000000"/>
                <w:sz w:val="10"/>
                <w:szCs w:val="10"/>
                <w:lang w:eastAsia="sq-AL"/>
              </w:rPr>
            </w:pPr>
            <w:r w:rsidRPr="00795698">
              <w:rPr>
                <w:rFonts w:ascii="Arial" w:hAnsi="Arial" w:cs="Arial"/>
                <w:color w:val="000000"/>
                <w:sz w:val="10"/>
                <w:szCs w:val="10"/>
                <w:lang w:eastAsia="sq-AL"/>
              </w:rPr>
              <w:t xml:space="preserve">                           </w:t>
            </w:r>
            <w:r w:rsidR="00CE0ACC" w:rsidRPr="00795698">
              <w:rPr>
                <w:rFonts w:ascii="Arial" w:hAnsi="Arial" w:cs="Arial"/>
                <w:color w:val="000000"/>
                <w:sz w:val="10"/>
                <w:szCs w:val="10"/>
                <w:lang w:eastAsia="sq-AL"/>
              </w:rPr>
              <w:t xml:space="preserve">277,102 </w:t>
            </w:r>
          </w:p>
        </w:tc>
        <w:tc>
          <w:tcPr>
            <w:tcW w:w="696" w:type="dxa"/>
            <w:tcBorders>
              <w:top w:val="nil"/>
              <w:left w:val="single" w:sz="4" w:space="0" w:color="auto"/>
              <w:bottom w:val="single" w:sz="4" w:space="0" w:color="auto"/>
              <w:right w:val="single" w:sz="4" w:space="0" w:color="auto"/>
            </w:tcBorders>
            <w:shd w:val="clear" w:color="000000" w:fill="4472C4"/>
            <w:vAlign w:val="center"/>
            <w:hideMark/>
          </w:tcPr>
          <w:p w14:paraId="5FEF25B5" w14:textId="2D3762FB"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 xml:space="preserve">PBA </w:t>
            </w:r>
            <w:r w:rsidR="006249E3" w:rsidRPr="00795698">
              <w:rPr>
                <w:rFonts w:ascii="Arial" w:hAnsi="Arial" w:cs="Arial"/>
                <w:color w:val="FFFFFF"/>
                <w:sz w:val="10"/>
                <w:szCs w:val="10"/>
                <w:lang w:eastAsia="sq-AL"/>
              </w:rPr>
              <w:t>2023–2025</w:t>
            </w:r>
          </w:p>
        </w:tc>
        <w:tc>
          <w:tcPr>
            <w:tcW w:w="696" w:type="dxa"/>
            <w:tcBorders>
              <w:top w:val="nil"/>
              <w:left w:val="nil"/>
              <w:bottom w:val="single" w:sz="4" w:space="0" w:color="auto"/>
              <w:right w:val="single" w:sz="4" w:space="0" w:color="auto"/>
            </w:tcBorders>
            <w:shd w:val="clear" w:color="000000" w:fill="4472C4"/>
            <w:noWrap/>
            <w:vAlign w:val="center"/>
            <w:hideMark/>
          </w:tcPr>
          <w:p w14:paraId="5FEF25B6"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34,083,487</w:t>
            </w:r>
          </w:p>
        </w:tc>
        <w:tc>
          <w:tcPr>
            <w:tcW w:w="696" w:type="dxa"/>
            <w:tcBorders>
              <w:top w:val="nil"/>
              <w:left w:val="nil"/>
              <w:bottom w:val="nil"/>
              <w:right w:val="nil"/>
            </w:tcBorders>
            <w:shd w:val="clear" w:color="auto" w:fill="auto"/>
            <w:noWrap/>
            <w:vAlign w:val="center"/>
            <w:hideMark/>
          </w:tcPr>
          <w:p w14:paraId="5FEF25B7"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92</w:t>
            </w:r>
          </w:p>
        </w:tc>
        <w:tc>
          <w:tcPr>
            <w:tcW w:w="696" w:type="dxa"/>
            <w:tcBorders>
              <w:top w:val="nil"/>
              <w:left w:val="single" w:sz="4" w:space="0" w:color="auto"/>
              <w:bottom w:val="single" w:sz="4" w:space="0" w:color="auto"/>
              <w:right w:val="single" w:sz="4" w:space="0" w:color="auto"/>
            </w:tcBorders>
            <w:shd w:val="clear" w:color="000000" w:fill="70AD47"/>
            <w:noWrap/>
            <w:vAlign w:val="center"/>
            <w:hideMark/>
          </w:tcPr>
          <w:p w14:paraId="5FEF25B8"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Qëllimi i Politikës I</w:t>
            </w:r>
          </w:p>
        </w:tc>
        <w:tc>
          <w:tcPr>
            <w:tcW w:w="696" w:type="dxa"/>
            <w:tcBorders>
              <w:top w:val="nil"/>
              <w:left w:val="nil"/>
              <w:bottom w:val="single" w:sz="4" w:space="0" w:color="auto"/>
              <w:right w:val="single" w:sz="4" w:space="0" w:color="auto"/>
            </w:tcBorders>
            <w:shd w:val="clear" w:color="000000" w:fill="70AD47"/>
            <w:noWrap/>
            <w:vAlign w:val="center"/>
            <w:hideMark/>
          </w:tcPr>
          <w:p w14:paraId="5FEF25B9"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14,617,601</w:t>
            </w:r>
          </w:p>
        </w:tc>
        <w:tc>
          <w:tcPr>
            <w:tcW w:w="696" w:type="dxa"/>
            <w:tcBorders>
              <w:top w:val="nil"/>
              <w:left w:val="nil"/>
              <w:bottom w:val="single" w:sz="4" w:space="0" w:color="auto"/>
              <w:right w:val="single" w:sz="4" w:space="0" w:color="auto"/>
            </w:tcBorders>
            <w:shd w:val="clear" w:color="000000" w:fill="70AD47"/>
            <w:noWrap/>
            <w:vAlign w:val="center"/>
            <w:hideMark/>
          </w:tcPr>
          <w:p w14:paraId="5FEF25BA"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0</w:t>
            </w:r>
          </w:p>
        </w:tc>
        <w:tc>
          <w:tcPr>
            <w:tcW w:w="696" w:type="dxa"/>
            <w:tcBorders>
              <w:top w:val="nil"/>
              <w:left w:val="nil"/>
              <w:bottom w:val="single" w:sz="4" w:space="0" w:color="auto"/>
              <w:right w:val="single" w:sz="4" w:space="0" w:color="auto"/>
            </w:tcBorders>
            <w:shd w:val="clear" w:color="000000" w:fill="70AD47"/>
            <w:noWrap/>
            <w:vAlign w:val="center"/>
            <w:hideMark/>
          </w:tcPr>
          <w:p w14:paraId="5FEF25BB"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14,617,601</w:t>
            </w:r>
          </w:p>
        </w:tc>
        <w:tc>
          <w:tcPr>
            <w:tcW w:w="589" w:type="dxa"/>
            <w:tcBorders>
              <w:top w:val="nil"/>
              <w:left w:val="nil"/>
              <w:bottom w:val="nil"/>
              <w:right w:val="nil"/>
            </w:tcBorders>
            <w:shd w:val="clear" w:color="auto" w:fill="auto"/>
            <w:noWrap/>
            <w:vAlign w:val="center"/>
            <w:hideMark/>
          </w:tcPr>
          <w:p w14:paraId="5FEF25BC"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39</w:t>
            </w:r>
          </w:p>
        </w:tc>
        <w:tc>
          <w:tcPr>
            <w:tcW w:w="717" w:type="dxa"/>
            <w:tcBorders>
              <w:top w:val="nil"/>
              <w:left w:val="nil"/>
              <w:bottom w:val="nil"/>
              <w:right w:val="nil"/>
            </w:tcBorders>
            <w:shd w:val="clear" w:color="auto" w:fill="auto"/>
            <w:noWrap/>
            <w:vAlign w:val="center"/>
            <w:hideMark/>
          </w:tcPr>
          <w:p w14:paraId="5FEF25BD"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BE"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BF"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D1"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C1"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C2"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C3"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C4"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C5" w14:textId="1100E3D3" w:rsidR="00CE0ACC" w:rsidRPr="00795698" w:rsidRDefault="007C064A" w:rsidP="00CE0ACC">
            <w:pPr>
              <w:rPr>
                <w:rFonts w:ascii="Arial" w:hAnsi="Arial" w:cs="Arial"/>
                <w:color w:val="000000"/>
                <w:sz w:val="10"/>
                <w:szCs w:val="10"/>
                <w:lang w:eastAsia="sq-AL"/>
              </w:rPr>
            </w:pPr>
            <w:r w:rsidRPr="00795698">
              <w:rPr>
                <w:rFonts w:ascii="Arial" w:hAnsi="Arial" w:cs="Arial"/>
                <w:color w:val="000000"/>
                <w:sz w:val="10"/>
                <w:szCs w:val="10"/>
                <w:lang w:eastAsia="sq-AL"/>
              </w:rPr>
              <w:t xml:space="preserve">                            </w:t>
            </w:r>
            <w:r w:rsidR="00CE0ACC" w:rsidRPr="00795698">
              <w:rPr>
                <w:rFonts w:ascii="Arial" w:hAnsi="Arial" w:cs="Arial"/>
                <w:color w:val="000000"/>
                <w:sz w:val="10"/>
                <w:szCs w:val="10"/>
                <w:lang w:eastAsia="sq-AL"/>
              </w:rPr>
              <w:t xml:space="preserve">23,799 </w:t>
            </w:r>
          </w:p>
        </w:tc>
        <w:tc>
          <w:tcPr>
            <w:tcW w:w="696" w:type="dxa"/>
            <w:tcBorders>
              <w:top w:val="nil"/>
              <w:left w:val="single" w:sz="4" w:space="0" w:color="auto"/>
              <w:bottom w:val="single" w:sz="4" w:space="0" w:color="auto"/>
              <w:right w:val="single" w:sz="4" w:space="0" w:color="auto"/>
            </w:tcBorders>
            <w:shd w:val="clear" w:color="000000" w:fill="4472C4"/>
            <w:vAlign w:val="center"/>
            <w:hideMark/>
          </w:tcPr>
          <w:p w14:paraId="5FEF25C6"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Financim I Huaj</w:t>
            </w:r>
          </w:p>
        </w:tc>
        <w:tc>
          <w:tcPr>
            <w:tcW w:w="696" w:type="dxa"/>
            <w:tcBorders>
              <w:top w:val="nil"/>
              <w:left w:val="nil"/>
              <w:bottom w:val="single" w:sz="4" w:space="0" w:color="auto"/>
              <w:right w:val="single" w:sz="4" w:space="0" w:color="auto"/>
            </w:tcBorders>
            <w:shd w:val="clear" w:color="000000" w:fill="4472C4"/>
            <w:noWrap/>
            <w:vAlign w:val="center"/>
            <w:hideMark/>
          </w:tcPr>
          <w:p w14:paraId="5FEF25C7"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2,927,313</w:t>
            </w:r>
          </w:p>
        </w:tc>
        <w:tc>
          <w:tcPr>
            <w:tcW w:w="696" w:type="dxa"/>
            <w:tcBorders>
              <w:top w:val="nil"/>
              <w:left w:val="nil"/>
              <w:bottom w:val="nil"/>
              <w:right w:val="nil"/>
            </w:tcBorders>
            <w:shd w:val="clear" w:color="auto" w:fill="auto"/>
            <w:noWrap/>
            <w:vAlign w:val="center"/>
            <w:hideMark/>
          </w:tcPr>
          <w:p w14:paraId="5FEF25C8"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8</w:t>
            </w:r>
          </w:p>
        </w:tc>
        <w:tc>
          <w:tcPr>
            <w:tcW w:w="696" w:type="dxa"/>
            <w:tcBorders>
              <w:top w:val="nil"/>
              <w:left w:val="single" w:sz="4" w:space="0" w:color="auto"/>
              <w:bottom w:val="single" w:sz="4" w:space="0" w:color="auto"/>
              <w:right w:val="single" w:sz="4" w:space="0" w:color="auto"/>
            </w:tcBorders>
            <w:shd w:val="clear" w:color="000000" w:fill="70AD47"/>
            <w:noWrap/>
            <w:vAlign w:val="center"/>
            <w:hideMark/>
          </w:tcPr>
          <w:p w14:paraId="5FEF25C9"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Qëllimi i Politikës II</w:t>
            </w:r>
          </w:p>
        </w:tc>
        <w:tc>
          <w:tcPr>
            <w:tcW w:w="696" w:type="dxa"/>
            <w:tcBorders>
              <w:top w:val="nil"/>
              <w:left w:val="nil"/>
              <w:bottom w:val="single" w:sz="4" w:space="0" w:color="auto"/>
              <w:right w:val="single" w:sz="4" w:space="0" w:color="auto"/>
            </w:tcBorders>
            <w:shd w:val="clear" w:color="000000" w:fill="70AD47"/>
            <w:noWrap/>
            <w:vAlign w:val="center"/>
            <w:hideMark/>
          </w:tcPr>
          <w:p w14:paraId="5FEF25CA"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9,496,679</w:t>
            </w:r>
          </w:p>
        </w:tc>
        <w:tc>
          <w:tcPr>
            <w:tcW w:w="696" w:type="dxa"/>
            <w:tcBorders>
              <w:top w:val="nil"/>
              <w:left w:val="nil"/>
              <w:bottom w:val="single" w:sz="4" w:space="0" w:color="auto"/>
              <w:right w:val="single" w:sz="4" w:space="0" w:color="auto"/>
            </w:tcBorders>
            <w:shd w:val="clear" w:color="000000" w:fill="70AD47"/>
            <w:noWrap/>
            <w:vAlign w:val="center"/>
            <w:hideMark/>
          </w:tcPr>
          <w:p w14:paraId="5FEF25CB"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500,000</w:t>
            </w:r>
          </w:p>
        </w:tc>
        <w:tc>
          <w:tcPr>
            <w:tcW w:w="696" w:type="dxa"/>
            <w:tcBorders>
              <w:top w:val="nil"/>
              <w:left w:val="nil"/>
              <w:bottom w:val="single" w:sz="4" w:space="0" w:color="auto"/>
              <w:right w:val="single" w:sz="4" w:space="0" w:color="auto"/>
            </w:tcBorders>
            <w:shd w:val="clear" w:color="000000" w:fill="70AD47"/>
            <w:noWrap/>
            <w:vAlign w:val="center"/>
            <w:hideMark/>
          </w:tcPr>
          <w:p w14:paraId="5FEF25CC"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9,996,679</w:t>
            </w:r>
          </w:p>
        </w:tc>
        <w:tc>
          <w:tcPr>
            <w:tcW w:w="589" w:type="dxa"/>
            <w:tcBorders>
              <w:top w:val="nil"/>
              <w:left w:val="nil"/>
              <w:bottom w:val="nil"/>
              <w:right w:val="nil"/>
            </w:tcBorders>
            <w:shd w:val="clear" w:color="auto" w:fill="auto"/>
            <w:noWrap/>
            <w:vAlign w:val="center"/>
            <w:hideMark/>
          </w:tcPr>
          <w:p w14:paraId="5FEF25CD"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27</w:t>
            </w:r>
          </w:p>
        </w:tc>
        <w:tc>
          <w:tcPr>
            <w:tcW w:w="717" w:type="dxa"/>
            <w:tcBorders>
              <w:top w:val="nil"/>
              <w:left w:val="nil"/>
              <w:bottom w:val="nil"/>
              <w:right w:val="nil"/>
            </w:tcBorders>
            <w:shd w:val="clear" w:color="auto" w:fill="auto"/>
            <w:noWrap/>
            <w:vAlign w:val="bottom"/>
            <w:hideMark/>
          </w:tcPr>
          <w:p w14:paraId="5FEF25CE" w14:textId="77777777" w:rsidR="00CE0ACC" w:rsidRPr="00795698" w:rsidRDefault="00CE0ACC" w:rsidP="00CE0ACC">
            <w:pP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CF"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D0"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E2"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D2"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D3"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D4"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D5"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D6" w14:textId="77777777" w:rsidR="00CE0ACC" w:rsidRPr="00795698" w:rsidRDefault="00CE0ACC" w:rsidP="00CE0ACC">
            <w:pPr>
              <w:jc w:val="right"/>
              <w:rPr>
                <w:rFonts w:ascii="Arial" w:hAnsi="Arial" w:cs="Arial"/>
                <w:color w:val="000000"/>
                <w:sz w:val="10"/>
                <w:szCs w:val="10"/>
                <w:lang w:eastAsia="sq-AL"/>
              </w:rPr>
            </w:pPr>
            <w:r w:rsidRPr="00795698">
              <w:rPr>
                <w:rFonts w:ascii="Arial" w:hAnsi="Arial" w:cs="Arial"/>
                <w:color w:val="000000"/>
                <w:sz w:val="10"/>
                <w:szCs w:val="10"/>
                <w:lang w:eastAsia="sq-AL"/>
              </w:rPr>
              <w:t>0</w:t>
            </w:r>
          </w:p>
        </w:tc>
        <w:tc>
          <w:tcPr>
            <w:tcW w:w="696" w:type="dxa"/>
            <w:tcBorders>
              <w:top w:val="nil"/>
              <w:left w:val="single" w:sz="4" w:space="0" w:color="auto"/>
              <w:bottom w:val="single" w:sz="4" w:space="0" w:color="auto"/>
              <w:right w:val="single" w:sz="4" w:space="0" w:color="auto"/>
            </w:tcBorders>
            <w:shd w:val="clear" w:color="000000" w:fill="4472C4"/>
            <w:vAlign w:val="center"/>
            <w:hideMark/>
          </w:tcPr>
          <w:p w14:paraId="5FEF25D7" w14:textId="7C33613A"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 xml:space="preserve">Hendek financiar </w:t>
            </w:r>
            <w:r w:rsidR="006249E3" w:rsidRPr="00795698">
              <w:rPr>
                <w:rFonts w:ascii="Arial" w:hAnsi="Arial" w:cs="Arial"/>
                <w:color w:val="FFFFFF"/>
                <w:sz w:val="10"/>
                <w:szCs w:val="10"/>
                <w:lang w:eastAsia="sq-AL"/>
              </w:rPr>
              <w:t>2023–2025</w:t>
            </w:r>
          </w:p>
        </w:tc>
        <w:tc>
          <w:tcPr>
            <w:tcW w:w="696" w:type="dxa"/>
            <w:tcBorders>
              <w:top w:val="nil"/>
              <w:left w:val="nil"/>
              <w:bottom w:val="single" w:sz="4" w:space="0" w:color="auto"/>
              <w:right w:val="single" w:sz="4" w:space="0" w:color="auto"/>
            </w:tcBorders>
            <w:shd w:val="clear" w:color="000000" w:fill="4472C4"/>
            <w:noWrap/>
            <w:vAlign w:val="center"/>
            <w:hideMark/>
          </w:tcPr>
          <w:p w14:paraId="5FEF25D8"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0</w:t>
            </w:r>
          </w:p>
        </w:tc>
        <w:tc>
          <w:tcPr>
            <w:tcW w:w="696" w:type="dxa"/>
            <w:tcBorders>
              <w:top w:val="nil"/>
              <w:left w:val="nil"/>
              <w:bottom w:val="nil"/>
              <w:right w:val="nil"/>
            </w:tcBorders>
            <w:shd w:val="clear" w:color="auto" w:fill="auto"/>
            <w:noWrap/>
            <w:vAlign w:val="center"/>
            <w:hideMark/>
          </w:tcPr>
          <w:p w14:paraId="5FEF25D9"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single" w:sz="4" w:space="0" w:color="auto"/>
              <w:bottom w:val="single" w:sz="4" w:space="0" w:color="auto"/>
              <w:right w:val="single" w:sz="4" w:space="0" w:color="auto"/>
            </w:tcBorders>
            <w:shd w:val="clear" w:color="000000" w:fill="70AD47"/>
            <w:noWrap/>
            <w:vAlign w:val="center"/>
            <w:hideMark/>
          </w:tcPr>
          <w:p w14:paraId="5FEF25DA"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Qëllimi i Politikës III</w:t>
            </w:r>
          </w:p>
        </w:tc>
        <w:tc>
          <w:tcPr>
            <w:tcW w:w="696" w:type="dxa"/>
            <w:tcBorders>
              <w:top w:val="nil"/>
              <w:left w:val="nil"/>
              <w:bottom w:val="single" w:sz="4" w:space="0" w:color="auto"/>
              <w:right w:val="single" w:sz="4" w:space="0" w:color="auto"/>
            </w:tcBorders>
            <w:shd w:val="clear" w:color="000000" w:fill="70AD47"/>
            <w:noWrap/>
            <w:vAlign w:val="center"/>
            <w:hideMark/>
          </w:tcPr>
          <w:p w14:paraId="5FEF25DB"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11,896,520</w:t>
            </w:r>
          </w:p>
        </w:tc>
        <w:tc>
          <w:tcPr>
            <w:tcW w:w="696" w:type="dxa"/>
            <w:tcBorders>
              <w:top w:val="nil"/>
              <w:left w:val="nil"/>
              <w:bottom w:val="single" w:sz="4" w:space="0" w:color="auto"/>
              <w:right w:val="single" w:sz="4" w:space="0" w:color="auto"/>
            </w:tcBorders>
            <w:shd w:val="clear" w:color="000000" w:fill="70AD47"/>
            <w:noWrap/>
            <w:vAlign w:val="center"/>
            <w:hideMark/>
          </w:tcPr>
          <w:p w14:paraId="5FEF25DC"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500,000</w:t>
            </w:r>
          </w:p>
        </w:tc>
        <w:tc>
          <w:tcPr>
            <w:tcW w:w="696" w:type="dxa"/>
            <w:tcBorders>
              <w:top w:val="nil"/>
              <w:left w:val="nil"/>
              <w:bottom w:val="single" w:sz="4" w:space="0" w:color="auto"/>
              <w:right w:val="single" w:sz="4" w:space="0" w:color="auto"/>
            </w:tcBorders>
            <w:shd w:val="clear" w:color="000000" w:fill="70AD47"/>
            <w:noWrap/>
            <w:vAlign w:val="center"/>
            <w:hideMark/>
          </w:tcPr>
          <w:p w14:paraId="5FEF25DD"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12,396,520</w:t>
            </w:r>
          </w:p>
        </w:tc>
        <w:tc>
          <w:tcPr>
            <w:tcW w:w="589" w:type="dxa"/>
            <w:tcBorders>
              <w:top w:val="nil"/>
              <w:left w:val="nil"/>
              <w:bottom w:val="nil"/>
              <w:right w:val="nil"/>
            </w:tcBorders>
            <w:shd w:val="clear" w:color="auto" w:fill="auto"/>
            <w:noWrap/>
            <w:vAlign w:val="center"/>
            <w:hideMark/>
          </w:tcPr>
          <w:p w14:paraId="5FEF25DE"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33</w:t>
            </w:r>
          </w:p>
        </w:tc>
        <w:tc>
          <w:tcPr>
            <w:tcW w:w="717" w:type="dxa"/>
            <w:tcBorders>
              <w:top w:val="nil"/>
              <w:left w:val="nil"/>
              <w:bottom w:val="nil"/>
              <w:right w:val="nil"/>
            </w:tcBorders>
            <w:shd w:val="clear" w:color="auto" w:fill="auto"/>
            <w:noWrap/>
            <w:vAlign w:val="bottom"/>
            <w:hideMark/>
          </w:tcPr>
          <w:p w14:paraId="5FEF25DF" w14:textId="77777777" w:rsidR="00CE0ACC" w:rsidRPr="00795698" w:rsidRDefault="00CE0ACC" w:rsidP="00CE0ACC">
            <w:pP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E0"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E1"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5F3"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E3"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E4"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E5"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E6"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E7" w14:textId="77777777" w:rsidR="00CE0ACC" w:rsidRPr="00795698" w:rsidRDefault="00CE0ACC" w:rsidP="00CE0ACC">
            <w:pP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E8"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E9"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EA"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FEF25EB"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 </w:t>
            </w:r>
          </w:p>
        </w:tc>
        <w:tc>
          <w:tcPr>
            <w:tcW w:w="696" w:type="dxa"/>
            <w:tcBorders>
              <w:top w:val="nil"/>
              <w:left w:val="nil"/>
              <w:bottom w:val="single" w:sz="4" w:space="0" w:color="auto"/>
              <w:right w:val="single" w:sz="4" w:space="0" w:color="auto"/>
            </w:tcBorders>
            <w:shd w:val="clear" w:color="auto" w:fill="auto"/>
            <w:noWrap/>
            <w:vAlign w:val="center"/>
            <w:hideMark/>
          </w:tcPr>
          <w:p w14:paraId="5FEF25EC"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36,010,800</w:t>
            </w:r>
          </w:p>
        </w:tc>
        <w:tc>
          <w:tcPr>
            <w:tcW w:w="696" w:type="dxa"/>
            <w:tcBorders>
              <w:top w:val="nil"/>
              <w:left w:val="nil"/>
              <w:bottom w:val="single" w:sz="4" w:space="0" w:color="auto"/>
              <w:right w:val="single" w:sz="4" w:space="0" w:color="auto"/>
            </w:tcBorders>
            <w:shd w:val="clear" w:color="auto" w:fill="auto"/>
            <w:noWrap/>
            <w:vAlign w:val="center"/>
            <w:hideMark/>
          </w:tcPr>
          <w:p w14:paraId="5FEF25ED"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1,000,000</w:t>
            </w:r>
          </w:p>
        </w:tc>
        <w:tc>
          <w:tcPr>
            <w:tcW w:w="696" w:type="dxa"/>
            <w:tcBorders>
              <w:top w:val="nil"/>
              <w:left w:val="nil"/>
              <w:bottom w:val="single" w:sz="4" w:space="0" w:color="auto"/>
              <w:right w:val="single" w:sz="4" w:space="0" w:color="auto"/>
            </w:tcBorders>
            <w:shd w:val="clear" w:color="auto" w:fill="auto"/>
            <w:noWrap/>
            <w:vAlign w:val="bottom"/>
            <w:hideMark/>
          </w:tcPr>
          <w:p w14:paraId="5FEF25EE" w14:textId="77777777" w:rsidR="00CE0ACC" w:rsidRPr="00795698" w:rsidRDefault="00CE0ACC" w:rsidP="00CE0ACC">
            <w:pPr>
              <w:jc w:val="right"/>
              <w:rPr>
                <w:rFonts w:ascii="Arial" w:hAnsi="Arial" w:cs="Arial"/>
                <w:color w:val="000000"/>
                <w:sz w:val="10"/>
                <w:szCs w:val="10"/>
                <w:lang w:eastAsia="sq-AL"/>
              </w:rPr>
            </w:pPr>
            <w:r w:rsidRPr="00795698">
              <w:rPr>
                <w:rFonts w:ascii="Arial" w:hAnsi="Arial" w:cs="Arial"/>
                <w:color w:val="000000"/>
                <w:sz w:val="10"/>
                <w:szCs w:val="10"/>
                <w:lang w:eastAsia="sq-AL"/>
              </w:rPr>
              <w:t>37,010,800</w:t>
            </w:r>
          </w:p>
        </w:tc>
        <w:tc>
          <w:tcPr>
            <w:tcW w:w="589" w:type="dxa"/>
            <w:tcBorders>
              <w:top w:val="nil"/>
              <w:left w:val="nil"/>
              <w:bottom w:val="nil"/>
              <w:right w:val="nil"/>
            </w:tcBorders>
            <w:shd w:val="clear" w:color="auto" w:fill="auto"/>
            <w:noWrap/>
            <w:vAlign w:val="bottom"/>
            <w:hideMark/>
          </w:tcPr>
          <w:p w14:paraId="5FEF25EF" w14:textId="77777777" w:rsidR="00CE0ACC" w:rsidRPr="00795698" w:rsidRDefault="00CE0ACC" w:rsidP="00CE0ACC">
            <w:pP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bottom"/>
            <w:hideMark/>
          </w:tcPr>
          <w:p w14:paraId="5FEF25F0" w14:textId="77777777" w:rsidR="00CE0ACC" w:rsidRPr="00795698" w:rsidRDefault="00CE0ACC" w:rsidP="00CE0ACC">
            <w:pP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5F1"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5F2"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604"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5F4"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5F5"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5F6"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5F7"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5F8" w14:textId="77777777" w:rsidR="00CE0ACC" w:rsidRPr="00795698" w:rsidRDefault="00CE0ACC" w:rsidP="00CE0ACC">
            <w:pP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F9"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FA"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FB"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FC"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FD"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5FE"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bottom"/>
            <w:hideMark/>
          </w:tcPr>
          <w:p w14:paraId="5FEF25FF" w14:textId="77777777" w:rsidR="00CE0ACC" w:rsidRPr="00795698" w:rsidRDefault="00CE0ACC" w:rsidP="00CE0ACC">
            <w:pP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bottom"/>
            <w:hideMark/>
          </w:tcPr>
          <w:p w14:paraId="5FEF2600" w14:textId="77777777" w:rsidR="00CE0ACC" w:rsidRPr="00795698" w:rsidRDefault="00CE0ACC" w:rsidP="00CE0ACC">
            <w:pP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bottom"/>
            <w:hideMark/>
          </w:tcPr>
          <w:p w14:paraId="5FEF2601" w14:textId="77777777" w:rsidR="00CE0ACC" w:rsidRPr="00795698" w:rsidRDefault="00CE0ACC" w:rsidP="00CE0ACC">
            <w:pP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602"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603"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615"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605"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606"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607"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608"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609" w14:textId="77777777" w:rsidR="00CE0ACC" w:rsidRPr="00795698" w:rsidRDefault="00CE0ACC" w:rsidP="00CE0ACC">
            <w:pP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0A"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0B"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0C"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0D"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0E"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0F"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10" w14:textId="77777777" w:rsidR="00CE0ACC" w:rsidRPr="00795698" w:rsidRDefault="00CE0ACC" w:rsidP="00CE0ACC">
            <w:pPr>
              <w:jc w:val="cente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center"/>
            <w:hideMark/>
          </w:tcPr>
          <w:p w14:paraId="5FEF2611"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612"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613"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614"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626"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616"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617"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618"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619"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61A" w14:textId="73D7D57D" w:rsidR="00CE0ACC" w:rsidRPr="00795698" w:rsidRDefault="007C064A" w:rsidP="00CE0ACC">
            <w:pPr>
              <w:rPr>
                <w:rFonts w:ascii="Arial" w:hAnsi="Arial" w:cs="Arial"/>
                <w:color w:val="000000"/>
                <w:sz w:val="10"/>
                <w:szCs w:val="10"/>
                <w:lang w:eastAsia="sq-AL"/>
              </w:rPr>
            </w:pPr>
            <w:r w:rsidRPr="00795698">
              <w:rPr>
                <w:rFonts w:ascii="Arial" w:hAnsi="Arial" w:cs="Arial"/>
                <w:color w:val="000000"/>
                <w:sz w:val="10"/>
                <w:szCs w:val="10"/>
                <w:lang w:eastAsia="sq-AL"/>
              </w:rPr>
              <w:t xml:space="preserve">                           </w:t>
            </w:r>
            <w:r w:rsidR="00CE0ACC" w:rsidRPr="00795698">
              <w:rPr>
                <w:rFonts w:ascii="Arial" w:hAnsi="Arial" w:cs="Arial"/>
                <w:color w:val="000000"/>
                <w:sz w:val="10"/>
                <w:szCs w:val="10"/>
                <w:lang w:eastAsia="sq-AL"/>
              </w:rPr>
              <w:t xml:space="preserve">292,771 </w:t>
            </w:r>
          </w:p>
        </w:tc>
        <w:tc>
          <w:tcPr>
            <w:tcW w:w="69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FEF261B"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 xml:space="preserve">Kosto Korente </w:t>
            </w:r>
          </w:p>
        </w:tc>
        <w:tc>
          <w:tcPr>
            <w:tcW w:w="696" w:type="dxa"/>
            <w:tcBorders>
              <w:top w:val="single" w:sz="4" w:space="0" w:color="auto"/>
              <w:left w:val="nil"/>
              <w:bottom w:val="single" w:sz="4" w:space="0" w:color="auto"/>
              <w:right w:val="single" w:sz="4" w:space="0" w:color="auto"/>
            </w:tcBorders>
            <w:shd w:val="clear" w:color="000000" w:fill="ED7D31"/>
            <w:noWrap/>
            <w:vAlign w:val="center"/>
            <w:hideMark/>
          </w:tcPr>
          <w:p w14:paraId="5FEF261C"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36,010,800</w:t>
            </w:r>
          </w:p>
        </w:tc>
        <w:tc>
          <w:tcPr>
            <w:tcW w:w="696" w:type="dxa"/>
            <w:tcBorders>
              <w:top w:val="nil"/>
              <w:left w:val="nil"/>
              <w:bottom w:val="nil"/>
              <w:right w:val="nil"/>
            </w:tcBorders>
            <w:shd w:val="clear" w:color="auto" w:fill="auto"/>
            <w:noWrap/>
            <w:vAlign w:val="center"/>
            <w:hideMark/>
          </w:tcPr>
          <w:p w14:paraId="5FEF261D"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97%</w:t>
            </w:r>
          </w:p>
        </w:tc>
        <w:tc>
          <w:tcPr>
            <w:tcW w:w="696" w:type="dxa"/>
            <w:tcBorders>
              <w:top w:val="nil"/>
              <w:left w:val="nil"/>
              <w:bottom w:val="nil"/>
              <w:right w:val="nil"/>
            </w:tcBorders>
            <w:shd w:val="clear" w:color="auto" w:fill="auto"/>
            <w:noWrap/>
            <w:vAlign w:val="center"/>
            <w:hideMark/>
          </w:tcPr>
          <w:p w14:paraId="5FEF261E"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1F"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20"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21"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37,010,800</w:t>
            </w:r>
          </w:p>
        </w:tc>
        <w:tc>
          <w:tcPr>
            <w:tcW w:w="589" w:type="dxa"/>
            <w:tcBorders>
              <w:top w:val="nil"/>
              <w:left w:val="nil"/>
              <w:bottom w:val="nil"/>
              <w:right w:val="nil"/>
            </w:tcBorders>
            <w:shd w:val="clear" w:color="auto" w:fill="auto"/>
            <w:noWrap/>
            <w:vAlign w:val="center"/>
            <w:hideMark/>
          </w:tcPr>
          <w:p w14:paraId="5FEF2622"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623"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624"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625"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637"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627"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628"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629"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62A"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62B" w14:textId="29C5A29A" w:rsidR="00CE0ACC" w:rsidRPr="00795698" w:rsidRDefault="007C064A" w:rsidP="00CE0ACC">
            <w:pPr>
              <w:rPr>
                <w:rFonts w:ascii="Arial" w:hAnsi="Arial" w:cs="Arial"/>
                <w:color w:val="000000"/>
                <w:sz w:val="10"/>
                <w:szCs w:val="10"/>
                <w:lang w:eastAsia="sq-AL"/>
              </w:rPr>
            </w:pPr>
            <w:r w:rsidRPr="00795698">
              <w:rPr>
                <w:rFonts w:ascii="Arial" w:hAnsi="Arial" w:cs="Arial"/>
                <w:color w:val="000000"/>
                <w:sz w:val="10"/>
                <w:szCs w:val="10"/>
                <w:lang w:eastAsia="sq-AL"/>
              </w:rPr>
              <w:t xml:space="preserve">                             </w:t>
            </w:r>
            <w:r w:rsidR="00CE0ACC" w:rsidRPr="00795698">
              <w:rPr>
                <w:rFonts w:ascii="Arial" w:hAnsi="Arial" w:cs="Arial"/>
                <w:color w:val="000000"/>
                <w:sz w:val="10"/>
                <w:szCs w:val="10"/>
                <w:lang w:eastAsia="sq-AL"/>
              </w:rPr>
              <w:t xml:space="preserve">8,130 </w:t>
            </w:r>
          </w:p>
        </w:tc>
        <w:tc>
          <w:tcPr>
            <w:tcW w:w="696" w:type="dxa"/>
            <w:tcBorders>
              <w:top w:val="nil"/>
              <w:left w:val="single" w:sz="4" w:space="0" w:color="auto"/>
              <w:bottom w:val="single" w:sz="4" w:space="0" w:color="auto"/>
              <w:right w:val="single" w:sz="4" w:space="0" w:color="auto"/>
            </w:tcBorders>
            <w:shd w:val="clear" w:color="000000" w:fill="ED7D31"/>
            <w:noWrap/>
            <w:vAlign w:val="center"/>
            <w:hideMark/>
          </w:tcPr>
          <w:p w14:paraId="5FEF262C"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Kosto kapitale</w:t>
            </w:r>
          </w:p>
        </w:tc>
        <w:tc>
          <w:tcPr>
            <w:tcW w:w="696" w:type="dxa"/>
            <w:tcBorders>
              <w:top w:val="nil"/>
              <w:left w:val="nil"/>
              <w:bottom w:val="single" w:sz="4" w:space="0" w:color="auto"/>
              <w:right w:val="single" w:sz="4" w:space="0" w:color="auto"/>
            </w:tcBorders>
            <w:shd w:val="clear" w:color="000000" w:fill="ED7D31"/>
            <w:noWrap/>
            <w:vAlign w:val="center"/>
            <w:hideMark/>
          </w:tcPr>
          <w:p w14:paraId="5FEF262D"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1,000,000</w:t>
            </w:r>
          </w:p>
        </w:tc>
        <w:tc>
          <w:tcPr>
            <w:tcW w:w="696" w:type="dxa"/>
            <w:tcBorders>
              <w:top w:val="nil"/>
              <w:left w:val="nil"/>
              <w:bottom w:val="nil"/>
              <w:right w:val="nil"/>
            </w:tcBorders>
            <w:shd w:val="clear" w:color="auto" w:fill="auto"/>
            <w:noWrap/>
            <w:vAlign w:val="center"/>
            <w:hideMark/>
          </w:tcPr>
          <w:p w14:paraId="5FEF262E"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3%</w:t>
            </w:r>
          </w:p>
        </w:tc>
        <w:tc>
          <w:tcPr>
            <w:tcW w:w="696" w:type="dxa"/>
            <w:tcBorders>
              <w:top w:val="nil"/>
              <w:left w:val="nil"/>
              <w:bottom w:val="nil"/>
              <w:right w:val="nil"/>
            </w:tcBorders>
            <w:shd w:val="clear" w:color="auto" w:fill="auto"/>
            <w:noWrap/>
            <w:vAlign w:val="center"/>
            <w:hideMark/>
          </w:tcPr>
          <w:p w14:paraId="5FEF262F"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30"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31"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32" w14:textId="77777777" w:rsidR="00CE0ACC" w:rsidRPr="00795698" w:rsidRDefault="00CE0ACC" w:rsidP="00CE0ACC">
            <w:pPr>
              <w:jc w:val="cente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center"/>
            <w:hideMark/>
          </w:tcPr>
          <w:p w14:paraId="5FEF2633"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634"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635"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636" w14:textId="77777777" w:rsidR="00CE0ACC" w:rsidRPr="00795698" w:rsidRDefault="00CE0ACC" w:rsidP="00CE0ACC">
            <w:pPr>
              <w:jc w:val="center"/>
              <w:rPr>
                <w:rFonts w:ascii="Arial" w:hAnsi="Arial" w:cs="Arial"/>
                <w:color w:val="000000"/>
                <w:sz w:val="10"/>
                <w:szCs w:val="10"/>
                <w:lang w:eastAsia="sq-AL"/>
              </w:rPr>
            </w:pPr>
          </w:p>
        </w:tc>
      </w:tr>
      <w:tr w:rsidR="00CE0ACC" w:rsidRPr="00795698" w14:paraId="5FEF2648" w14:textId="77777777" w:rsidTr="00CE0ACC">
        <w:trPr>
          <w:trHeight w:val="180"/>
          <w:jc w:val="center"/>
        </w:trPr>
        <w:tc>
          <w:tcPr>
            <w:tcW w:w="1210" w:type="dxa"/>
            <w:tcBorders>
              <w:top w:val="nil"/>
              <w:left w:val="nil"/>
              <w:bottom w:val="nil"/>
              <w:right w:val="nil"/>
            </w:tcBorders>
            <w:shd w:val="clear" w:color="auto" w:fill="auto"/>
            <w:noWrap/>
            <w:vAlign w:val="bottom"/>
            <w:hideMark/>
          </w:tcPr>
          <w:p w14:paraId="5FEF2638" w14:textId="77777777" w:rsidR="00CE0ACC" w:rsidRPr="00795698" w:rsidRDefault="00CE0ACC" w:rsidP="00CE0ACC">
            <w:pPr>
              <w:rPr>
                <w:rFonts w:ascii="Arial" w:hAnsi="Arial" w:cs="Arial"/>
                <w:color w:val="000000"/>
                <w:sz w:val="10"/>
                <w:szCs w:val="10"/>
                <w:lang w:eastAsia="sq-AL"/>
              </w:rPr>
            </w:pPr>
          </w:p>
        </w:tc>
        <w:tc>
          <w:tcPr>
            <w:tcW w:w="726" w:type="dxa"/>
            <w:tcBorders>
              <w:top w:val="nil"/>
              <w:left w:val="nil"/>
              <w:bottom w:val="nil"/>
              <w:right w:val="nil"/>
            </w:tcBorders>
            <w:shd w:val="clear" w:color="auto" w:fill="auto"/>
            <w:noWrap/>
            <w:vAlign w:val="bottom"/>
            <w:hideMark/>
          </w:tcPr>
          <w:p w14:paraId="5FEF2639" w14:textId="77777777" w:rsidR="00CE0ACC" w:rsidRPr="00795698" w:rsidRDefault="00CE0ACC" w:rsidP="00CE0ACC">
            <w:pPr>
              <w:rPr>
                <w:rFonts w:ascii="Arial" w:hAnsi="Arial" w:cs="Arial"/>
                <w:color w:val="000000"/>
                <w:sz w:val="10"/>
                <w:szCs w:val="10"/>
                <w:lang w:eastAsia="sq-AL"/>
              </w:rPr>
            </w:pPr>
          </w:p>
        </w:tc>
        <w:tc>
          <w:tcPr>
            <w:tcW w:w="727" w:type="dxa"/>
            <w:tcBorders>
              <w:top w:val="nil"/>
              <w:left w:val="nil"/>
              <w:bottom w:val="nil"/>
              <w:right w:val="nil"/>
            </w:tcBorders>
            <w:shd w:val="clear" w:color="auto" w:fill="auto"/>
            <w:noWrap/>
            <w:vAlign w:val="bottom"/>
            <w:hideMark/>
          </w:tcPr>
          <w:p w14:paraId="5FEF263A" w14:textId="77777777" w:rsidR="00CE0ACC" w:rsidRPr="00795698" w:rsidRDefault="00CE0ACC" w:rsidP="00CE0ACC">
            <w:pPr>
              <w:rPr>
                <w:rFonts w:ascii="Arial" w:hAnsi="Arial" w:cs="Arial"/>
                <w:color w:val="000000"/>
                <w:sz w:val="10"/>
                <w:szCs w:val="10"/>
                <w:lang w:eastAsia="sq-AL"/>
              </w:rPr>
            </w:pPr>
          </w:p>
        </w:tc>
        <w:tc>
          <w:tcPr>
            <w:tcW w:w="498" w:type="dxa"/>
            <w:tcBorders>
              <w:top w:val="nil"/>
              <w:left w:val="nil"/>
              <w:bottom w:val="nil"/>
              <w:right w:val="nil"/>
            </w:tcBorders>
            <w:shd w:val="clear" w:color="auto" w:fill="auto"/>
            <w:noWrap/>
            <w:vAlign w:val="bottom"/>
            <w:hideMark/>
          </w:tcPr>
          <w:p w14:paraId="5FEF263B" w14:textId="77777777" w:rsidR="00CE0ACC" w:rsidRPr="00795698" w:rsidRDefault="00CE0ACC" w:rsidP="00CE0ACC">
            <w:pPr>
              <w:rPr>
                <w:rFonts w:ascii="Arial" w:hAnsi="Arial" w:cs="Arial"/>
                <w:color w:val="000000"/>
                <w:sz w:val="10"/>
                <w:szCs w:val="10"/>
                <w:lang w:eastAsia="sq-AL"/>
              </w:rPr>
            </w:pPr>
          </w:p>
        </w:tc>
        <w:tc>
          <w:tcPr>
            <w:tcW w:w="2529" w:type="dxa"/>
            <w:tcBorders>
              <w:top w:val="nil"/>
              <w:left w:val="nil"/>
              <w:bottom w:val="nil"/>
              <w:right w:val="nil"/>
            </w:tcBorders>
            <w:shd w:val="clear" w:color="auto" w:fill="auto"/>
            <w:noWrap/>
            <w:vAlign w:val="bottom"/>
            <w:hideMark/>
          </w:tcPr>
          <w:p w14:paraId="5FEF263C" w14:textId="463D9EC1" w:rsidR="00CE0ACC" w:rsidRPr="00795698" w:rsidRDefault="007C064A" w:rsidP="00CE0ACC">
            <w:pPr>
              <w:rPr>
                <w:rFonts w:ascii="Arial" w:hAnsi="Arial" w:cs="Arial"/>
                <w:color w:val="000000"/>
                <w:sz w:val="10"/>
                <w:szCs w:val="10"/>
                <w:lang w:eastAsia="sq-AL"/>
              </w:rPr>
            </w:pPr>
            <w:r w:rsidRPr="00795698">
              <w:rPr>
                <w:rFonts w:ascii="Arial" w:hAnsi="Arial" w:cs="Arial"/>
                <w:color w:val="000000"/>
                <w:sz w:val="10"/>
                <w:szCs w:val="10"/>
                <w:lang w:eastAsia="sq-AL"/>
              </w:rPr>
              <w:t xml:space="preserve">                           </w:t>
            </w:r>
            <w:r w:rsidR="00CE0ACC" w:rsidRPr="00795698">
              <w:rPr>
                <w:rFonts w:ascii="Arial" w:hAnsi="Arial" w:cs="Arial"/>
                <w:color w:val="000000"/>
                <w:sz w:val="10"/>
                <w:szCs w:val="10"/>
                <w:lang w:eastAsia="sq-AL"/>
              </w:rPr>
              <w:t xml:space="preserve">300,901 </w:t>
            </w:r>
          </w:p>
        </w:tc>
        <w:tc>
          <w:tcPr>
            <w:tcW w:w="696" w:type="dxa"/>
            <w:tcBorders>
              <w:top w:val="nil"/>
              <w:left w:val="single" w:sz="4" w:space="0" w:color="auto"/>
              <w:bottom w:val="single" w:sz="4" w:space="0" w:color="auto"/>
              <w:right w:val="single" w:sz="4" w:space="0" w:color="auto"/>
            </w:tcBorders>
            <w:shd w:val="clear" w:color="000000" w:fill="ED7D31"/>
            <w:noWrap/>
            <w:vAlign w:val="center"/>
            <w:hideMark/>
          </w:tcPr>
          <w:p w14:paraId="5FEF263D"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Total kosto</w:t>
            </w:r>
          </w:p>
        </w:tc>
        <w:tc>
          <w:tcPr>
            <w:tcW w:w="696" w:type="dxa"/>
            <w:tcBorders>
              <w:top w:val="nil"/>
              <w:left w:val="nil"/>
              <w:bottom w:val="single" w:sz="4" w:space="0" w:color="auto"/>
              <w:right w:val="single" w:sz="4" w:space="0" w:color="auto"/>
            </w:tcBorders>
            <w:shd w:val="clear" w:color="000000" w:fill="ED7D31"/>
            <w:noWrap/>
            <w:vAlign w:val="center"/>
            <w:hideMark/>
          </w:tcPr>
          <w:p w14:paraId="5FEF263E" w14:textId="77777777" w:rsidR="00CE0ACC" w:rsidRPr="00795698" w:rsidRDefault="00CE0ACC" w:rsidP="00CE0ACC">
            <w:pPr>
              <w:jc w:val="center"/>
              <w:rPr>
                <w:rFonts w:ascii="Arial" w:hAnsi="Arial" w:cs="Arial"/>
                <w:color w:val="FFFFFF"/>
                <w:sz w:val="10"/>
                <w:szCs w:val="10"/>
                <w:lang w:eastAsia="sq-AL"/>
              </w:rPr>
            </w:pPr>
            <w:r w:rsidRPr="00795698">
              <w:rPr>
                <w:rFonts w:ascii="Arial" w:hAnsi="Arial" w:cs="Arial"/>
                <w:color w:val="FFFFFF"/>
                <w:sz w:val="10"/>
                <w:szCs w:val="10"/>
                <w:lang w:eastAsia="sq-AL"/>
              </w:rPr>
              <w:t>37,010,800</w:t>
            </w:r>
          </w:p>
        </w:tc>
        <w:tc>
          <w:tcPr>
            <w:tcW w:w="696" w:type="dxa"/>
            <w:tcBorders>
              <w:top w:val="nil"/>
              <w:left w:val="nil"/>
              <w:bottom w:val="nil"/>
              <w:right w:val="nil"/>
            </w:tcBorders>
            <w:shd w:val="clear" w:color="auto" w:fill="auto"/>
            <w:noWrap/>
            <w:vAlign w:val="center"/>
            <w:hideMark/>
          </w:tcPr>
          <w:p w14:paraId="5FEF263F" w14:textId="77777777" w:rsidR="00CE0ACC" w:rsidRPr="00795698" w:rsidRDefault="00CE0ACC" w:rsidP="00CE0ACC">
            <w:pPr>
              <w:jc w:val="center"/>
              <w:rPr>
                <w:rFonts w:ascii="Arial" w:hAnsi="Arial" w:cs="Arial"/>
                <w:color w:val="000000"/>
                <w:sz w:val="10"/>
                <w:szCs w:val="10"/>
                <w:lang w:eastAsia="sq-AL"/>
              </w:rPr>
            </w:pPr>
            <w:r w:rsidRPr="00795698">
              <w:rPr>
                <w:rFonts w:ascii="Arial" w:hAnsi="Arial" w:cs="Arial"/>
                <w:color w:val="000000"/>
                <w:sz w:val="10"/>
                <w:szCs w:val="10"/>
                <w:lang w:eastAsia="sq-AL"/>
              </w:rPr>
              <w:t>100%</w:t>
            </w:r>
          </w:p>
        </w:tc>
        <w:tc>
          <w:tcPr>
            <w:tcW w:w="696" w:type="dxa"/>
            <w:tcBorders>
              <w:top w:val="nil"/>
              <w:left w:val="nil"/>
              <w:bottom w:val="nil"/>
              <w:right w:val="nil"/>
            </w:tcBorders>
            <w:shd w:val="clear" w:color="auto" w:fill="auto"/>
            <w:noWrap/>
            <w:vAlign w:val="center"/>
            <w:hideMark/>
          </w:tcPr>
          <w:p w14:paraId="5FEF2640"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41"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42" w14:textId="77777777" w:rsidR="00CE0ACC" w:rsidRPr="00795698" w:rsidRDefault="00CE0ACC" w:rsidP="00CE0ACC">
            <w:pPr>
              <w:jc w:val="center"/>
              <w:rPr>
                <w:rFonts w:ascii="Arial" w:hAnsi="Arial" w:cs="Arial"/>
                <w:color w:val="000000"/>
                <w:sz w:val="10"/>
                <w:szCs w:val="10"/>
                <w:lang w:eastAsia="sq-AL"/>
              </w:rPr>
            </w:pPr>
          </w:p>
        </w:tc>
        <w:tc>
          <w:tcPr>
            <w:tcW w:w="696" w:type="dxa"/>
            <w:tcBorders>
              <w:top w:val="nil"/>
              <w:left w:val="nil"/>
              <w:bottom w:val="nil"/>
              <w:right w:val="nil"/>
            </w:tcBorders>
            <w:shd w:val="clear" w:color="auto" w:fill="auto"/>
            <w:noWrap/>
            <w:vAlign w:val="center"/>
            <w:hideMark/>
          </w:tcPr>
          <w:p w14:paraId="5FEF2643" w14:textId="77777777" w:rsidR="00CE0ACC" w:rsidRPr="00795698" w:rsidRDefault="00CE0ACC" w:rsidP="00CE0ACC">
            <w:pPr>
              <w:jc w:val="center"/>
              <w:rPr>
                <w:rFonts w:ascii="Arial" w:hAnsi="Arial" w:cs="Arial"/>
                <w:color w:val="000000"/>
                <w:sz w:val="10"/>
                <w:szCs w:val="10"/>
                <w:lang w:eastAsia="sq-AL"/>
              </w:rPr>
            </w:pPr>
          </w:p>
        </w:tc>
        <w:tc>
          <w:tcPr>
            <w:tcW w:w="589" w:type="dxa"/>
            <w:tcBorders>
              <w:top w:val="nil"/>
              <w:left w:val="nil"/>
              <w:bottom w:val="nil"/>
              <w:right w:val="nil"/>
            </w:tcBorders>
            <w:shd w:val="clear" w:color="auto" w:fill="auto"/>
            <w:noWrap/>
            <w:vAlign w:val="center"/>
            <w:hideMark/>
          </w:tcPr>
          <w:p w14:paraId="5FEF2644" w14:textId="77777777" w:rsidR="00CE0ACC" w:rsidRPr="00795698" w:rsidRDefault="00CE0ACC" w:rsidP="00CE0ACC">
            <w:pPr>
              <w:jc w:val="center"/>
              <w:rPr>
                <w:rFonts w:ascii="Arial" w:hAnsi="Arial" w:cs="Arial"/>
                <w:color w:val="000000"/>
                <w:sz w:val="10"/>
                <w:szCs w:val="10"/>
                <w:lang w:eastAsia="sq-AL"/>
              </w:rPr>
            </w:pPr>
          </w:p>
        </w:tc>
        <w:tc>
          <w:tcPr>
            <w:tcW w:w="717" w:type="dxa"/>
            <w:tcBorders>
              <w:top w:val="nil"/>
              <w:left w:val="nil"/>
              <w:bottom w:val="nil"/>
              <w:right w:val="nil"/>
            </w:tcBorders>
            <w:shd w:val="clear" w:color="auto" w:fill="auto"/>
            <w:noWrap/>
            <w:vAlign w:val="center"/>
            <w:hideMark/>
          </w:tcPr>
          <w:p w14:paraId="5FEF2645" w14:textId="77777777" w:rsidR="00CE0ACC" w:rsidRPr="00795698" w:rsidRDefault="00CE0ACC" w:rsidP="00CE0ACC">
            <w:pPr>
              <w:jc w:val="center"/>
              <w:rPr>
                <w:rFonts w:ascii="Arial" w:hAnsi="Arial" w:cs="Arial"/>
                <w:color w:val="000000"/>
                <w:sz w:val="10"/>
                <w:szCs w:val="10"/>
                <w:lang w:eastAsia="sq-AL"/>
              </w:rPr>
            </w:pPr>
          </w:p>
        </w:tc>
        <w:tc>
          <w:tcPr>
            <w:tcW w:w="621" w:type="dxa"/>
            <w:tcBorders>
              <w:top w:val="nil"/>
              <w:left w:val="nil"/>
              <w:bottom w:val="nil"/>
              <w:right w:val="nil"/>
            </w:tcBorders>
            <w:shd w:val="clear" w:color="auto" w:fill="auto"/>
            <w:noWrap/>
            <w:vAlign w:val="center"/>
            <w:hideMark/>
          </w:tcPr>
          <w:p w14:paraId="5FEF2646" w14:textId="77777777" w:rsidR="00CE0ACC" w:rsidRPr="00795698" w:rsidRDefault="00CE0ACC" w:rsidP="00CE0ACC">
            <w:pPr>
              <w:jc w:val="center"/>
              <w:rPr>
                <w:rFonts w:ascii="Arial" w:hAnsi="Arial" w:cs="Arial"/>
                <w:color w:val="000000"/>
                <w:sz w:val="10"/>
                <w:szCs w:val="10"/>
                <w:lang w:eastAsia="sq-AL"/>
              </w:rPr>
            </w:pPr>
          </w:p>
        </w:tc>
        <w:tc>
          <w:tcPr>
            <w:tcW w:w="669" w:type="dxa"/>
            <w:tcBorders>
              <w:top w:val="nil"/>
              <w:left w:val="nil"/>
              <w:bottom w:val="nil"/>
              <w:right w:val="nil"/>
            </w:tcBorders>
            <w:shd w:val="clear" w:color="auto" w:fill="auto"/>
            <w:noWrap/>
            <w:vAlign w:val="center"/>
            <w:hideMark/>
          </w:tcPr>
          <w:p w14:paraId="5FEF2647" w14:textId="77777777" w:rsidR="00CE0ACC" w:rsidRPr="00795698" w:rsidRDefault="00CE0ACC" w:rsidP="00CE0ACC">
            <w:pPr>
              <w:jc w:val="center"/>
              <w:rPr>
                <w:rFonts w:ascii="Arial" w:hAnsi="Arial" w:cs="Arial"/>
                <w:color w:val="000000"/>
                <w:sz w:val="10"/>
                <w:szCs w:val="10"/>
                <w:lang w:eastAsia="sq-AL"/>
              </w:rPr>
            </w:pPr>
          </w:p>
        </w:tc>
      </w:tr>
    </w:tbl>
    <w:p w14:paraId="5FEF2649" w14:textId="77777777" w:rsidR="00CE0ACC" w:rsidRPr="00795698" w:rsidRDefault="00CE0ACC" w:rsidP="00BC53EF">
      <w:pPr>
        <w:pStyle w:val="TEKSTIIIII"/>
        <w:jc w:val="center"/>
        <w:rPr>
          <w:i/>
          <w:sz w:val="18"/>
          <w:lang w:val="sq-AL"/>
        </w:rPr>
      </w:pPr>
    </w:p>
    <w:p w14:paraId="5FEF264A" w14:textId="77777777" w:rsidR="0040645A" w:rsidRPr="00795698" w:rsidRDefault="0040645A" w:rsidP="00BC53EF">
      <w:pPr>
        <w:pStyle w:val="TEKSTIIIII"/>
        <w:jc w:val="center"/>
        <w:rPr>
          <w:i/>
          <w:sz w:val="18"/>
          <w:lang w:val="sq-AL"/>
        </w:rPr>
      </w:pPr>
    </w:p>
    <w:p w14:paraId="5FEF264B" w14:textId="77777777" w:rsidR="0040645A" w:rsidRPr="00795698" w:rsidRDefault="0040645A" w:rsidP="00BC53EF">
      <w:pPr>
        <w:pStyle w:val="TEKSTIIIII"/>
        <w:jc w:val="center"/>
        <w:rPr>
          <w:i/>
          <w:sz w:val="18"/>
          <w:lang w:val="sq-AL"/>
        </w:rPr>
      </w:pPr>
    </w:p>
    <w:p w14:paraId="5FEF264C" w14:textId="77777777" w:rsidR="0040645A" w:rsidRPr="00795698" w:rsidRDefault="0040645A" w:rsidP="00BC53EF">
      <w:pPr>
        <w:pStyle w:val="TEKSTIIIII"/>
        <w:jc w:val="center"/>
        <w:rPr>
          <w:i/>
          <w:sz w:val="18"/>
          <w:lang w:val="sq-AL"/>
        </w:rPr>
      </w:pPr>
    </w:p>
    <w:p w14:paraId="5FEF264D" w14:textId="77777777" w:rsidR="0040645A" w:rsidRPr="00795698" w:rsidRDefault="0040645A" w:rsidP="00BC53EF">
      <w:pPr>
        <w:pStyle w:val="TEKSTIIIII"/>
        <w:jc w:val="center"/>
        <w:rPr>
          <w:i/>
          <w:sz w:val="18"/>
          <w:lang w:val="sq-AL"/>
        </w:rPr>
      </w:pPr>
    </w:p>
    <w:p w14:paraId="5FEF264E" w14:textId="77777777" w:rsidR="0040645A" w:rsidRPr="00795698" w:rsidRDefault="0040645A" w:rsidP="00BC53EF">
      <w:pPr>
        <w:pStyle w:val="TEKSTIIIII"/>
        <w:jc w:val="center"/>
        <w:rPr>
          <w:i/>
          <w:sz w:val="18"/>
          <w:lang w:val="sq-AL"/>
        </w:rPr>
      </w:pPr>
    </w:p>
    <w:p w14:paraId="5FEF264F" w14:textId="77777777" w:rsidR="0040645A" w:rsidRPr="00795698" w:rsidRDefault="0040645A" w:rsidP="00BC53EF">
      <w:pPr>
        <w:pStyle w:val="TEKSTIIIII"/>
        <w:jc w:val="center"/>
        <w:rPr>
          <w:i/>
          <w:sz w:val="18"/>
          <w:lang w:val="sq-AL"/>
        </w:rPr>
      </w:pPr>
    </w:p>
    <w:p w14:paraId="5FEF2650" w14:textId="77777777" w:rsidR="0040645A" w:rsidRPr="00795698" w:rsidRDefault="0040645A" w:rsidP="00BC53EF">
      <w:pPr>
        <w:pStyle w:val="TEKSTIIIII"/>
        <w:jc w:val="center"/>
        <w:rPr>
          <w:i/>
          <w:sz w:val="18"/>
          <w:lang w:val="sq-AL"/>
        </w:rPr>
      </w:pPr>
    </w:p>
    <w:p w14:paraId="5FEF2651" w14:textId="77777777" w:rsidR="0040645A" w:rsidRPr="00795698" w:rsidRDefault="0040645A" w:rsidP="00BC53EF">
      <w:pPr>
        <w:pStyle w:val="TEKSTIIIII"/>
        <w:jc w:val="center"/>
        <w:rPr>
          <w:i/>
          <w:sz w:val="18"/>
          <w:lang w:val="sq-AL"/>
        </w:rPr>
      </w:pPr>
    </w:p>
    <w:p w14:paraId="5FEF2652" w14:textId="77777777" w:rsidR="0040645A" w:rsidRPr="00795698" w:rsidRDefault="0040645A" w:rsidP="00BC53EF">
      <w:pPr>
        <w:pStyle w:val="TEKSTIIIII"/>
        <w:jc w:val="center"/>
        <w:rPr>
          <w:i/>
          <w:sz w:val="18"/>
          <w:lang w:val="sq-AL"/>
        </w:rPr>
      </w:pPr>
    </w:p>
    <w:p w14:paraId="5FEF2653" w14:textId="77777777" w:rsidR="0040645A" w:rsidRPr="00795698" w:rsidRDefault="0040645A" w:rsidP="00BC53EF">
      <w:pPr>
        <w:pStyle w:val="TEKSTIIIII"/>
        <w:jc w:val="center"/>
        <w:rPr>
          <w:i/>
          <w:sz w:val="18"/>
          <w:lang w:val="sq-AL"/>
        </w:rPr>
      </w:pPr>
    </w:p>
    <w:p w14:paraId="5FEF2654" w14:textId="77777777" w:rsidR="0040645A" w:rsidRPr="00795698" w:rsidRDefault="0040645A" w:rsidP="00BC53EF">
      <w:pPr>
        <w:pStyle w:val="TEKSTIIIII"/>
        <w:jc w:val="center"/>
        <w:rPr>
          <w:i/>
          <w:sz w:val="18"/>
          <w:lang w:val="sq-AL"/>
        </w:rPr>
      </w:pPr>
    </w:p>
    <w:p w14:paraId="5FEF2655" w14:textId="77777777" w:rsidR="0040645A" w:rsidRPr="00795698" w:rsidRDefault="0040645A" w:rsidP="00BC53EF">
      <w:pPr>
        <w:pStyle w:val="TEKSTIIIII"/>
        <w:jc w:val="center"/>
        <w:rPr>
          <w:i/>
          <w:sz w:val="18"/>
          <w:lang w:val="sq-AL"/>
        </w:rPr>
      </w:pPr>
    </w:p>
    <w:p w14:paraId="5FEF2656" w14:textId="77777777" w:rsidR="0040645A" w:rsidRPr="00795698" w:rsidRDefault="0040645A" w:rsidP="00BC53EF">
      <w:pPr>
        <w:pStyle w:val="TEKSTIIIII"/>
        <w:jc w:val="center"/>
        <w:rPr>
          <w:i/>
          <w:sz w:val="18"/>
          <w:lang w:val="sq-AL"/>
        </w:rPr>
      </w:pPr>
    </w:p>
    <w:p w14:paraId="5FEF2657" w14:textId="77777777" w:rsidR="0040645A" w:rsidRPr="00795698" w:rsidRDefault="0040645A" w:rsidP="00BC53EF">
      <w:pPr>
        <w:pStyle w:val="TEKSTIIIII"/>
        <w:jc w:val="center"/>
        <w:rPr>
          <w:i/>
          <w:sz w:val="18"/>
          <w:lang w:val="sq-AL"/>
        </w:rPr>
      </w:pPr>
    </w:p>
    <w:p w14:paraId="5FEF2658" w14:textId="77777777" w:rsidR="0040645A" w:rsidRPr="00795698" w:rsidRDefault="0040645A" w:rsidP="00BC53EF">
      <w:pPr>
        <w:pStyle w:val="TEKSTIIIII"/>
        <w:jc w:val="center"/>
        <w:rPr>
          <w:i/>
          <w:sz w:val="18"/>
          <w:lang w:val="sq-AL"/>
        </w:rPr>
      </w:pPr>
    </w:p>
    <w:p w14:paraId="5FEF2659" w14:textId="77777777" w:rsidR="0040645A" w:rsidRPr="00795698" w:rsidRDefault="0040645A" w:rsidP="00BC53EF">
      <w:pPr>
        <w:pStyle w:val="TEKSTIIIII"/>
        <w:jc w:val="center"/>
        <w:rPr>
          <w:i/>
          <w:sz w:val="18"/>
          <w:lang w:val="sq-AL"/>
        </w:rPr>
      </w:pPr>
    </w:p>
    <w:p w14:paraId="5FEF265A" w14:textId="77777777" w:rsidR="0040645A" w:rsidRPr="00795698" w:rsidRDefault="0040645A" w:rsidP="00BC53EF">
      <w:pPr>
        <w:pStyle w:val="TEKSTIIIII"/>
        <w:jc w:val="center"/>
        <w:rPr>
          <w:i/>
          <w:sz w:val="18"/>
          <w:lang w:val="sq-AL"/>
        </w:rPr>
      </w:pPr>
    </w:p>
    <w:p w14:paraId="5FEF265B" w14:textId="77777777" w:rsidR="0040645A" w:rsidRPr="00795698" w:rsidRDefault="0040645A" w:rsidP="00BC53EF">
      <w:pPr>
        <w:pStyle w:val="TEKSTIIIII"/>
        <w:jc w:val="center"/>
        <w:rPr>
          <w:i/>
          <w:sz w:val="18"/>
          <w:lang w:val="sq-AL"/>
        </w:rPr>
      </w:pPr>
    </w:p>
    <w:p w14:paraId="5FEF265C" w14:textId="77777777" w:rsidR="0040645A" w:rsidRPr="00795698" w:rsidRDefault="0040645A" w:rsidP="00BC53EF">
      <w:pPr>
        <w:pStyle w:val="TEKSTIIIII"/>
        <w:jc w:val="center"/>
        <w:rPr>
          <w:i/>
          <w:sz w:val="18"/>
          <w:lang w:val="sq-AL"/>
        </w:rPr>
      </w:pPr>
    </w:p>
    <w:tbl>
      <w:tblPr>
        <w:tblW w:w="9180" w:type="dxa"/>
        <w:tblInd w:w="93" w:type="dxa"/>
        <w:tblLook w:val="04A0" w:firstRow="1" w:lastRow="0" w:firstColumn="1" w:lastColumn="0" w:noHBand="0" w:noVBand="1"/>
      </w:tblPr>
      <w:tblGrid>
        <w:gridCol w:w="4600"/>
        <w:gridCol w:w="1560"/>
        <w:gridCol w:w="1600"/>
        <w:gridCol w:w="1420"/>
      </w:tblGrid>
      <w:tr w:rsidR="0040645A" w:rsidRPr="00795698" w14:paraId="5FEF265E" w14:textId="77777777" w:rsidTr="0040645A">
        <w:trPr>
          <w:trHeight w:val="180"/>
        </w:trPr>
        <w:tc>
          <w:tcPr>
            <w:tcW w:w="9180" w:type="dxa"/>
            <w:gridSpan w:val="4"/>
            <w:tcBorders>
              <w:top w:val="nil"/>
              <w:left w:val="nil"/>
              <w:bottom w:val="nil"/>
              <w:right w:val="nil"/>
            </w:tcBorders>
            <w:shd w:val="clear" w:color="auto" w:fill="auto"/>
            <w:noWrap/>
            <w:vAlign w:val="center"/>
            <w:hideMark/>
          </w:tcPr>
          <w:p w14:paraId="5FEF265D" w14:textId="77777777" w:rsidR="0040645A" w:rsidRPr="00795698" w:rsidRDefault="0040645A" w:rsidP="0040645A">
            <w:pPr>
              <w:jc w:val="center"/>
              <w:rPr>
                <w:rFonts w:ascii="Arial" w:hAnsi="Arial" w:cs="Arial"/>
                <w:b/>
                <w:bCs/>
                <w:color w:val="000000"/>
                <w:sz w:val="14"/>
                <w:szCs w:val="12"/>
                <w:lang w:eastAsia="sq-AL"/>
              </w:rPr>
            </w:pPr>
            <w:r w:rsidRPr="00795698">
              <w:rPr>
                <w:rFonts w:ascii="Arial" w:hAnsi="Arial" w:cs="Arial"/>
                <w:b/>
                <w:bCs/>
                <w:color w:val="000000"/>
                <w:sz w:val="14"/>
                <w:szCs w:val="12"/>
                <w:lang w:eastAsia="sq-AL"/>
              </w:rPr>
              <w:t>Nevoja Kapitale (në Lek)</w:t>
            </w:r>
          </w:p>
        </w:tc>
      </w:tr>
      <w:tr w:rsidR="0040645A" w:rsidRPr="00795698" w14:paraId="5FEF2663" w14:textId="77777777" w:rsidTr="0040645A">
        <w:trPr>
          <w:trHeight w:val="180"/>
        </w:trPr>
        <w:tc>
          <w:tcPr>
            <w:tcW w:w="460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5FEF265F" w14:textId="77777777" w:rsidR="0040645A" w:rsidRPr="00795698" w:rsidRDefault="0040645A" w:rsidP="0040645A">
            <w:pPr>
              <w:jc w:val="both"/>
              <w:rPr>
                <w:rFonts w:ascii="Arial" w:hAnsi="Arial" w:cs="Arial"/>
                <w:b/>
                <w:bCs/>
                <w:color w:val="FFFFFF"/>
                <w:sz w:val="14"/>
                <w:szCs w:val="12"/>
                <w:lang w:eastAsia="sq-AL"/>
              </w:rPr>
            </w:pPr>
            <w:r w:rsidRPr="00795698">
              <w:rPr>
                <w:rFonts w:ascii="Arial" w:hAnsi="Arial" w:cs="Arial"/>
                <w:b/>
                <w:bCs/>
                <w:color w:val="FFFFFF"/>
                <w:sz w:val="14"/>
                <w:szCs w:val="12"/>
                <w:lang w:eastAsia="sq-AL"/>
              </w:rPr>
              <w:t>Qëllimet e Politikave</w:t>
            </w:r>
          </w:p>
        </w:tc>
        <w:tc>
          <w:tcPr>
            <w:tcW w:w="1560" w:type="dxa"/>
            <w:vMerge w:val="restart"/>
            <w:tcBorders>
              <w:top w:val="single" w:sz="8" w:space="0" w:color="auto"/>
              <w:left w:val="nil"/>
              <w:bottom w:val="single" w:sz="8" w:space="0" w:color="4472C4"/>
              <w:right w:val="nil"/>
            </w:tcBorders>
            <w:shd w:val="clear" w:color="000000" w:fill="4472C4"/>
            <w:vAlign w:val="center"/>
            <w:hideMark/>
          </w:tcPr>
          <w:p w14:paraId="5FEF2660" w14:textId="77777777" w:rsidR="0040645A" w:rsidRPr="00795698" w:rsidRDefault="0040645A" w:rsidP="0040645A">
            <w:pPr>
              <w:jc w:val="center"/>
              <w:rPr>
                <w:rFonts w:ascii="Arial" w:hAnsi="Arial" w:cs="Arial"/>
                <w:b/>
                <w:bCs/>
                <w:color w:val="FFFFFF"/>
                <w:sz w:val="14"/>
                <w:szCs w:val="12"/>
                <w:lang w:eastAsia="sq-AL"/>
              </w:rPr>
            </w:pPr>
            <w:r w:rsidRPr="00795698">
              <w:rPr>
                <w:rFonts w:ascii="Arial" w:hAnsi="Arial" w:cs="Arial"/>
                <w:b/>
                <w:bCs/>
                <w:color w:val="FFFFFF"/>
                <w:sz w:val="14"/>
                <w:szCs w:val="12"/>
                <w:lang w:eastAsia="sq-AL"/>
              </w:rPr>
              <w:t>Natyra/Tipologjia e Kostove</w:t>
            </w:r>
          </w:p>
        </w:tc>
        <w:tc>
          <w:tcPr>
            <w:tcW w:w="1600" w:type="dxa"/>
            <w:tcBorders>
              <w:top w:val="single" w:sz="8" w:space="0" w:color="auto"/>
              <w:left w:val="nil"/>
              <w:bottom w:val="nil"/>
              <w:right w:val="nil"/>
            </w:tcBorders>
            <w:shd w:val="clear" w:color="000000" w:fill="4472C4"/>
            <w:vAlign w:val="center"/>
            <w:hideMark/>
          </w:tcPr>
          <w:p w14:paraId="5FEF2661" w14:textId="77777777" w:rsidR="0040645A" w:rsidRPr="00795698" w:rsidRDefault="0040645A" w:rsidP="0040645A">
            <w:pPr>
              <w:jc w:val="center"/>
              <w:rPr>
                <w:rFonts w:ascii="Arial" w:hAnsi="Arial" w:cs="Arial"/>
                <w:b/>
                <w:bCs/>
                <w:color w:val="FFFFFF"/>
                <w:sz w:val="14"/>
                <w:szCs w:val="12"/>
                <w:lang w:eastAsia="sq-AL"/>
              </w:rPr>
            </w:pPr>
            <w:r w:rsidRPr="00795698">
              <w:rPr>
                <w:rFonts w:ascii="Arial" w:hAnsi="Arial" w:cs="Arial"/>
                <w:b/>
                <w:bCs/>
                <w:color w:val="FFFFFF"/>
                <w:sz w:val="14"/>
                <w:szCs w:val="12"/>
                <w:lang w:eastAsia="sq-AL"/>
              </w:rPr>
              <w:t>Kosto të Planifikuara në</w:t>
            </w:r>
          </w:p>
        </w:tc>
        <w:tc>
          <w:tcPr>
            <w:tcW w:w="1420" w:type="dxa"/>
            <w:tcBorders>
              <w:top w:val="single" w:sz="8" w:space="0" w:color="auto"/>
              <w:left w:val="nil"/>
              <w:bottom w:val="nil"/>
              <w:right w:val="single" w:sz="8" w:space="0" w:color="auto"/>
            </w:tcBorders>
            <w:shd w:val="clear" w:color="000000" w:fill="4472C4"/>
            <w:vAlign w:val="center"/>
            <w:hideMark/>
          </w:tcPr>
          <w:p w14:paraId="5FEF2662" w14:textId="77777777" w:rsidR="0040645A" w:rsidRPr="00795698" w:rsidRDefault="0040645A" w:rsidP="0040645A">
            <w:pPr>
              <w:jc w:val="center"/>
              <w:rPr>
                <w:rFonts w:ascii="Arial" w:hAnsi="Arial" w:cs="Arial"/>
                <w:b/>
                <w:bCs/>
                <w:color w:val="FFFFFF"/>
                <w:sz w:val="14"/>
                <w:szCs w:val="12"/>
                <w:lang w:eastAsia="sq-AL"/>
              </w:rPr>
            </w:pPr>
            <w:r w:rsidRPr="00795698">
              <w:rPr>
                <w:rFonts w:ascii="Arial" w:hAnsi="Arial" w:cs="Arial"/>
                <w:b/>
                <w:bCs/>
                <w:color w:val="FFFFFF"/>
                <w:sz w:val="14"/>
                <w:szCs w:val="12"/>
                <w:lang w:eastAsia="sq-AL"/>
              </w:rPr>
              <w:t>Hendeku Financiar</w:t>
            </w:r>
          </w:p>
        </w:tc>
      </w:tr>
      <w:tr w:rsidR="0040645A" w:rsidRPr="00795698" w14:paraId="5FEF2668" w14:textId="77777777" w:rsidTr="0040645A">
        <w:trPr>
          <w:trHeight w:val="180"/>
        </w:trPr>
        <w:tc>
          <w:tcPr>
            <w:tcW w:w="4600" w:type="dxa"/>
            <w:vMerge/>
            <w:tcBorders>
              <w:top w:val="single" w:sz="8" w:space="0" w:color="auto"/>
              <w:left w:val="single" w:sz="8" w:space="0" w:color="auto"/>
              <w:bottom w:val="single" w:sz="8" w:space="0" w:color="4472C4"/>
              <w:right w:val="nil"/>
            </w:tcBorders>
            <w:vAlign w:val="center"/>
            <w:hideMark/>
          </w:tcPr>
          <w:p w14:paraId="5FEF2664" w14:textId="77777777" w:rsidR="0040645A" w:rsidRPr="00795698" w:rsidRDefault="0040645A" w:rsidP="0040645A">
            <w:pPr>
              <w:rPr>
                <w:rFonts w:ascii="Arial" w:hAnsi="Arial" w:cs="Arial"/>
                <w:b/>
                <w:bCs/>
                <w:color w:val="FFFFFF"/>
                <w:sz w:val="14"/>
                <w:szCs w:val="12"/>
                <w:lang w:eastAsia="sq-AL"/>
              </w:rPr>
            </w:pPr>
          </w:p>
        </w:tc>
        <w:tc>
          <w:tcPr>
            <w:tcW w:w="1560" w:type="dxa"/>
            <w:vMerge/>
            <w:tcBorders>
              <w:top w:val="single" w:sz="8" w:space="0" w:color="auto"/>
              <w:left w:val="nil"/>
              <w:bottom w:val="single" w:sz="8" w:space="0" w:color="4472C4"/>
              <w:right w:val="nil"/>
            </w:tcBorders>
            <w:vAlign w:val="center"/>
            <w:hideMark/>
          </w:tcPr>
          <w:p w14:paraId="5FEF2665" w14:textId="77777777" w:rsidR="0040645A" w:rsidRPr="00795698" w:rsidRDefault="0040645A" w:rsidP="0040645A">
            <w:pPr>
              <w:rPr>
                <w:rFonts w:ascii="Arial" w:hAnsi="Arial" w:cs="Arial"/>
                <w:b/>
                <w:bCs/>
                <w:color w:val="FFFFFF"/>
                <w:sz w:val="14"/>
                <w:szCs w:val="12"/>
                <w:lang w:eastAsia="sq-AL"/>
              </w:rPr>
            </w:pPr>
          </w:p>
        </w:tc>
        <w:tc>
          <w:tcPr>
            <w:tcW w:w="1600" w:type="dxa"/>
            <w:tcBorders>
              <w:top w:val="nil"/>
              <w:left w:val="nil"/>
              <w:bottom w:val="nil"/>
              <w:right w:val="nil"/>
            </w:tcBorders>
            <w:shd w:val="clear" w:color="000000" w:fill="4472C4"/>
            <w:vAlign w:val="center"/>
            <w:hideMark/>
          </w:tcPr>
          <w:p w14:paraId="5FEF2666" w14:textId="7C160677" w:rsidR="0040645A" w:rsidRPr="00795698" w:rsidRDefault="0040645A" w:rsidP="0040645A">
            <w:pPr>
              <w:jc w:val="center"/>
              <w:rPr>
                <w:rFonts w:ascii="Arial" w:hAnsi="Arial" w:cs="Arial"/>
                <w:b/>
                <w:bCs/>
                <w:color w:val="FFFFFF"/>
                <w:sz w:val="14"/>
                <w:szCs w:val="12"/>
                <w:lang w:eastAsia="sq-AL"/>
              </w:rPr>
            </w:pPr>
            <w:r w:rsidRPr="00795698">
              <w:rPr>
                <w:rFonts w:ascii="Arial" w:hAnsi="Arial" w:cs="Arial"/>
                <w:b/>
                <w:bCs/>
                <w:color w:val="FFFFFF"/>
                <w:sz w:val="14"/>
                <w:szCs w:val="12"/>
                <w:lang w:eastAsia="sq-AL"/>
              </w:rPr>
              <w:t xml:space="preserve">PBA </w:t>
            </w:r>
            <w:r w:rsidR="006249E3" w:rsidRPr="00795698">
              <w:rPr>
                <w:rFonts w:ascii="Arial" w:hAnsi="Arial" w:cs="Arial"/>
                <w:b/>
                <w:bCs/>
                <w:color w:val="FFFFFF"/>
                <w:sz w:val="14"/>
                <w:szCs w:val="12"/>
                <w:lang w:eastAsia="sq-AL"/>
              </w:rPr>
              <w:t>2023–2025</w:t>
            </w:r>
          </w:p>
        </w:tc>
        <w:tc>
          <w:tcPr>
            <w:tcW w:w="1420" w:type="dxa"/>
            <w:tcBorders>
              <w:top w:val="nil"/>
              <w:left w:val="nil"/>
              <w:bottom w:val="nil"/>
              <w:right w:val="single" w:sz="8" w:space="0" w:color="auto"/>
            </w:tcBorders>
            <w:shd w:val="clear" w:color="000000" w:fill="4472C4"/>
            <w:vAlign w:val="center"/>
            <w:hideMark/>
          </w:tcPr>
          <w:p w14:paraId="5FEF2667" w14:textId="7AC4C0DD" w:rsidR="0040645A" w:rsidRPr="00795698" w:rsidRDefault="007C064A" w:rsidP="0040645A">
            <w:pPr>
              <w:jc w:val="center"/>
              <w:rPr>
                <w:rFonts w:ascii="Arial" w:hAnsi="Arial" w:cs="Arial"/>
                <w:b/>
                <w:bCs/>
                <w:color w:val="FFFFFF"/>
                <w:sz w:val="14"/>
                <w:szCs w:val="12"/>
                <w:lang w:eastAsia="sq-AL"/>
              </w:rPr>
            </w:pPr>
            <w:r w:rsidRPr="00795698">
              <w:rPr>
                <w:rFonts w:ascii="Arial" w:hAnsi="Arial" w:cs="Arial"/>
                <w:b/>
                <w:bCs/>
                <w:color w:val="FFFFFF"/>
                <w:sz w:val="14"/>
                <w:szCs w:val="12"/>
                <w:lang w:eastAsia="sq-AL"/>
              </w:rPr>
              <w:t>2021–2025</w:t>
            </w:r>
          </w:p>
        </w:tc>
      </w:tr>
      <w:tr w:rsidR="0040645A" w:rsidRPr="00795698" w14:paraId="5FEF266D" w14:textId="77777777" w:rsidTr="0040645A">
        <w:trPr>
          <w:trHeight w:val="180"/>
        </w:trPr>
        <w:tc>
          <w:tcPr>
            <w:tcW w:w="4600" w:type="dxa"/>
            <w:vMerge/>
            <w:tcBorders>
              <w:top w:val="single" w:sz="8" w:space="0" w:color="auto"/>
              <w:left w:val="single" w:sz="8" w:space="0" w:color="auto"/>
              <w:bottom w:val="single" w:sz="8" w:space="0" w:color="4472C4"/>
              <w:right w:val="nil"/>
            </w:tcBorders>
            <w:vAlign w:val="center"/>
            <w:hideMark/>
          </w:tcPr>
          <w:p w14:paraId="5FEF2669" w14:textId="77777777" w:rsidR="0040645A" w:rsidRPr="00795698" w:rsidRDefault="0040645A" w:rsidP="0040645A">
            <w:pPr>
              <w:rPr>
                <w:rFonts w:ascii="Arial" w:hAnsi="Arial" w:cs="Arial"/>
                <w:b/>
                <w:bCs/>
                <w:color w:val="FFFFFF"/>
                <w:sz w:val="14"/>
                <w:szCs w:val="12"/>
                <w:lang w:eastAsia="sq-AL"/>
              </w:rPr>
            </w:pPr>
          </w:p>
        </w:tc>
        <w:tc>
          <w:tcPr>
            <w:tcW w:w="1560" w:type="dxa"/>
            <w:vMerge/>
            <w:tcBorders>
              <w:top w:val="single" w:sz="8" w:space="0" w:color="auto"/>
              <w:left w:val="nil"/>
              <w:bottom w:val="single" w:sz="8" w:space="0" w:color="4472C4"/>
              <w:right w:val="nil"/>
            </w:tcBorders>
            <w:vAlign w:val="center"/>
            <w:hideMark/>
          </w:tcPr>
          <w:p w14:paraId="5FEF266A" w14:textId="77777777" w:rsidR="0040645A" w:rsidRPr="00795698" w:rsidRDefault="0040645A" w:rsidP="0040645A">
            <w:pPr>
              <w:rPr>
                <w:rFonts w:ascii="Arial" w:hAnsi="Arial" w:cs="Arial"/>
                <w:b/>
                <w:bCs/>
                <w:color w:val="FFFFFF"/>
                <w:sz w:val="14"/>
                <w:szCs w:val="12"/>
                <w:lang w:eastAsia="sq-AL"/>
              </w:rPr>
            </w:pPr>
          </w:p>
        </w:tc>
        <w:tc>
          <w:tcPr>
            <w:tcW w:w="1600" w:type="dxa"/>
            <w:tcBorders>
              <w:top w:val="nil"/>
              <w:left w:val="nil"/>
              <w:bottom w:val="single" w:sz="8" w:space="0" w:color="4472C4"/>
              <w:right w:val="nil"/>
            </w:tcBorders>
            <w:shd w:val="clear" w:color="000000" w:fill="4472C4"/>
            <w:vAlign w:val="center"/>
            <w:hideMark/>
          </w:tcPr>
          <w:p w14:paraId="5FEF266B" w14:textId="77777777" w:rsidR="0040645A" w:rsidRPr="00795698" w:rsidRDefault="0040645A" w:rsidP="0040645A">
            <w:pPr>
              <w:jc w:val="center"/>
              <w:rPr>
                <w:rFonts w:ascii="Arial" w:hAnsi="Arial" w:cs="Arial"/>
                <w:b/>
                <w:bCs/>
                <w:color w:val="FFFFFF"/>
                <w:sz w:val="14"/>
                <w:szCs w:val="12"/>
                <w:lang w:eastAsia="sq-AL"/>
              </w:rPr>
            </w:pPr>
            <w:r w:rsidRPr="00795698">
              <w:rPr>
                <w:rFonts w:ascii="Arial" w:hAnsi="Arial" w:cs="Arial"/>
                <w:b/>
                <w:bCs/>
                <w:color w:val="FFFFFF"/>
                <w:sz w:val="14"/>
                <w:szCs w:val="12"/>
                <w:lang w:eastAsia="sq-AL"/>
              </w:rPr>
              <w:t>Buxheti dhe Donatoret</w:t>
            </w:r>
          </w:p>
        </w:tc>
        <w:tc>
          <w:tcPr>
            <w:tcW w:w="1420" w:type="dxa"/>
            <w:tcBorders>
              <w:top w:val="nil"/>
              <w:left w:val="nil"/>
              <w:bottom w:val="single" w:sz="8" w:space="0" w:color="4472C4"/>
              <w:right w:val="single" w:sz="8" w:space="0" w:color="auto"/>
            </w:tcBorders>
            <w:shd w:val="clear" w:color="000000" w:fill="4472C4"/>
            <w:vAlign w:val="center"/>
            <w:hideMark/>
          </w:tcPr>
          <w:p w14:paraId="5FEF266C" w14:textId="77777777" w:rsidR="0040645A" w:rsidRPr="00795698" w:rsidRDefault="0040645A" w:rsidP="0040645A">
            <w:pPr>
              <w:rPr>
                <w:rFonts w:ascii="Calibri" w:hAnsi="Calibri" w:cs="Calibri"/>
                <w:color w:val="000000"/>
                <w:sz w:val="14"/>
                <w:szCs w:val="12"/>
                <w:lang w:eastAsia="sq-AL"/>
              </w:rPr>
            </w:pPr>
            <w:r w:rsidRPr="00795698">
              <w:rPr>
                <w:rFonts w:ascii="Calibri" w:hAnsi="Calibri" w:cs="Calibri"/>
                <w:color w:val="000000"/>
                <w:sz w:val="14"/>
                <w:szCs w:val="12"/>
                <w:lang w:eastAsia="sq-AL"/>
              </w:rPr>
              <w:t> </w:t>
            </w:r>
          </w:p>
        </w:tc>
      </w:tr>
      <w:tr w:rsidR="0040645A" w:rsidRPr="00795698" w14:paraId="5FEF2672" w14:textId="77777777" w:rsidTr="0040645A">
        <w:trPr>
          <w:trHeight w:val="180"/>
        </w:trPr>
        <w:tc>
          <w:tcPr>
            <w:tcW w:w="460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5FEF266E" w14:textId="77777777" w:rsidR="0040645A" w:rsidRPr="00795698" w:rsidRDefault="0040645A" w:rsidP="0040645A">
            <w:pPr>
              <w:rPr>
                <w:rFonts w:ascii="Arial" w:hAnsi="Arial" w:cs="Arial"/>
                <w:b/>
                <w:bCs/>
                <w:color w:val="000000"/>
                <w:sz w:val="14"/>
                <w:szCs w:val="12"/>
                <w:lang w:eastAsia="sq-AL"/>
              </w:rPr>
            </w:pPr>
            <w:r w:rsidRPr="00795698">
              <w:rPr>
                <w:rFonts w:ascii="Arial" w:hAnsi="Arial" w:cs="Arial"/>
                <w:b/>
                <w:bCs/>
                <w:color w:val="000000"/>
                <w:sz w:val="14"/>
                <w:szCs w:val="12"/>
                <w:lang w:eastAsia="sq-AL"/>
              </w:rPr>
              <w:t>II.QËLLIMI I POLITIKËS 1: Mbajtja e kërcënimit në nivel të ulët</w:t>
            </w:r>
          </w:p>
        </w:tc>
        <w:tc>
          <w:tcPr>
            <w:tcW w:w="1560" w:type="dxa"/>
            <w:tcBorders>
              <w:top w:val="nil"/>
              <w:left w:val="nil"/>
              <w:bottom w:val="single" w:sz="8" w:space="0" w:color="8EAADB"/>
              <w:right w:val="single" w:sz="8" w:space="0" w:color="8EAADB"/>
            </w:tcBorders>
            <w:shd w:val="clear" w:color="000000" w:fill="D9E2F3"/>
            <w:vAlign w:val="center"/>
            <w:hideMark/>
          </w:tcPr>
          <w:p w14:paraId="5FEF266F"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2670"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14,617,601</w:t>
            </w:r>
          </w:p>
        </w:tc>
        <w:tc>
          <w:tcPr>
            <w:tcW w:w="142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5FEF2671" w14:textId="77777777" w:rsidR="0040645A" w:rsidRPr="00795698" w:rsidRDefault="0040645A" w:rsidP="0040645A">
            <w:pPr>
              <w:jc w:val="center"/>
              <w:rPr>
                <w:rFonts w:ascii="Arial" w:hAnsi="Arial" w:cs="Arial"/>
                <w:b/>
                <w:bCs/>
                <w:i/>
                <w:iCs/>
                <w:color w:val="000000"/>
                <w:sz w:val="14"/>
                <w:szCs w:val="12"/>
                <w:lang w:eastAsia="sq-AL"/>
              </w:rPr>
            </w:pPr>
            <w:r w:rsidRPr="00795698">
              <w:rPr>
                <w:rFonts w:ascii="Arial" w:hAnsi="Arial" w:cs="Arial"/>
                <w:b/>
                <w:bCs/>
                <w:i/>
                <w:iCs/>
                <w:color w:val="000000"/>
                <w:sz w:val="14"/>
                <w:szCs w:val="12"/>
                <w:lang w:eastAsia="sq-AL"/>
              </w:rPr>
              <w:t>0</w:t>
            </w:r>
          </w:p>
        </w:tc>
      </w:tr>
      <w:tr w:rsidR="0040645A" w:rsidRPr="00795698" w14:paraId="5FEF2677" w14:textId="77777777" w:rsidTr="0040645A">
        <w:trPr>
          <w:trHeight w:val="180"/>
        </w:trPr>
        <w:tc>
          <w:tcPr>
            <w:tcW w:w="4600" w:type="dxa"/>
            <w:vMerge/>
            <w:tcBorders>
              <w:top w:val="nil"/>
              <w:left w:val="single" w:sz="8" w:space="0" w:color="auto"/>
              <w:bottom w:val="single" w:sz="8" w:space="0" w:color="8EAADB"/>
              <w:right w:val="single" w:sz="8" w:space="0" w:color="8EAADB"/>
            </w:tcBorders>
            <w:vAlign w:val="center"/>
            <w:hideMark/>
          </w:tcPr>
          <w:p w14:paraId="5FEF2673" w14:textId="77777777" w:rsidR="0040645A" w:rsidRPr="00795698" w:rsidRDefault="0040645A" w:rsidP="0040645A">
            <w:pPr>
              <w:rPr>
                <w:rFonts w:ascii="Arial" w:hAnsi="Arial" w:cs="Arial"/>
                <w:b/>
                <w:bCs/>
                <w:color w:val="000000"/>
                <w:sz w:val="14"/>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2674"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2675"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0</w:t>
            </w:r>
          </w:p>
        </w:tc>
        <w:tc>
          <w:tcPr>
            <w:tcW w:w="1420" w:type="dxa"/>
            <w:vMerge/>
            <w:tcBorders>
              <w:top w:val="nil"/>
              <w:left w:val="single" w:sz="8" w:space="0" w:color="8EAADB"/>
              <w:bottom w:val="single" w:sz="8" w:space="0" w:color="8EAADB"/>
              <w:right w:val="single" w:sz="8" w:space="0" w:color="auto"/>
            </w:tcBorders>
            <w:vAlign w:val="center"/>
            <w:hideMark/>
          </w:tcPr>
          <w:p w14:paraId="5FEF2676" w14:textId="77777777" w:rsidR="0040645A" w:rsidRPr="00795698" w:rsidRDefault="0040645A" w:rsidP="0040645A">
            <w:pPr>
              <w:rPr>
                <w:rFonts w:ascii="Arial" w:hAnsi="Arial" w:cs="Arial"/>
                <w:b/>
                <w:bCs/>
                <w:i/>
                <w:iCs/>
                <w:color w:val="000000"/>
                <w:sz w:val="14"/>
                <w:szCs w:val="12"/>
                <w:lang w:eastAsia="sq-AL"/>
              </w:rPr>
            </w:pPr>
          </w:p>
        </w:tc>
      </w:tr>
      <w:tr w:rsidR="0040645A" w:rsidRPr="00795698" w14:paraId="5FEF267C" w14:textId="77777777" w:rsidTr="0040645A">
        <w:trPr>
          <w:trHeight w:val="180"/>
        </w:trPr>
        <w:tc>
          <w:tcPr>
            <w:tcW w:w="460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2678" w14:textId="77777777" w:rsidR="0040645A" w:rsidRPr="00795698" w:rsidRDefault="0040645A" w:rsidP="0040645A">
            <w:pPr>
              <w:rPr>
                <w:rFonts w:ascii="Arial" w:hAnsi="Arial" w:cs="Arial"/>
                <w:b/>
                <w:bCs/>
                <w:color w:val="000000"/>
                <w:sz w:val="14"/>
                <w:szCs w:val="12"/>
                <w:lang w:eastAsia="sq-AL"/>
              </w:rPr>
            </w:pPr>
            <w:r w:rsidRPr="00795698">
              <w:rPr>
                <w:rFonts w:ascii="Arial" w:hAnsi="Arial" w:cs="Arial"/>
                <w:b/>
                <w:bCs/>
                <w:color w:val="000000"/>
                <w:sz w:val="14"/>
                <w:szCs w:val="12"/>
                <w:lang w:eastAsia="sq-AL"/>
              </w:rPr>
              <w:t>II.QËLLIMI I POLITIKËS 2: ZHVILLIMI I KOMUNIKIMIT STRATEGJIK</w:t>
            </w:r>
          </w:p>
        </w:tc>
        <w:tc>
          <w:tcPr>
            <w:tcW w:w="1560" w:type="dxa"/>
            <w:tcBorders>
              <w:top w:val="nil"/>
              <w:left w:val="nil"/>
              <w:bottom w:val="single" w:sz="8" w:space="0" w:color="8EAADB"/>
              <w:right w:val="single" w:sz="8" w:space="0" w:color="8EAADB"/>
            </w:tcBorders>
            <w:shd w:val="clear" w:color="000000" w:fill="D9E2F3"/>
            <w:vAlign w:val="center"/>
            <w:hideMark/>
          </w:tcPr>
          <w:p w14:paraId="5FEF2679"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267A"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9,496,679</w:t>
            </w:r>
          </w:p>
        </w:tc>
        <w:tc>
          <w:tcPr>
            <w:tcW w:w="142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267B" w14:textId="77777777" w:rsidR="0040645A" w:rsidRPr="00795698" w:rsidRDefault="0040645A" w:rsidP="0040645A">
            <w:pPr>
              <w:jc w:val="center"/>
              <w:rPr>
                <w:rFonts w:ascii="Arial" w:hAnsi="Arial" w:cs="Arial"/>
                <w:b/>
                <w:bCs/>
                <w:i/>
                <w:iCs/>
                <w:color w:val="000000"/>
                <w:sz w:val="14"/>
                <w:szCs w:val="12"/>
                <w:lang w:eastAsia="sq-AL"/>
              </w:rPr>
            </w:pPr>
            <w:r w:rsidRPr="00795698">
              <w:rPr>
                <w:rFonts w:ascii="Arial" w:hAnsi="Arial" w:cs="Arial"/>
                <w:b/>
                <w:bCs/>
                <w:i/>
                <w:iCs/>
                <w:color w:val="000000"/>
                <w:sz w:val="14"/>
                <w:szCs w:val="12"/>
                <w:lang w:eastAsia="sq-AL"/>
              </w:rPr>
              <w:t>0</w:t>
            </w:r>
          </w:p>
        </w:tc>
      </w:tr>
      <w:tr w:rsidR="0040645A" w:rsidRPr="00795698" w14:paraId="5FEF2681" w14:textId="77777777" w:rsidTr="0040645A">
        <w:trPr>
          <w:trHeight w:val="180"/>
        </w:trPr>
        <w:tc>
          <w:tcPr>
            <w:tcW w:w="4600" w:type="dxa"/>
            <w:vMerge/>
            <w:tcBorders>
              <w:top w:val="single" w:sz="8" w:space="0" w:color="4472C4"/>
              <w:left w:val="single" w:sz="8" w:space="0" w:color="auto"/>
              <w:bottom w:val="single" w:sz="8" w:space="0" w:color="8EAADB"/>
              <w:right w:val="single" w:sz="8" w:space="0" w:color="8EAADB"/>
            </w:tcBorders>
            <w:vAlign w:val="center"/>
            <w:hideMark/>
          </w:tcPr>
          <w:p w14:paraId="5FEF267D" w14:textId="77777777" w:rsidR="0040645A" w:rsidRPr="00795698" w:rsidRDefault="0040645A" w:rsidP="0040645A">
            <w:pPr>
              <w:rPr>
                <w:rFonts w:ascii="Arial" w:hAnsi="Arial" w:cs="Arial"/>
                <w:b/>
                <w:bCs/>
                <w:color w:val="000000"/>
                <w:sz w:val="14"/>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267E"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267F"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500,000</w:t>
            </w:r>
          </w:p>
        </w:tc>
        <w:tc>
          <w:tcPr>
            <w:tcW w:w="1420" w:type="dxa"/>
            <w:vMerge/>
            <w:tcBorders>
              <w:top w:val="single" w:sz="8" w:space="0" w:color="4472C4"/>
              <w:left w:val="single" w:sz="8" w:space="0" w:color="8EAADB"/>
              <w:bottom w:val="single" w:sz="8" w:space="0" w:color="8EAADB"/>
              <w:right w:val="single" w:sz="8" w:space="0" w:color="auto"/>
            </w:tcBorders>
            <w:vAlign w:val="center"/>
            <w:hideMark/>
          </w:tcPr>
          <w:p w14:paraId="5FEF2680" w14:textId="77777777" w:rsidR="0040645A" w:rsidRPr="00795698" w:rsidRDefault="0040645A" w:rsidP="0040645A">
            <w:pPr>
              <w:rPr>
                <w:rFonts w:ascii="Arial" w:hAnsi="Arial" w:cs="Arial"/>
                <w:b/>
                <w:bCs/>
                <w:i/>
                <w:iCs/>
                <w:color w:val="000000"/>
                <w:sz w:val="14"/>
                <w:szCs w:val="12"/>
                <w:lang w:eastAsia="sq-AL"/>
              </w:rPr>
            </w:pPr>
          </w:p>
        </w:tc>
      </w:tr>
      <w:tr w:rsidR="0040645A" w:rsidRPr="00795698" w14:paraId="5FEF2686" w14:textId="77777777" w:rsidTr="0040645A">
        <w:trPr>
          <w:trHeight w:val="180"/>
        </w:trPr>
        <w:tc>
          <w:tcPr>
            <w:tcW w:w="4600" w:type="dxa"/>
            <w:vMerge w:val="restart"/>
            <w:tcBorders>
              <w:top w:val="single" w:sz="8" w:space="0" w:color="4472C4"/>
              <w:left w:val="single" w:sz="8" w:space="0" w:color="auto"/>
              <w:bottom w:val="single" w:sz="8" w:space="0" w:color="8EAADB"/>
              <w:right w:val="single" w:sz="8" w:space="0" w:color="8EAADB"/>
            </w:tcBorders>
            <w:shd w:val="clear" w:color="000000" w:fill="D9E2F3"/>
            <w:vAlign w:val="center"/>
            <w:hideMark/>
          </w:tcPr>
          <w:p w14:paraId="5FEF2682" w14:textId="1314CFC5" w:rsidR="0040645A" w:rsidRPr="00795698" w:rsidRDefault="0040645A" w:rsidP="0040645A">
            <w:pPr>
              <w:rPr>
                <w:rFonts w:ascii="Arial" w:hAnsi="Arial" w:cs="Arial"/>
                <w:b/>
                <w:bCs/>
                <w:color w:val="000000"/>
                <w:sz w:val="14"/>
                <w:szCs w:val="12"/>
                <w:lang w:eastAsia="sq-AL"/>
              </w:rPr>
            </w:pPr>
            <w:r w:rsidRPr="00795698">
              <w:rPr>
                <w:rFonts w:ascii="Arial" w:hAnsi="Arial" w:cs="Arial"/>
                <w:b/>
                <w:bCs/>
                <w:color w:val="000000"/>
                <w:sz w:val="14"/>
                <w:szCs w:val="12"/>
                <w:lang w:eastAsia="sq-AL"/>
              </w:rPr>
              <w:t>II.QËLLIMI I POLITIKËS 3:</w:t>
            </w:r>
            <w:r w:rsidR="007C064A" w:rsidRPr="00795698">
              <w:rPr>
                <w:rFonts w:ascii="Arial" w:hAnsi="Arial" w:cs="Arial"/>
                <w:b/>
                <w:bCs/>
                <w:color w:val="000000"/>
                <w:sz w:val="14"/>
                <w:szCs w:val="12"/>
                <w:lang w:eastAsia="sq-AL"/>
              </w:rPr>
              <w:t xml:space="preserve"> </w:t>
            </w:r>
            <w:r w:rsidRPr="00795698">
              <w:rPr>
                <w:rFonts w:ascii="Arial" w:hAnsi="Arial" w:cs="Arial"/>
                <w:b/>
                <w:bCs/>
                <w:color w:val="000000"/>
                <w:sz w:val="14"/>
                <w:szCs w:val="12"/>
                <w:lang w:eastAsia="sq-AL"/>
              </w:rPr>
              <w:t>Reagim nëpërmjet reduktimit dhe lehtësimit të pasojave të fenomeneve të radikalizmit, ekstremizmit të dhunshëm dhe terrorizmit</w:t>
            </w:r>
          </w:p>
        </w:tc>
        <w:tc>
          <w:tcPr>
            <w:tcW w:w="1560" w:type="dxa"/>
            <w:tcBorders>
              <w:top w:val="nil"/>
              <w:left w:val="nil"/>
              <w:bottom w:val="single" w:sz="8" w:space="0" w:color="8EAADB"/>
              <w:right w:val="single" w:sz="8" w:space="0" w:color="8EAADB"/>
            </w:tcBorders>
            <w:shd w:val="clear" w:color="000000" w:fill="D9E2F3"/>
            <w:vAlign w:val="center"/>
            <w:hideMark/>
          </w:tcPr>
          <w:p w14:paraId="5FEF2683"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5FEF2684"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11,896,520</w:t>
            </w:r>
          </w:p>
        </w:tc>
        <w:tc>
          <w:tcPr>
            <w:tcW w:w="142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FEF2685" w14:textId="77777777" w:rsidR="0040645A" w:rsidRPr="00795698" w:rsidRDefault="0040645A" w:rsidP="0040645A">
            <w:pPr>
              <w:jc w:val="center"/>
              <w:rPr>
                <w:rFonts w:ascii="Arial" w:hAnsi="Arial" w:cs="Arial"/>
                <w:b/>
                <w:bCs/>
                <w:i/>
                <w:iCs/>
                <w:color w:val="000000"/>
                <w:sz w:val="14"/>
                <w:szCs w:val="12"/>
                <w:lang w:eastAsia="sq-AL"/>
              </w:rPr>
            </w:pPr>
            <w:r w:rsidRPr="00795698">
              <w:rPr>
                <w:rFonts w:ascii="Arial" w:hAnsi="Arial" w:cs="Arial"/>
                <w:b/>
                <w:bCs/>
                <w:i/>
                <w:iCs/>
                <w:color w:val="000000"/>
                <w:sz w:val="14"/>
                <w:szCs w:val="12"/>
                <w:lang w:eastAsia="sq-AL"/>
              </w:rPr>
              <w:t>0</w:t>
            </w:r>
          </w:p>
        </w:tc>
      </w:tr>
      <w:tr w:rsidR="0040645A" w:rsidRPr="00795698" w14:paraId="5FEF268B" w14:textId="77777777" w:rsidTr="0040645A">
        <w:trPr>
          <w:trHeight w:val="180"/>
        </w:trPr>
        <w:tc>
          <w:tcPr>
            <w:tcW w:w="4600" w:type="dxa"/>
            <w:vMerge/>
            <w:tcBorders>
              <w:top w:val="single" w:sz="8" w:space="0" w:color="4472C4"/>
              <w:left w:val="single" w:sz="8" w:space="0" w:color="auto"/>
              <w:bottom w:val="single" w:sz="8" w:space="0" w:color="8EAADB"/>
              <w:right w:val="single" w:sz="8" w:space="0" w:color="8EAADB"/>
            </w:tcBorders>
            <w:vAlign w:val="center"/>
            <w:hideMark/>
          </w:tcPr>
          <w:p w14:paraId="5FEF2687" w14:textId="77777777" w:rsidR="0040645A" w:rsidRPr="00795698" w:rsidRDefault="0040645A" w:rsidP="0040645A">
            <w:pPr>
              <w:rPr>
                <w:rFonts w:ascii="Arial" w:hAnsi="Arial" w:cs="Arial"/>
                <w:b/>
                <w:bCs/>
                <w:color w:val="000000"/>
                <w:sz w:val="14"/>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5FEF2688"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FEF2689" w14:textId="77777777" w:rsidR="0040645A" w:rsidRPr="00795698" w:rsidRDefault="0040645A" w:rsidP="0040645A">
            <w:pPr>
              <w:jc w:val="center"/>
              <w:rPr>
                <w:rFonts w:ascii="Arial" w:hAnsi="Arial" w:cs="Arial"/>
                <w:color w:val="000000"/>
                <w:sz w:val="14"/>
                <w:szCs w:val="12"/>
                <w:lang w:eastAsia="sq-AL"/>
              </w:rPr>
            </w:pPr>
            <w:r w:rsidRPr="00795698">
              <w:rPr>
                <w:rFonts w:ascii="Arial" w:hAnsi="Arial" w:cs="Arial"/>
                <w:color w:val="000000"/>
                <w:sz w:val="14"/>
                <w:szCs w:val="12"/>
                <w:lang w:eastAsia="sq-AL"/>
              </w:rPr>
              <w:t>500,000</w:t>
            </w:r>
          </w:p>
        </w:tc>
        <w:tc>
          <w:tcPr>
            <w:tcW w:w="1420" w:type="dxa"/>
            <w:vMerge/>
            <w:tcBorders>
              <w:top w:val="single" w:sz="8" w:space="0" w:color="4472C4"/>
              <w:left w:val="single" w:sz="8" w:space="0" w:color="8EAADB"/>
              <w:bottom w:val="single" w:sz="8" w:space="0" w:color="8EAADB"/>
              <w:right w:val="single" w:sz="8" w:space="0" w:color="auto"/>
            </w:tcBorders>
            <w:vAlign w:val="center"/>
            <w:hideMark/>
          </w:tcPr>
          <w:p w14:paraId="5FEF268A" w14:textId="77777777" w:rsidR="0040645A" w:rsidRPr="00795698" w:rsidRDefault="0040645A" w:rsidP="0040645A">
            <w:pPr>
              <w:rPr>
                <w:rFonts w:ascii="Arial" w:hAnsi="Arial" w:cs="Arial"/>
                <w:b/>
                <w:bCs/>
                <w:i/>
                <w:iCs/>
                <w:color w:val="000000"/>
                <w:sz w:val="14"/>
                <w:szCs w:val="12"/>
                <w:lang w:eastAsia="sq-AL"/>
              </w:rPr>
            </w:pPr>
          </w:p>
        </w:tc>
      </w:tr>
      <w:tr w:rsidR="0040645A" w:rsidRPr="00795698" w14:paraId="5FEF2690" w14:textId="77777777" w:rsidTr="0040645A">
        <w:trPr>
          <w:trHeight w:val="180"/>
        </w:trPr>
        <w:tc>
          <w:tcPr>
            <w:tcW w:w="4600" w:type="dxa"/>
            <w:tcBorders>
              <w:top w:val="nil"/>
              <w:left w:val="single" w:sz="8" w:space="0" w:color="auto"/>
              <w:bottom w:val="single" w:sz="8" w:space="0" w:color="8EAADB"/>
              <w:right w:val="single" w:sz="8" w:space="0" w:color="8EAADB"/>
            </w:tcBorders>
            <w:shd w:val="clear" w:color="000000" w:fill="D9E2F3"/>
            <w:vAlign w:val="center"/>
            <w:hideMark/>
          </w:tcPr>
          <w:p w14:paraId="5FEF268C" w14:textId="77777777" w:rsidR="0040645A" w:rsidRPr="00795698" w:rsidRDefault="0040645A" w:rsidP="0040645A">
            <w:pPr>
              <w:jc w:val="right"/>
              <w:rPr>
                <w:rFonts w:ascii="Arial" w:hAnsi="Arial" w:cs="Arial"/>
                <w:b/>
                <w:bCs/>
                <w:color w:val="000000"/>
                <w:sz w:val="14"/>
                <w:szCs w:val="12"/>
                <w:lang w:eastAsia="sq-AL"/>
              </w:rPr>
            </w:pPr>
            <w:r w:rsidRPr="00795698">
              <w:rPr>
                <w:rFonts w:ascii="Arial" w:hAnsi="Arial" w:cs="Arial"/>
                <w:b/>
                <w:bCs/>
                <w:color w:val="000000"/>
                <w:sz w:val="14"/>
                <w:szCs w:val="12"/>
                <w:lang w:eastAsia="sq-AL"/>
              </w:rPr>
              <w:t>TOTALI [Lekë]</w:t>
            </w:r>
          </w:p>
        </w:tc>
        <w:tc>
          <w:tcPr>
            <w:tcW w:w="1560" w:type="dxa"/>
            <w:tcBorders>
              <w:top w:val="nil"/>
              <w:left w:val="nil"/>
              <w:bottom w:val="single" w:sz="8" w:space="0" w:color="8EAADB"/>
              <w:right w:val="single" w:sz="8" w:space="0" w:color="8EAADB"/>
            </w:tcBorders>
            <w:shd w:val="clear" w:color="000000" w:fill="D9E2F3"/>
            <w:vAlign w:val="center"/>
            <w:hideMark/>
          </w:tcPr>
          <w:p w14:paraId="5FEF268D" w14:textId="77777777" w:rsidR="0040645A" w:rsidRPr="00795698" w:rsidRDefault="0040645A" w:rsidP="0040645A">
            <w:pPr>
              <w:jc w:val="center"/>
              <w:rPr>
                <w:rFonts w:ascii="Arial" w:hAnsi="Arial" w:cs="Arial"/>
                <w:b/>
                <w:bCs/>
                <w:color w:val="000000"/>
                <w:sz w:val="14"/>
                <w:szCs w:val="12"/>
                <w:lang w:eastAsia="sq-AL"/>
              </w:rPr>
            </w:pPr>
            <w:r w:rsidRPr="00795698">
              <w:rPr>
                <w:rFonts w:ascii="Arial" w:hAnsi="Arial" w:cs="Arial"/>
                <w:b/>
                <w:bCs/>
                <w:color w:val="000000"/>
                <w:sz w:val="14"/>
                <w:szCs w:val="12"/>
                <w:lang w:eastAsia="sq-AL"/>
              </w:rPr>
              <w:t> </w:t>
            </w:r>
          </w:p>
        </w:tc>
        <w:tc>
          <w:tcPr>
            <w:tcW w:w="1600" w:type="dxa"/>
            <w:tcBorders>
              <w:top w:val="nil"/>
              <w:left w:val="nil"/>
              <w:bottom w:val="single" w:sz="8" w:space="0" w:color="8EAADB"/>
              <w:right w:val="single" w:sz="8" w:space="0" w:color="8EAADB"/>
            </w:tcBorders>
            <w:shd w:val="clear" w:color="000000" w:fill="D9E2F3"/>
            <w:vAlign w:val="center"/>
            <w:hideMark/>
          </w:tcPr>
          <w:p w14:paraId="5FEF268E" w14:textId="77777777" w:rsidR="0040645A" w:rsidRPr="00795698" w:rsidRDefault="0040645A" w:rsidP="0040645A">
            <w:pPr>
              <w:jc w:val="center"/>
              <w:rPr>
                <w:rFonts w:ascii="Arial" w:hAnsi="Arial" w:cs="Arial"/>
                <w:b/>
                <w:bCs/>
                <w:color w:val="000000"/>
                <w:sz w:val="14"/>
                <w:szCs w:val="12"/>
                <w:lang w:eastAsia="sq-AL"/>
              </w:rPr>
            </w:pPr>
            <w:r w:rsidRPr="00795698">
              <w:rPr>
                <w:rFonts w:ascii="Arial" w:hAnsi="Arial" w:cs="Arial"/>
                <w:b/>
                <w:bCs/>
                <w:color w:val="000000"/>
                <w:sz w:val="14"/>
                <w:szCs w:val="12"/>
                <w:lang w:eastAsia="sq-AL"/>
              </w:rPr>
              <w:t>37,010,800</w:t>
            </w:r>
          </w:p>
        </w:tc>
        <w:tc>
          <w:tcPr>
            <w:tcW w:w="1420" w:type="dxa"/>
            <w:tcBorders>
              <w:top w:val="nil"/>
              <w:left w:val="nil"/>
              <w:bottom w:val="single" w:sz="8" w:space="0" w:color="8EAADB"/>
              <w:right w:val="single" w:sz="8" w:space="0" w:color="auto"/>
            </w:tcBorders>
            <w:shd w:val="clear" w:color="000000" w:fill="D9E2F3"/>
            <w:vAlign w:val="center"/>
            <w:hideMark/>
          </w:tcPr>
          <w:p w14:paraId="5FEF268F" w14:textId="77777777" w:rsidR="0040645A" w:rsidRPr="00795698" w:rsidRDefault="0040645A" w:rsidP="0040645A">
            <w:pPr>
              <w:jc w:val="center"/>
              <w:rPr>
                <w:rFonts w:ascii="Arial" w:hAnsi="Arial" w:cs="Arial"/>
                <w:b/>
                <w:bCs/>
                <w:i/>
                <w:iCs/>
                <w:color w:val="000000"/>
                <w:sz w:val="14"/>
                <w:szCs w:val="12"/>
                <w:lang w:eastAsia="sq-AL"/>
              </w:rPr>
            </w:pPr>
            <w:r w:rsidRPr="00795698">
              <w:rPr>
                <w:rFonts w:ascii="Arial" w:hAnsi="Arial" w:cs="Arial"/>
                <w:b/>
                <w:bCs/>
                <w:i/>
                <w:iCs/>
                <w:color w:val="000000"/>
                <w:sz w:val="14"/>
                <w:szCs w:val="12"/>
                <w:lang w:eastAsia="sq-AL"/>
              </w:rPr>
              <w:t>0</w:t>
            </w:r>
          </w:p>
        </w:tc>
      </w:tr>
      <w:tr w:rsidR="0040645A" w:rsidRPr="00795698" w14:paraId="5FEF2695" w14:textId="77777777" w:rsidTr="0040645A">
        <w:trPr>
          <w:trHeight w:val="180"/>
        </w:trPr>
        <w:tc>
          <w:tcPr>
            <w:tcW w:w="4600" w:type="dxa"/>
            <w:tcBorders>
              <w:top w:val="nil"/>
              <w:left w:val="single" w:sz="8" w:space="0" w:color="auto"/>
              <w:bottom w:val="nil"/>
              <w:right w:val="single" w:sz="8" w:space="0" w:color="8EAADB"/>
            </w:tcBorders>
            <w:shd w:val="clear" w:color="auto" w:fill="auto"/>
            <w:vAlign w:val="center"/>
            <w:hideMark/>
          </w:tcPr>
          <w:p w14:paraId="5FEF2691" w14:textId="77777777" w:rsidR="0040645A" w:rsidRPr="00795698" w:rsidRDefault="0040645A" w:rsidP="0040645A">
            <w:pPr>
              <w:jc w:val="right"/>
              <w:rPr>
                <w:rFonts w:ascii="Arial" w:hAnsi="Arial" w:cs="Arial"/>
                <w:b/>
                <w:bCs/>
                <w:color w:val="000000"/>
                <w:sz w:val="14"/>
                <w:szCs w:val="12"/>
                <w:lang w:eastAsia="sq-AL"/>
              </w:rPr>
            </w:pPr>
            <w:r w:rsidRPr="00795698">
              <w:rPr>
                <w:rFonts w:ascii="Arial" w:hAnsi="Arial" w:cs="Arial"/>
                <w:b/>
                <w:bCs/>
                <w:color w:val="000000"/>
                <w:sz w:val="14"/>
                <w:szCs w:val="12"/>
                <w:lang w:eastAsia="sq-AL"/>
              </w:rPr>
              <w:t>TOTALI [Euro]</w:t>
            </w:r>
          </w:p>
        </w:tc>
        <w:tc>
          <w:tcPr>
            <w:tcW w:w="15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F2692" w14:textId="77777777" w:rsidR="0040645A" w:rsidRPr="00795698" w:rsidRDefault="0040645A" w:rsidP="0040645A">
            <w:pPr>
              <w:jc w:val="center"/>
              <w:rPr>
                <w:rFonts w:ascii="Arial" w:hAnsi="Arial" w:cs="Arial"/>
                <w:b/>
                <w:bCs/>
                <w:color w:val="000000"/>
                <w:sz w:val="14"/>
                <w:szCs w:val="12"/>
                <w:lang w:eastAsia="sq-AL"/>
              </w:rPr>
            </w:pPr>
            <w:r w:rsidRPr="00795698">
              <w:rPr>
                <w:rFonts w:ascii="Arial" w:hAnsi="Arial" w:cs="Arial"/>
                <w:b/>
                <w:bCs/>
                <w:color w:val="000000"/>
                <w:sz w:val="14"/>
                <w:szCs w:val="12"/>
                <w:lang w:eastAsia="sq-AL"/>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F2693" w14:textId="77777777" w:rsidR="0040645A" w:rsidRPr="00795698" w:rsidRDefault="0040645A" w:rsidP="0040645A">
            <w:pPr>
              <w:jc w:val="center"/>
              <w:rPr>
                <w:rFonts w:ascii="Arial" w:hAnsi="Arial" w:cs="Arial"/>
                <w:b/>
                <w:bCs/>
                <w:color w:val="000000"/>
                <w:sz w:val="14"/>
                <w:szCs w:val="12"/>
                <w:lang w:eastAsia="sq-AL"/>
              </w:rPr>
            </w:pPr>
            <w:bookmarkStart w:id="129" w:name="RANGE!C12"/>
            <w:r w:rsidRPr="00795698">
              <w:rPr>
                <w:rFonts w:ascii="Arial" w:hAnsi="Arial" w:cs="Arial"/>
                <w:b/>
                <w:bCs/>
                <w:color w:val="000000"/>
                <w:sz w:val="14"/>
                <w:szCs w:val="12"/>
                <w:lang w:eastAsia="sq-AL"/>
              </w:rPr>
              <w:t>300,901</w:t>
            </w:r>
            <w:bookmarkEnd w:id="129"/>
          </w:p>
        </w:tc>
        <w:tc>
          <w:tcPr>
            <w:tcW w:w="142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FEF2694" w14:textId="77777777" w:rsidR="0040645A" w:rsidRPr="00795698" w:rsidRDefault="0040645A" w:rsidP="0040645A">
            <w:pPr>
              <w:jc w:val="center"/>
              <w:rPr>
                <w:rFonts w:ascii="Arial" w:hAnsi="Arial" w:cs="Arial"/>
                <w:b/>
                <w:bCs/>
                <w:color w:val="000000"/>
                <w:sz w:val="14"/>
                <w:szCs w:val="12"/>
                <w:lang w:eastAsia="sq-AL"/>
              </w:rPr>
            </w:pPr>
            <w:r w:rsidRPr="00795698">
              <w:rPr>
                <w:rFonts w:ascii="Arial" w:hAnsi="Arial" w:cs="Arial"/>
                <w:b/>
                <w:bCs/>
                <w:color w:val="000000"/>
                <w:sz w:val="14"/>
                <w:szCs w:val="12"/>
                <w:lang w:eastAsia="sq-AL"/>
              </w:rPr>
              <w:t>0</w:t>
            </w:r>
          </w:p>
        </w:tc>
      </w:tr>
      <w:tr w:rsidR="0040645A" w:rsidRPr="00795698" w14:paraId="5FEF269A" w14:textId="77777777" w:rsidTr="0040645A">
        <w:trPr>
          <w:trHeight w:val="180"/>
        </w:trPr>
        <w:tc>
          <w:tcPr>
            <w:tcW w:w="4600" w:type="dxa"/>
            <w:tcBorders>
              <w:top w:val="nil"/>
              <w:left w:val="single" w:sz="8" w:space="0" w:color="auto"/>
              <w:bottom w:val="single" w:sz="8" w:space="0" w:color="auto"/>
              <w:right w:val="single" w:sz="8" w:space="0" w:color="8EAADB"/>
            </w:tcBorders>
            <w:shd w:val="clear" w:color="auto" w:fill="auto"/>
            <w:vAlign w:val="center"/>
            <w:hideMark/>
          </w:tcPr>
          <w:p w14:paraId="5FEF2696" w14:textId="77777777" w:rsidR="0040645A" w:rsidRPr="00795698" w:rsidRDefault="0040645A" w:rsidP="0040645A">
            <w:pPr>
              <w:jc w:val="right"/>
              <w:rPr>
                <w:rFonts w:ascii="Arial" w:hAnsi="Arial" w:cs="Arial"/>
                <w:b/>
                <w:bCs/>
                <w:i/>
                <w:iCs/>
                <w:color w:val="FF0000"/>
                <w:sz w:val="14"/>
                <w:szCs w:val="12"/>
                <w:lang w:eastAsia="sq-AL"/>
              </w:rPr>
            </w:pPr>
            <w:r w:rsidRPr="00795698">
              <w:rPr>
                <w:rFonts w:ascii="Arial" w:hAnsi="Arial" w:cs="Arial"/>
                <w:b/>
                <w:bCs/>
                <w:i/>
                <w:iCs/>
                <w:color w:val="FF0000"/>
                <w:sz w:val="14"/>
                <w:szCs w:val="12"/>
                <w:lang w:eastAsia="sq-AL"/>
              </w:rPr>
              <w:t>1 euro 123 Lekë</w:t>
            </w:r>
          </w:p>
        </w:tc>
        <w:tc>
          <w:tcPr>
            <w:tcW w:w="1560" w:type="dxa"/>
            <w:vMerge/>
            <w:tcBorders>
              <w:top w:val="nil"/>
              <w:left w:val="single" w:sz="8" w:space="0" w:color="8EAADB"/>
              <w:bottom w:val="single" w:sz="8" w:space="0" w:color="000000"/>
              <w:right w:val="single" w:sz="8" w:space="0" w:color="8EAADB"/>
            </w:tcBorders>
            <w:vAlign w:val="center"/>
            <w:hideMark/>
          </w:tcPr>
          <w:p w14:paraId="5FEF2697" w14:textId="77777777" w:rsidR="0040645A" w:rsidRPr="00795698" w:rsidRDefault="0040645A" w:rsidP="0040645A">
            <w:pPr>
              <w:rPr>
                <w:rFonts w:ascii="Arial" w:hAnsi="Arial" w:cs="Arial"/>
                <w:b/>
                <w:bCs/>
                <w:color w:val="000000"/>
                <w:sz w:val="14"/>
                <w:szCs w:val="12"/>
                <w:lang w:eastAsia="sq-AL"/>
              </w:rPr>
            </w:pPr>
          </w:p>
        </w:tc>
        <w:tc>
          <w:tcPr>
            <w:tcW w:w="1600" w:type="dxa"/>
            <w:vMerge/>
            <w:tcBorders>
              <w:top w:val="nil"/>
              <w:left w:val="single" w:sz="8" w:space="0" w:color="8EAADB"/>
              <w:bottom w:val="single" w:sz="8" w:space="0" w:color="000000"/>
              <w:right w:val="single" w:sz="8" w:space="0" w:color="8EAADB"/>
            </w:tcBorders>
            <w:vAlign w:val="center"/>
            <w:hideMark/>
          </w:tcPr>
          <w:p w14:paraId="5FEF2698" w14:textId="77777777" w:rsidR="0040645A" w:rsidRPr="00795698" w:rsidRDefault="0040645A" w:rsidP="0040645A">
            <w:pPr>
              <w:rPr>
                <w:rFonts w:ascii="Arial" w:hAnsi="Arial" w:cs="Arial"/>
                <w:b/>
                <w:bCs/>
                <w:color w:val="000000"/>
                <w:sz w:val="14"/>
                <w:szCs w:val="12"/>
                <w:lang w:eastAsia="sq-AL"/>
              </w:rPr>
            </w:pPr>
          </w:p>
        </w:tc>
        <w:tc>
          <w:tcPr>
            <w:tcW w:w="1420" w:type="dxa"/>
            <w:vMerge/>
            <w:tcBorders>
              <w:top w:val="nil"/>
              <w:left w:val="single" w:sz="8" w:space="0" w:color="8EAADB"/>
              <w:bottom w:val="single" w:sz="8" w:space="0" w:color="000000"/>
              <w:right w:val="single" w:sz="8" w:space="0" w:color="8EAADB"/>
            </w:tcBorders>
            <w:vAlign w:val="center"/>
            <w:hideMark/>
          </w:tcPr>
          <w:p w14:paraId="5FEF2699" w14:textId="77777777" w:rsidR="0040645A" w:rsidRPr="00795698" w:rsidRDefault="0040645A" w:rsidP="0040645A">
            <w:pPr>
              <w:rPr>
                <w:rFonts w:ascii="Arial" w:hAnsi="Arial" w:cs="Arial"/>
                <w:b/>
                <w:bCs/>
                <w:color w:val="000000"/>
                <w:sz w:val="14"/>
                <w:szCs w:val="12"/>
                <w:lang w:eastAsia="sq-AL"/>
              </w:rPr>
            </w:pPr>
          </w:p>
        </w:tc>
      </w:tr>
    </w:tbl>
    <w:p w14:paraId="5FEF269B" w14:textId="77777777" w:rsidR="0040645A" w:rsidRPr="00795698" w:rsidRDefault="0040645A" w:rsidP="00BC53EF">
      <w:pPr>
        <w:pStyle w:val="TEKSTIIIII"/>
        <w:jc w:val="center"/>
        <w:rPr>
          <w:i/>
          <w:sz w:val="18"/>
          <w:lang w:val="sq-AL"/>
        </w:rPr>
      </w:pPr>
    </w:p>
    <w:p w14:paraId="5FEF269C" w14:textId="77777777" w:rsidR="006C25D0" w:rsidRPr="00795698" w:rsidRDefault="006C25D0" w:rsidP="00BC53EF">
      <w:pPr>
        <w:pStyle w:val="TEKSTIIIII"/>
        <w:jc w:val="center"/>
        <w:rPr>
          <w:i/>
          <w:sz w:val="18"/>
          <w:lang w:val="sq-AL"/>
        </w:rPr>
      </w:pPr>
    </w:p>
    <w:p w14:paraId="5FEF269D" w14:textId="77777777" w:rsidR="006C25D0" w:rsidRPr="00795698" w:rsidRDefault="006C25D0" w:rsidP="00BC53EF">
      <w:pPr>
        <w:pStyle w:val="TEKSTIIIII"/>
        <w:jc w:val="center"/>
        <w:rPr>
          <w:i/>
          <w:sz w:val="18"/>
          <w:lang w:val="sq-AL"/>
        </w:rPr>
      </w:pPr>
    </w:p>
    <w:p w14:paraId="5FEF269E" w14:textId="77777777" w:rsidR="006C25D0" w:rsidRPr="00795698" w:rsidRDefault="006C25D0" w:rsidP="00BC53EF">
      <w:pPr>
        <w:pStyle w:val="TEKSTIIIII"/>
        <w:jc w:val="center"/>
        <w:rPr>
          <w:i/>
          <w:sz w:val="18"/>
          <w:lang w:val="sq-AL"/>
        </w:rPr>
      </w:pPr>
    </w:p>
    <w:p w14:paraId="5FEF269F" w14:textId="77777777" w:rsidR="006C25D0" w:rsidRPr="00795698" w:rsidRDefault="006C25D0" w:rsidP="00BC53EF">
      <w:pPr>
        <w:pStyle w:val="TEKSTIIIII"/>
        <w:jc w:val="center"/>
        <w:rPr>
          <w:i/>
          <w:sz w:val="18"/>
          <w:lang w:val="sq-AL"/>
        </w:rPr>
      </w:pPr>
      <w:r w:rsidRPr="00795698">
        <w:rPr>
          <w:noProof/>
          <w:lang w:val="sq-AL"/>
        </w:rPr>
        <w:lastRenderedPageBreak/>
        <w:drawing>
          <wp:inline distT="0" distB="0" distL="0" distR="0" wp14:anchorId="5FEF2D0B" wp14:editId="7E69F4B6">
            <wp:extent cx="5943600" cy="4307840"/>
            <wp:effectExtent l="0" t="0" r="19050" b="16510"/>
            <wp:docPr id="12" name="Chart 12">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FEF26A0" w14:textId="77777777" w:rsidR="006C25D0" w:rsidRPr="00795698" w:rsidRDefault="006C25D0" w:rsidP="00BC53EF">
      <w:pPr>
        <w:pStyle w:val="TEKSTIIIII"/>
        <w:jc w:val="center"/>
        <w:rPr>
          <w:i/>
          <w:sz w:val="18"/>
          <w:lang w:val="sq-AL"/>
        </w:rPr>
      </w:pPr>
    </w:p>
    <w:p w14:paraId="5FEF26A1" w14:textId="77777777" w:rsidR="006C25D0" w:rsidRPr="00795698" w:rsidRDefault="006C25D0" w:rsidP="00BC53EF">
      <w:pPr>
        <w:pStyle w:val="TEKSTIIIII"/>
        <w:jc w:val="center"/>
        <w:rPr>
          <w:i/>
          <w:sz w:val="18"/>
          <w:lang w:val="sq-AL"/>
        </w:rPr>
      </w:pPr>
    </w:p>
    <w:p w14:paraId="5FEF26A2" w14:textId="77777777" w:rsidR="006C25D0" w:rsidRPr="00795698" w:rsidRDefault="006C25D0" w:rsidP="00BC53EF">
      <w:pPr>
        <w:pStyle w:val="TEKSTIIIII"/>
        <w:jc w:val="center"/>
        <w:rPr>
          <w:i/>
          <w:sz w:val="18"/>
          <w:lang w:val="sq-AL"/>
        </w:rPr>
      </w:pPr>
    </w:p>
    <w:p w14:paraId="5FEF26A3" w14:textId="77777777" w:rsidR="006C25D0" w:rsidRPr="00795698" w:rsidRDefault="006C25D0" w:rsidP="00BC53EF">
      <w:pPr>
        <w:pStyle w:val="TEKSTIIIII"/>
        <w:jc w:val="center"/>
        <w:rPr>
          <w:i/>
          <w:sz w:val="18"/>
          <w:lang w:val="sq-AL"/>
        </w:rPr>
      </w:pPr>
    </w:p>
    <w:p w14:paraId="5FEF26A4" w14:textId="77777777" w:rsidR="006C25D0" w:rsidRPr="00795698" w:rsidRDefault="006C25D0" w:rsidP="00BC53EF">
      <w:pPr>
        <w:pStyle w:val="TEKSTIIIII"/>
        <w:jc w:val="center"/>
        <w:rPr>
          <w:i/>
          <w:sz w:val="18"/>
          <w:lang w:val="sq-AL"/>
        </w:rPr>
      </w:pPr>
      <w:r w:rsidRPr="00795698">
        <w:rPr>
          <w:noProof/>
          <w:lang w:val="sq-AL"/>
        </w:rPr>
        <w:lastRenderedPageBreak/>
        <w:drawing>
          <wp:inline distT="0" distB="0" distL="0" distR="0" wp14:anchorId="5FEF2D0D" wp14:editId="0AB4C680">
            <wp:extent cx="5943600" cy="4316095"/>
            <wp:effectExtent l="0" t="0" r="19050" b="27305"/>
            <wp:docPr id="13" name="Chart 13">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FEF26A5" w14:textId="77777777" w:rsidR="006C25D0" w:rsidRPr="00795698" w:rsidRDefault="006C25D0" w:rsidP="00BC53EF">
      <w:pPr>
        <w:pStyle w:val="TEKSTIIIII"/>
        <w:jc w:val="center"/>
        <w:rPr>
          <w:i/>
          <w:sz w:val="18"/>
          <w:lang w:val="sq-AL"/>
        </w:rPr>
      </w:pPr>
    </w:p>
    <w:p w14:paraId="5FEF26A6" w14:textId="77777777" w:rsidR="006C25D0" w:rsidRPr="00795698" w:rsidRDefault="006C25D0" w:rsidP="00BC53EF">
      <w:pPr>
        <w:pStyle w:val="TEKSTIIIII"/>
        <w:jc w:val="center"/>
        <w:rPr>
          <w:i/>
          <w:sz w:val="18"/>
          <w:lang w:val="sq-AL"/>
        </w:rPr>
      </w:pPr>
    </w:p>
    <w:p w14:paraId="5FEF26A7" w14:textId="77777777" w:rsidR="006C25D0" w:rsidRPr="00795698" w:rsidRDefault="006C25D0" w:rsidP="00BC53EF">
      <w:pPr>
        <w:pStyle w:val="TEKSTIIIII"/>
        <w:jc w:val="center"/>
        <w:rPr>
          <w:i/>
          <w:sz w:val="18"/>
          <w:lang w:val="sq-AL"/>
        </w:rPr>
      </w:pPr>
    </w:p>
    <w:p w14:paraId="5FEF26A8" w14:textId="77777777" w:rsidR="006C25D0" w:rsidRPr="00795698" w:rsidRDefault="006C25D0" w:rsidP="00BC53EF">
      <w:pPr>
        <w:pStyle w:val="TEKSTIIIII"/>
        <w:jc w:val="center"/>
        <w:rPr>
          <w:i/>
          <w:sz w:val="18"/>
          <w:lang w:val="sq-AL"/>
        </w:rPr>
      </w:pPr>
    </w:p>
    <w:p w14:paraId="5FEF26A9" w14:textId="77777777" w:rsidR="006C25D0" w:rsidRPr="00795698" w:rsidRDefault="006C25D0" w:rsidP="00BC53EF">
      <w:pPr>
        <w:pStyle w:val="TEKSTIIIII"/>
        <w:jc w:val="center"/>
        <w:rPr>
          <w:i/>
          <w:sz w:val="18"/>
          <w:lang w:val="sq-AL"/>
        </w:rPr>
      </w:pPr>
    </w:p>
    <w:p w14:paraId="5FEF26AA" w14:textId="77777777" w:rsidR="006C25D0" w:rsidRPr="00795698" w:rsidRDefault="006C25D0" w:rsidP="00BC53EF">
      <w:pPr>
        <w:pStyle w:val="TEKSTIIIII"/>
        <w:jc w:val="center"/>
        <w:rPr>
          <w:i/>
          <w:sz w:val="18"/>
          <w:lang w:val="sq-AL"/>
        </w:rPr>
      </w:pPr>
      <w:r w:rsidRPr="00795698">
        <w:rPr>
          <w:noProof/>
          <w:lang w:val="sq-AL"/>
        </w:rPr>
        <w:lastRenderedPageBreak/>
        <w:drawing>
          <wp:inline distT="0" distB="0" distL="0" distR="0" wp14:anchorId="5FEF2D0F" wp14:editId="5A2037DB">
            <wp:extent cx="6414447" cy="4680105"/>
            <wp:effectExtent l="0" t="0" r="571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35247" t="35392" r="36019" b="27338"/>
                    <a:stretch/>
                  </pic:blipFill>
                  <pic:spPr bwMode="auto">
                    <a:xfrm>
                      <a:off x="0" y="0"/>
                      <a:ext cx="6414447" cy="4680105"/>
                    </a:xfrm>
                    <a:prstGeom prst="rect">
                      <a:avLst/>
                    </a:prstGeom>
                    <a:ln>
                      <a:noFill/>
                    </a:ln>
                    <a:extLst>
                      <a:ext uri="{53640926-AAD7-44D8-BBD7-CCE9431645EC}">
                        <a14:shadowObscured xmlns:a14="http://schemas.microsoft.com/office/drawing/2010/main"/>
                      </a:ext>
                    </a:extLst>
                  </pic:spPr>
                </pic:pic>
              </a:graphicData>
            </a:graphic>
          </wp:inline>
        </w:drawing>
      </w:r>
    </w:p>
    <w:p w14:paraId="5FEF26AB" w14:textId="77777777" w:rsidR="00B82991" w:rsidRPr="00795698" w:rsidRDefault="00B82991" w:rsidP="00BC53EF">
      <w:pPr>
        <w:pStyle w:val="TEKSTIIIII"/>
        <w:jc w:val="center"/>
        <w:rPr>
          <w:i/>
          <w:sz w:val="18"/>
          <w:lang w:val="sq-AL"/>
        </w:rPr>
      </w:pPr>
    </w:p>
    <w:p w14:paraId="5FEF26AC" w14:textId="77777777" w:rsidR="00B82991" w:rsidRPr="00795698" w:rsidRDefault="00B82991" w:rsidP="00BC53EF">
      <w:pPr>
        <w:pStyle w:val="TEKSTIIIII"/>
        <w:jc w:val="center"/>
        <w:rPr>
          <w:i/>
          <w:sz w:val="18"/>
          <w:lang w:val="sq-AL"/>
        </w:rPr>
      </w:pPr>
    </w:p>
    <w:p w14:paraId="5FEF26AD" w14:textId="77777777" w:rsidR="00B82991" w:rsidRPr="00795698" w:rsidRDefault="00B82991" w:rsidP="00BC53EF">
      <w:pPr>
        <w:pStyle w:val="TEKSTIIIII"/>
        <w:jc w:val="center"/>
        <w:rPr>
          <w:i/>
          <w:sz w:val="18"/>
          <w:lang w:val="sq-AL"/>
        </w:rPr>
      </w:pPr>
    </w:p>
    <w:p w14:paraId="5FEF26AE" w14:textId="77777777" w:rsidR="00B82991" w:rsidRPr="00795698" w:rsidRDefault="00B82991" w:rsidP="00BC53EF">
      <w:pPr>
        <w:pStyle w:val="TEKSTIIIII"/>
        <w:jc w:val="center"/>
        <w:rPr>
          <w:i/>
          <w:sz w:val="18"/>
          <w:lang w:val="sq-AL"/>
        </w:rPr>
      </w:pPr>
    </w:p>
    <w:p w14:paraId="5FEF26AF" w14:textId="77777777" w:rsidR="00B82991" w:rsidRPr="00795698" w:rsidRDefault="00B82991" w:rsidP="00BC53EF">
      <w:pPr>
        <w:pStyle w:val="TEKSTIIIII"/>
        <w:jc w:val="center"/>
        <w:rPr>
          <w:i/>
          <w:sz w:val="18"/>
          <w:lang w:val="sq-AL"/>
        </w:rPr>
      </w:pPr>
    </w:p>
    <w:p w14:paraId="5FEF26B0" w14:textId="77777777" w:rsidR="00F6012F" w:rsidRPr="00795698" w:rsidRDefault="00F6012F" w:rsidP="00BC53EF">
      <w:pPr>
        <w:pStyle w:val="TEKSTIIIII"/>
        <w:jc w:val="center"/>
        <w:rPr>
          <w:i/>
          <w:sz w:val="18"/>
          <w:lang w:val="sq-AL"/>
        </w:rPr>
      </w:pPr>
    </w:p>
    <w:p w14:paraId="5FEF26B1" w14:textId="77777777" w:rsidR="00F6012F" w:rsidRPr="00795698" w:rsidRDefault="00F6012F" w:rsidP="00BC53EF">
      <w:pPr>
        <w:pStyle w:val="TEKSTIIIII"/>
        <w:jc w:val="center"/>
        <w:rPr>
          <w:i/>
          <w:sz w:val="18"/>
          <w:lang w:val="sq-AL"/>
        </w:rPr>
      </w:pPr>
    </w:p>
    <w:p w14:paraId="5FEF26B2" w14:textId="77777777" w:rsidR="00F6012F" w:rsidRPr="00795698" w:rsidRDefault="00F6012F" w:rsidP="00BC53EF">
      <w:pPr>
        <w:pStyle w:val="TEKSTIIIII"/>
        <w:jc w:val="center"/>
        <w:rPr>
          <w:i/>
          <w:sz w:val="18"/>
          <w:lang w:val="sq-AL"/>
        </w:rPr>
      </w:pPr>
    </w:p>
    <w:p w14:paraId="5FEF26B3" w14:textId="77777777" w:rsidR="00F6012F" w:rsidRPr="00795698" w:rsidRDefault="00F6012F" w:rsidP="00BC53EF">
      <w:pPr>
        <w:pStyle w:val="TEKSTIIIII"/>
        <w:jc w:val="center"/>
        <w:rPr>
          <w:i/>
          <w:sz w:val="18"/>
          <w:lang w:val="sq-AL"/>
        </w:rPr>
      </w:pPr>
    </w:p>
    <w:tbl>
      <w:tblPr>
        <w:tblW w:w="5000" w:type="pct"/>
        <w:jc w:val="center"/>
        <w:tblLook w:val="04A0" w:firstRow="1" w:lastRow="0" w:firstColumn="1" w:lastColumn="0" w:noHBand="0" w:noVBand="1"/>
      </w:tblPr>
      <w:tblGrid>
        <w:gridCol w:w="265"/>
        <w:gridCol w:w="390"/>
        <w:gridCol w:w="573"/>
        <w:gridCol w:w="402"/>
        <w:gridCol w:w="498"/>
        <w:gridCol w:w="418"/>
        <w:gridCol w:w="528"/>
        <w:gridCol w:w="454"/>
        <w:gridCol w:w="426"/>
        <w:gridCol w:w="436"/>
        <w:gridCol w:w="674"/>
        <w:gridCol w:w="330"/>
        <w:gridCol w:w="330"/>
        <w:gridCol w:w="563"/>
        <w:gridCol w:w="361"/>
        <w:gridCol w:w="468"/>
        <w:gridCol w:w="308"/>
        <w:gridCol w:w="428"/>
        <w:gridCol w:w="386"/>
        <w:gridCol w:w="400"/>
        <w:gridCol w:w="296"/>
        <w:gridCol w:w="296"/>
        <w:gridCol w:w="296"/>
        <w:gridCol w:w="296"/>
        <w:gridCol w:w="296"/>
        <w:gridCol w:w="296"/>
        <w:gridCol w:w="296"/>
        <w:gridCol w:w="296"/>
        <w:gridCol w:w="296"/>
        <w:gridCol w:w="464"/>
        <w:gridCol w:w="450"/>
        <w:gridCol w:w="480"/>
        <w:gridCol w:w="480"/>
      </w:tblGrid>
      <w:tr w:rsidR="00F6012F" w:rsidRPr="00795698" w14:paraId="5FEF26CA" w14:textId="77777777" w:rsidTr="00F6012F">
        <w:trPr>
          <w:trHeight w:val="180"/>
          <w:jc w:val="center"/>
        </w:trPr>
        <w:tc>
          <w:tcPr>
            <w:tcW w:w="89" w:type="pct"/>
            <w:tcBorders>
              <w:top w:val="single" w:sz="4" w:space="0" w:color="auto"/>
              <w:left w:val="single" w:sz="4" w:space="0" w:color="auto"/>
              <w:bottom w:val="nil"/>
              <w:right w:val="single" w:sz="4" w:space="0" w:color="auto"/>
            </w:tcBorders>
            <w:shd w:val="clear" w:color="000000" w:fill="D9D9D9"/>
            <w:noWrap/>
            <w:vAlign w:val="center"/>
            <w:hideMark/>
          </w:tcPr>
          <w:p w14:paraId="5FEF26B4" w14:textId="77777777" w:rsidR="00F6012F" w:rsidRPr="00795698" w:rsidRDefault="00F6012F" w:rsidP="00F6012F">
            <w:pPr>
              <w:jc w:val="center"/>
              <w:rPr>
                <w:rFonts w:ascii="Arial" w:hAnsi="Arial" w:cs="Arial"/>
                <w:b/>
                <w:bCs/>
                <w:color w:val="000000"/>
                <w:sz w:val="4"/>
                <w:szCs w:val="4"/>
                <w:lang w:eastAsia="sq-AL"/>
              </w:rPr>
            </w:pPr>
            <w:bookmarkStart w:id="130" w:name="RANGE!A4:AH18"/>
            <w:r w:rsidRPr="00795698">
              <w:rPr>
                <w:rFonts w:ascii="Arial" w:hAnsi="Arial" w:cs="Arial"/>
                <w:b/>
                <w:bCs/>
                <w:color w:val="000000"/>
                <w:sz w:val="4"/>
                <w:szCs w:val="4"/>
                <w:lang w:eastAsia="sq-AL"/>
              </w:rPr>
              <w:lastRenderedPageBreak/>
              <w:t xml:space="preserve">Nr. </w:t>
            </w:r>
            <w:bookmarkEnd w:id="130"/>
          </w:p>
        </w:tc>
        <w:tc>
          <w:tcPr>
            <w:tcW w:w="151" w:type="pct"/>
            <w:tcBorders>
              <w:top w:val="single" w:sz="4" w:space="0" w:color="auto"/>
              <w:left w:val="nil"/>
              <w:bottom w:val="nil"/>
              <w:right w:val="single" w:sz="4" w:space="0" w:color="auto"/>
            </w:tcBorders>
            <w:shd w:val="clear" w:color="FFFFFF" w:fill="D9D9D9"/>
            <w:vAlign w:val="center"/>
            <w:hideMark/>
          </w:tcPr>
          <w:p w14:paraId="5FEF26B5"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Lloji i indikatorit</w:t>
            </w:r>
          </w:p>
        </w:tc>
        <w:tc>
          <w:tcPr>
            <w:tcW w:w="190" w:type="pct"/>
            <w:tcBorders>
              <w:top w:val="single" w:sz="4" w:space="0" w:color="auto"/>
              <w:left w:val="nil"/>
              <w:bottom w:val="nil"/>
              <w:right w:val="single" w:sz="4" w:space="0" w:color="auto"/>
            </w:tcBorders>
            <w:shd w:val="clear" w:color="FFFFFF" w:fill="D9D9D9"/>
            <w:noWrap/>
            <w:vAlign w:val="center"/>
            <w:hideMark/>
          </w:tcPr>
          <w:p w14:paraId="5FEF26B6"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Emërtimi i Indikatorit</w:t>
            </w:r>
          </w:p>
        </w:tc>
        <w:tc>
          <w:tcPr>
            <w:tcW w:w="157" w:type="pct"/>
            <w:tcBorders>
              <w:top w:val="single" w:sz="4" w:space="0" w:color="auto"/>
              <w:left w:val="nil"/>
              <w:bottom w:val="nil"/>
              <w:right w:val="single" w:sz="4" w:space="0" w:color="auto"/>
            </w:tcBorders>
            <w:shd w:val="clear" w:color="FFFFFF" w:fill="D9D9D9"/>
            <w:vAlign w:val="center"/>
            <w:hideMark/>
          </w:tcPr>
          <w:p w14:paraId="5FEF26B7"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 xml:space="preserve">Lidhja me Nr. e Shtyllës së SKZHI </w:t>
            </w:r>
          </w:p>
        </w:tc>
        <w:tc>
          <w:tcPr>
            <w:tcW w:w="205" w:type="pct"/>
            <w:tcBorders>
              <w:top w:val="single" w:sz="4" w:space="0" w:color="auto"/>
              <w:left w:val="nil"/>
              <w:bottom w:val="nil"/>
              <w:right w:val="single" w:sz="4" w:space="0" w:color="auto"/>
            </w:tcBorders>
            <w:shd w:val="clear" w:color="FFFFFF" w:fill="D9D9D9"/>
            <w:vAlign w:val="center"/>
            <w:hideMark/>
          </w:tcPr>
          <w:p w14:paraId="5FEF26B8"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Qëllimi/Objektivi Strategjik në SKZHI</w:t>
            </w:r>
          </w:p>
        </w:tc>
        <w:tc>
          <w:tcPr>
            <w:tcW w:w="165" w:type="pct"/>
            <w:tcBorders>
              <w:top w:val="single" w:sz="4" w:space="0" w:color="auto"/>
              <w:left w:val="nil"/>
              <w:bottom w:val="nil"/>
              <w:right w:val="single" w:sz="4" w:space="0" w:color="auto"/>
            </w:tcBorders>
            <w:shd w:val="clear" w:color="FFFFFF" w:fill="D9D9D9"/>
            <w:vAlign w:val="center"/>
            <w:hideMark/>
          </w:tcPr>
          <w:p w14:paraId="5FEF26B9"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Qëllimi i Politikës</w:t>
            </w:r>
          </w:p>
        </w:tc>
        <w:tc>
          <w:tcPr>
            <w:tcW w:w="219" w:type="pct"/>
            <w:tcBorders>
              <w:top w:val="single" w:sz="4" w:space="0" w:color="000000"/>
              <w:left w:val="nil"/>
              <w:bottom w:val="nil"/>
              <w:right w:val="single" w:sz="4" w:space="0" w:color="000000"/>
            </w:tcBorders>
            <w:shd w:val="clear" w:color="FFFFFF" w:fill="D9D9D9"/>
            <w:vAlign w:val="center"/>
            <w:hideMark/>
          </w:tcPr>
          <w:p w14:paraId="5FEF26BA" w14:textId="07F348F0"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Objektivi Specifik me të cilin lidhet indikatori/treguesi</w:t>
            </w:r>
            <w:r w:rsidR="007C064A" w:rsidRPr="00795698">
              <w:rPr>
                <w:rFonts w:ascii="Arial" w:hAnsi="Arial" w:cs="Arial"/>
                <w:b/>
                <w:bCs/>
                <w:color w:val="000000"/>
                <w:sz w:val="4"/>
                <w:szCs w:val="4"/>
                <w:lang w:eastAsia="sq-AL"/>
              </w:rPr>
              <w:t xml:space="preserve"> </w:t>
            </w:r>
          </w:p>
        </w:tc>
        <w:tc>
          <w:tcPr>
            <w:tcW w:w="183" w:type="pct"/>
            <w:tcBorders>
              <w:top w:val="single" w:sz="4" w:space="0" w:color="000000"/>
              <w:left w:val="nil"/>
              <w:bottom w:val="nil"/>
              <w:right w:val="single" w:sz="4" w:space="0" w:color="000000"/>
            </w:tcBorders>
            <w:shd w:val="clear" w:color="FFFFFF" w:fill="D9D9D9"/>
            <w:vAlign w:val="center"/>
            <w:hideMark/>
          </w:tcPr>
          <w:p w14:paraId="5FEF26BB"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Burimi i të dhënave për monitorimin e treguesit të performancës</w:t>
            </w:r>
          </w:p>
        </w:tc>
        <w:tc>
          <w:tcPr>
            <w:tcW w:w="342" w:type="pct"/>
            <w:gridSpan w:val="2"/>
            <w:tcBorders>
              <w:top w:val="single" w:sz="4" w:space="0" w:color="000000"/>
              <w:left w:val="nil"/>
              <w:bottom w:val="nil"/>
              <w:right w:val="single" w:sz="4" w:space="0" w:color="000000"/>
            </w:tcBorders>
            <w:shd w:val="clear" w:color="FFFFFF" w:fill="D9D9D9"/>
            <w:vAlign w:val="center"/>
            <w:hideMark/>
          </w:tcPr>
          <w:p w14:paraId="5FEF26BC"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br/>
              <w:t>Institucionet përgjegjëse për grumbullimin e të dhënave.</w:t>
            </w:r>
          </w:p>
        </w:tc>
        <w:tc>
          <w:tcPr>
            <w:tcW w:w="266" w:type="pct"/>
            <w:tcBorders>
              <w:top w:val="single" w:sz="4" w:space="0" w:color="000000"/>
              <w:left w:val="nil"/>
              <w:bottom w:val="nil"/>
              <w:right w:val="single" w:sz="4" w:space="0" w:color="000000"/>
            </w:tcBorders>
            <w:shd w:val="clear" w:color="FFFFFF" w:fill="D9D9D9"/>
            <w:noWrap/>
            <w:vAlign w:val="center"/>
            <w:hideMark/>
          </w:tcPr>
          <w:p w14:paraId="5FEF26BD"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Përshkrimi i Metodologjisë</w:t>
            </w:r>
          </w:p>
        </w:tc>
        <w:tc>
          <w:tcPr>
            <w:tcW w:w="242" w:type="pct"/>
            <w:gridSpan w:val="2"/>
            <w:tcBorders>
              <w:top w:val="single" w:sz="4" w:space="0" w:color="000000"/>
              <w:left w:val="nil"/>
              <w:bottom w:val="nil"/>
              <w:right w:val="single" w:sz="4" w:space="0" w:color="000000"/>
            </w:tcBorders>
            <w:shd w:val="clear" w:color="FFFFFF" w:fill="D9D9D9"/>
            <w:vAlign w:val="center"/>
            <w:hideMark/>
          </w:tcPr>
          <w:p w14:paraId="5FEF26BE"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Frekuenca e Matjes</w:t>
            </w:r>
          </w:p>
        </w:tc>
        <w:tc>
          <w:tcPr>
            <w:tcW w:w="237" w:type="pct"/>
            <w:tcBorders>
              <w:top w:val="single" w:sz="4" w:space="0" w:color="000000"/>
              <w:left w:val="nil"/>
              <w:bottom w:val="nil"/>
              <w:right w:val="single" w:sz="4" w:space="0" w:color="000000"/>
            </w:tcBorders>
            <w:shd w:val="clear" w:color="FFFFFF" w:fill="D9D9D9"/>
            <w:vAlign w:val="center"/>
            <w:hideMark/>
          </w:tcPr>
          <w:p w14:paraId="5FEF26BF"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Natyra e Indikatorit/treguesit: Kumulativ/Rritës</w:t>
            </w:r>
          </w:p>
        </w:tc>
        <w:tc>
          <w:tcPr>
            <w:tcW w:w="131" w:type="pct"/>
            <w:tcBorders>
              <w:top w:val="single" w:sz="4" w:space="0" w:color="000000"/>
              <w:left w:val="nil"/>
              <w:bottom w:val="nil"/>
              <w:right w:val="single" w:sz="4" w:space="0" w:color="000000"/>
            </w:tcBorders>
            <w:shd w:val="clear" w:color="FFFFFF" w:fill="D9D9D9"/>
            <w:vAlign w:val="center"/>
            <w:hideMark/>
          </w:tcPr>
          <w:p w14:paraId="5FEF26C0"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Input Direkt ose i Përbërë</w:t>
            </w:r>
          </w:p>
        </w:tc>
        <w:tc>
          <w:tcPr>
            <w:tcW w:w="190" w:type="pct"/>
            <w:tcBorders>
              <w:top w:val="single" w:sz="4" w:space="0" w:color="000000"/>
              <w:left w:val="nil"/>
              <w:bottom w:val="nil"/>
              <w:right w:val="single" w:sz="4" w:space="0" w:color="000000"/>
            </w:tcBorders>
            <w:shd w:val="clear" w:color="FFFFFF" w:fill="D9D9D9"/>
            <w:vAlign w:val="center"/>
            <w:hideMark/>
          </w:tcPr>
          <w:p w14:paraId="5FEF26C1"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Formula e llogaritjes</w:t>
            </w:r>
          </w:p>
        </w:tc>
        <w:tc>
          <w:tcPr>
            <w:tcW w:w="429" w:type="pct"/>
            <w:gridSpan w:val="3"/>
            <w:tcBorders>
              <w:top w:val="single" w:sz="4" w:space="0" w:color="000000"/>
              <w:left w:val="nil"/>
              <w:bottom w:val="nil"/>
              <w:right w:val="single" w:sz="4" w:space="0" w:color="000000"/>
            </w:tcBorders>
            <w:shd w:val="clear" w:color="FFFFFF" w:fill="D9D9D9"/>
            <w:vAlign w:val="center"/>
            <w:hideMark/>
          </w:tcPr>
          <w:p w14:paraId="5FEF26C2"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Ndarja e të dhënave (për treguesit e përbërë)</w:t>
            </w:r>
          </w:p>
        </w:tc>
        <w:tc>
          <w:tcPr>
            <w:tcW w:w="156" w:type="pct"/>
            <w:tcBorders>
              <w:top w:val="single" w:sz="4" w:space="0" w:color="000000"/>
              <w:left w:val="nil"/>
              <w:bottom w:val="nil"/>
              <w:right w:val="single" w:sz="4" w:space="0" w:color="000000"/>
            </w:tcBorders>
            <w:shd w:val="clear" w:color="FFFFFF" w:fill="D9D9D9"/>
            <w:vAlign w:val="center"/>
            <w:hideMark/>
          </w:tcPr>
          <w:p w14:paraId="5FEF26C3"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br/>
              <w:t>Theksoni drejtimin e ndryshimit / trendit të ecurisë</w:t>
            </w:r>
          </w:p>
        </w:tc>
        <w:tc>
          <w:tcPr>
            <w:tcW w:w="208" w:type="pct"/>
            <w:gridSpan w:val="2"/>
            <w:tcBorders>
              <w:top w:val="single" w:sz="4" w:space="0" w:color="000000"/>
              <w:left w:val="nil"/>
              <w:bottom w:val="nil"/>
              <w:right w:val="single" w:sz="4" w:space="0" w:color="000000"/>
            </w:tcBorders>
            <w:shd w:val="clear" w:color="FFFFFF" w:fill="D9D9D9"/>
            <w:noWrap/>
            <w:vAlign w:val="center"/>
            <w:hideMark/>
          </w:tcPr>
          <w:p w14:paraId="5FEF26C4"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Vlerat Bazë</w:t>
            </w:r>
          </w:p>
        </w:tc>
        <w:tc>
          <w:tcPr>
            <w:tcW w:w="729" w:type="pct"/>
            <w:gridSpan w:val="7"/>
            <w:tcBorders>
              <w:top w:val="single" w:sz="4" w:space="0" w:color="000000"/>
              <w:left w:val="nil"/>
              <w:bottom w:val="nil"/>
              <w:right w:val="nil"/>
            </w:tcBorders>
            <w:shd w:val="clear" w:color="FFFFFF" w:fill="D9D9D9"/>
            <w:noWrap/>
            <w:vAlign w:val="center"/>
            <w:hideMark/>
          </w:tcPr>
          <w:p w14:paraId="5FEF26C5"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Vlera e synuar/ Targeti</w:t>
            </w:r>
          </w:p>
        </w:tc>
        <w:tc>
          <w:tcPr>
            <w:tcW w:w="188" w:type="pct"/>
            <w:tcBorders>
              <w:top w:val="single" w:sz="4" w:space="0" w:color="000000"/>
              <w:left w:val="single" w:sz="4" w:space="0" w:color="000000"/>
              <w:bottom w:val="nil"/>
              <w:right w:val="single" w:sz="4" w:space="0" w:color="000000"/>
            </w:tcBorders>
            <w:shd w:val="clear" w:color="FFFFFF" w:fill="D9D9D9"/>
            <w:vAlign w:val="center"/>
            <w:hideMark/>
          </w:tcPr>
          <w:p w14:paraId="5FEF26C6"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Vlera e synuar/Targeti i rishikuar:</w:t>
            </w:r>
          </w:p>
        </w:tc>
        <w:tc>
          <w:tcPr>
            <w:tcW w:w="132" w:type="pct"/>
            <w:tcBorders>
              <w:top w:val="single" w:sz="4" w:space="0" w:color="000000"/>
              <w:left w:val="nil"/>
              <w:bottom w:val="nil"/>
              <w:right w:val="single" w:sz="4" w:space="0" w:color="000000"/>
            </w:tcBorders>
            <w:shd w:val="clear" w:color="FFFFFF" w:fill="D9D9D9"/>
            <w:noWrap/>
            <w:vAlign w:val="center"/>
            <w:hideMark/>
          </w:tcPr>
          <w:p w14:paraId="5FEF26C7"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Vlera aktuale:</w:t>
            </w:r>
          </w:p>
        </w:tc>
        <w:tc>
          <w:tcPr>
            <w:tcW w:w="196" w:type="pct"/>
            <w:tcBorders>
              <w:top w:val="single" w:sz="4" w:space="0" w:color="000000"/>
              <w:left w:val="nil"/>
              <w:bottom w:val="nil"/>
              <w:right w:val="single" w:sz="4" w:space="0" w:color="000000"/>
            </w:tcBorders>
            <w:shd w:val="clear" w:color="FFFFFF" w:fill="D9D9D9"/>
            <w:vAlign w:val="center"/>
            <w:hideMark/>
          </w:tcPr>
          <w:p w14:paraId="5FEF26C8" w14:textId="77777777"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SDG - Titulli i Qëllimit të Zhvillimit të Qëndrueshëm sipas OKB-së</w:t>
            </w:r>
          </w:p>
        </w:tc>
        <w:tc>
          <w:tcPr>
            <w:tcW w:w="196" w:type="pct"/>
            <w:tcBorders>
              <w:top w:val="single" w:sz="4" w:space="0" w:color="000000"/>
              <w:left w:val="nil"/>
              <w:bottom w:val="nil"/>
              <w:right w:val="single" w:sz="4" w:space="0" w:color="000000"/>
            </w:tcBorders>
            <w:shd w:val="clear" w:color="FFFFFF" w:fill="D9D9D9"/>
            <w:vAlign w:val="center"/>
            <w:hideMark/>
          </w:tcPr>
          <w:p w14:paraId="5FEF26C9" w14:textId="47A5F0A5" w:rsidR="00F6012F" w:rsidRPr="00795698" w:rsidRDefault="00F6012F" w:rsidP="00F6012F">
            <w:pPr>
              <w:jc w:val="center"/>
              <w:rPr>
                <w:rFonts w:ascii="Arial" w:hAnsi="Arial" w:cs="Arial"/>
                <w:b/>
                <w:bCs/>
                <w:color w:val="000000"/>
                <w:sz w:val="4"/>
                <w:szCs w:val="4"/>
                <w:lang w:eastAsia="sq-AL"/>
              </w:rPr>
            </w:pPr>
            <w:r w:rsidRPr="00795698">
              <w:rPr>
                <w:rFonts w:ascii="Arial" w:hAnsi="Arial" w:cs="Arial"/>
                <w:b/>
                <w:bCs/>
                <w:color w:val="000000"/>
                <w:sz w:val="4"/>
                <w:szCs w:val="4"/>
                <w:lang w:eastAsia="sq-AL"/>
              </w:rPr>
              <w:t>Vlera e Synuar e</w:t>
            </w:r>
            <w:r w:rsidR="007C064A" w:rsidRPr="00795698">
              <w:rPr>
                <w:rFonts w:ascii="Arial" w:hAnsi="Arial" w:cs="Arial"/>
                <w:b/>
                <w:bCs/>
                <w:color w:val="000000"/>
                <w:sz w:val="4"/>
                <w:szCs w:val="4"/>
                <w:lang w:eastAsia="sq-AL"/>
              </w:rPr>
              <w:t xml:space="preserve"> </w:t>
            </w:r>
            <w:r w:rsidRPr="00795698">
              <w:rPr>
                <w:rFonts w:ascii="Arial" w:hAnsi="Arial" w:cs="Arial"/>
                <w:b/>
                <w:bCs/>
                <w:color w:val="000000"/>
                <w:sz w:val="4"/>
                <w:szCs w:val="4"/>
                <w:lang w:eastAsia="sq-AL"/>
              </w:rPr>
              <w:t>treguesit të SDG</w:t>
            </w:r>
          </w:p>
        </w:tc>
      </w:tr>
      <w:tr w:rsidR="00F6012F" w:rsidRPr="00795698" w14:paraId="5FEF26EC" w14:textId="77777777" w:rsidTr="00F6012F">
        <w:trPr>
          <w:trHeight w:val="180"/>
          <w:jc w:val="center"/>
        </w:trPr>
        <w:tc>
          <w:tcPr>
            <w:tcW w:w="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F26C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w:t>
            </w:r>
          </w:p>
        </w:tc>
        <w:tc>
          <w:tcPr>
            <w:tcW w:w="151" w:type="pct"/>
            <w:tcBorders>
              <w:top w:val="single" w:sz="4" w:space="0" w:color="auto"/>
              <w:left w:val="nil"/>
              <w:bottom w:val="single" w:sz="4" w:space="0" w:color="auto"/>
              <w:right w:val="single" w:sz="4" w:space="0" w:color="auto"/>
            </w:tcBorders>
            <w:shd w:val="clear" w:color="auto" w:fill="auto"/>
            <w:vAlign w:val="center"/>
            <w:hideMark/>
          </w:tcPr>
          <w:p w14:paraId="5FEF26C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5FEF26CD"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Numri i seancave të këshillimit në grup të kryera me individë të burgosur dhe individë të përfshirë në institucionet vendore të shërbimit të provës në lidhje me çështjet e ekstremizmit të dhunshëm të përfunduara.</w:t>
            </w:r>
          </w:p>
        </w:tc>
        <w:tc>
          <w:tcPr>
            <w:tcW w:w="157" w:type="pct"/>
            <w:tcBorders>
              <w:top w:val="single" w:sz="4" w:space="0" w:color="auto"/>
              <w:left w:val="nil"/>
              <w:bottom w:val="single" w:sz="4" w:space="0" w:color="auto"/>
              <w:right w:val="single" w:sz="4" w:space="0" w:color="auto"/>
            </w:tcBorders>
            <w:shd w:val="clear" w:color="auto" w:fill="auto"/>
            <w:vAlign w:val="center"/>
            <w:hideMark/>
          </w:tcPr>
          <w:p w14:paraId="5FEF26CE"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single" w:sz="4" w:space="0" w:color="auto"/>
              <w:left w:val="nil"/>
              <w:bottom w:val="single" w:sz="4" w:space="0" w:color="auto"/>
              <w:right w:val="single" w:sz="4" w:space="0" w:color="auto"/>
            </w:tcBorders>
            <w:shd w:val="clear" w:color="auto" w:fill="auto"/>
            <w:vAlign w:val="center"/>
            <w:hideMark/>
          </w:tcPr>
          <w:p w14:paraId="5FEF26CF" w14:textId="4A4E13AF"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5FEF26D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1: Mbajtja e kërcënimit në nivel të ulët</w:t>
            </w:r>
          </w:p>
        </w:tc>
        <w:tc>
          <w:tcPr>
            <w:tcW w:w="219" w:type="pct"/>
            <w:tcBorders>
              <w:top w:val="single" w:sz="4" w:space="0" w:color="auto"/>
              <w:left w:val="nil"/>
              <w:bottom w:val="single" w:sz="4" w:space="0" w:color="auto"/>
              <w:right w:val="single" w:sz="4" w:space="0" w:color="auto"/>
            </w:tcBorders>
            <w:shd w:val="clear" w:color="auto" w:fill="auto"/>
            <w:vAlign w:val="center"/>
            <w:hideMark/>
          </w:tcPr>
          <w:p w14:paraId="5FEF26D1" w14:textId="5F30C06C"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1.1: Fuqizimi i komuniteteve dhe institucioneve publike për identifikimin dhe raportimin e rasteve të ekstremizmit të dhunshëm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radikalizmit </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5FEF26D2" w14:textId="0877A36A" w:rsidR="00F6012F" w:rsidRPr="00795698" w:rsidRDefault="00F6012F" w:rsidP="00C62D65">
            <w:pPr>
              <w:rPr>
                <w:rFonts w:ascii="Arial" w:hAnsi="Arial" w:cs="Arial"/>
                <w:color w:val="000000"/>
                <w:sz w:val="4"/>
                <w:szCs w:val="4"/>
                <w:lang w:eastAsia="sq-AL"/>
              </w:rPr>
            </w:pPr>
            <w:r w:rsidRPr="00795698">
              <w:rPr>
                <w:rFonts w:ascii="Arial" w:hAnsi="Arial" w:cs="Arial"/>
                <w:color w:val="000000"/>
                <w:sz w:val="4"/>
                <w:szCs w:val="4"/>
                <w:lang w:eastAsia="sq-AL"/>
              </w:rPr>
              <w:t>Dokument</w:t>
            </w:r>
            <w:r w:rsidR="00C62D65" w:rsidRPr="00795698">
              <w:rPr>
                <w:rFonts w:ascii="Arial" w:hAnsi="Arial" w:cs="Arial"/>
                <w:color w:val="000000"/>
                <w:sz w:val="4"/>
                <w:szCs w:val="4"/>
                <w:lang w:eastAsia="sq-AL"/>
              </w:rPr>
              <w:t>e</w:t>
            </w:r>
            <w:r w:rsidRPr="00795698">
              <w:rPr>
                <w:rFonts w:ascii="Arial" w:hAnsi="Arial" w:cs="Arial"/>
                <w:color w:val="000000"/>
                <w:sz w:val="4"/>
                <w:szCs w:val="4"/>
                <w:lang w:eastAsia="sq-AL"/>
              </w:rPr>
              <w:t>, raporte monitorimi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seancave të këshillimit</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5FEF26D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MD</w:t>
            </w:r>
          </w:p>
        </w:tc>
        <w:tc>
          <w:tcPr>
            <w:tcW w:w="174" w:type="pct"/>
            <w:tcBorders>
              <w:top w:val="single" w:sz="4" w:space="0" w:color="auto"/>
              <w:left w:val="nil"/>
              <w:bottom w:val="single" w:sz="4" w:space="0" w:color="auto"/>
              <w:right w:val="single" w:sz="4" w:space="0" w:color="auto"/>
            </w:tcBorders>
            <w:shd w:val="clear" w:color="auto" w:fill="auto"/>
            <w:vAlign w:val="center"/>
            <w:hideMark/>
          </w:tcPr>
          <w:p w14:paraId="5FEF26D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Institucionet vendore të Shërbimit të Provës dhe Burgjet</w:t>
            </w:r>
          </w:p>
        </w:tc>
        <w:tc>
          <w:tcPr>
            <w:tcW w:w="266" w:type="pct"/>
            <w:tcBorders>
              <w:top w:val="single" w:sz="4" w:space="0" w:color="auto"/>
              <w:left w:val="nil"/>
              <w:bottom w:val="single" w:sz="4" w:space="0" w:color="auto"/>
              <w:right w:val="single" w:sz="4" w:space="0" w:color="auto"/>
            </w:tcBorders>
            <w:shd w:val="clear" w:color="auto" w:fill="auto"/>
            <w:vAlign w:val="center"/>
            <w:hideMark/>
          </w:tcPr>
          <w:p w14:paraId="5FEF26D5" w14:textId="68E85994"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Indikatori raporton numrin e seancave të këshillimit në grup të kryer me individë të burgosur. Listë-prezencat, foto të seancave të këshillimit do shërbejnë si metoda për mbledhjen e të dhënave. Vlera e synuar do të matet krahasuar vlerën së vitit bazë. Treguesi do të vlerësohet duke matur numrin e seancave të këshillimit në grup të kryer me individë të burgosur gjatë vitit aktual, në raport me numrin e atyre të parashikuar për t</w:t>
            </w:r>
            <w:r w:rsidR="00C62D65" w:rsidRPr="00795698">
              <w:rPr>
                <w:rFonts w:ascii="Arial" w:hAnsi="Arial" w:cs="Arial"/>
                <w:color w:val="000000"/>
                <w:sz w:val="4"/>
                <w:szCs w:val="4"/>
                <w:lang w:eastAsia="sq-AL"/>
              </w:rPr>
              <w:t>’</w:t>
            </w:r>
            <w:r w:rsidRPr="00795698">
              <w:rPr>
                <w:rFonts w:ascii="Arial" w:hAnsi="Arial" w:cs="Arial"/>
                <w:color w:val="000000"/>
                <w:sz w:val="4"/>
                <w:szCs w:val="4"/>
                <w:lang w:eastAsia="sq-AL"/>
              </w:rPr>
              <w:t>u kryer.</w:t>
            </w:r>
          </w:p>
        </w:tc>
        <w:tc>
          <w:tcPr>
            <w:tcW w:w="121" w:type="pct"/>
            <w:tcBorders>
              <w:top w:val="single" w:sz="4" w:space="0" w:color="auto"/>
              <w:left w:val="nil"/>
              <w:bottom w:val="single" w:sz="4" w:space="0" w:color="auto"/>
              <w:right w:val="single" w:sz="4" w:space="0" w:color="auto"/>
            </w:tcBorders>
            <w:shd w:val="clear" w:color="auto" w:fill="auto"/>
            <w:vAlign w:val="center"/>
            <w:hideMark/>
          </w:tcPr>
          <w:p w14:paraId="5FEF26D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single" w:sz="4" w:space="0" w:color="auto"/>
              <w:left w:val="nil"/>
              <w:bottom w:val="single" w:sz="4" w:space="0" w:color="auto"/>
              <w:right w:val="single" w:sz="4" w:space="0" w:color="auto"/>
            </w:tcBorders>
            <w:shd w:val="clear" w:color="auto" w:fill="auto"/>
            <w:vAlign w:val="center"/>
            <w:hideMark/>
          </w:tcPr>
          <w:p w14:paraId="5FEF26D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14:paraId="5FEF26D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single" w:sz="4" w:space="0" w:color="auto"/>
              <w:left w:val="nil"/>
              <w:bottom w:val="single" w:sz="4" w:space="0" w:color="auto"/>
              <w:right w:val="single" w:sz="4" w:space="0" w:color="auto"/>
            </w:tcBorders>
            <w:shd w:val="clear" w:color="auto" w:fill="auto"/>
            <w:noWrap/>
            <w:vAlign w:val="center"/>
            <w:hideMark/>
          </w:tcPr>
          <w:p w14:paraId="5FEF26D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5FEF26DA" w14:textId="16F6E3F0"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Treguesi do të vlerësohet duke matur numrin e seancave të këshillimit në grup të kryer me individë të burgosur gjatë vitit aktual, në raport me numrin e atyre të parashikuar për t</w:t>
            </w:r>
            <w:r w:rsidR="00C62D65" w:rsidRPr="00795698">
              <w:rPr>
                <w:rFonts w:ascii="Arial" w:hAnsi="Arial" w:cs="Arial"/>
                <w:color w:val="000000"/>
                <w:sz w:val="4"/>
                <w:szCs w:val="4"/>
                <w:lang w:eastAsia="sq-AL"/>
              </w:rPr>
              <w:t>’</w:t>
            </w:r>
            <w:r w:rsidRPr="00795698">
              <w:rPr>
                <w:rFonts w:ascii="Arial" w:hAnsi="Arial" w:cs="Arial"/>
                <w:color w:val="000000"/>
                <w:sz w:val="4"/>
                <w:szCs w:val="4"/>
                <w:lang w:eastAsia="sq-AL"/>
              </w:rPr>
              <w:t>u kryer *100%.</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5FEF26D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single" w:sz="4" w:space="0" w:color="auto"/>
              <w:left w:val="nil"/>
              <w:bottom w:val="single" w:sz="4" w:space="0" w:color="auto"/>
              <w:right w:val="single" w:sz="4" w:space="0" w:color="auto"/>
            </w:tcBorders>
            <w:shd w:val="clear" w:color="auto" w:fill="auto"/>
            <w:vAlign w:val="center"/>
            <w:hideMark/>
          </w:tcPr>
          <w:p w14:paraId="5FEF26D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single" w:sz="4" w:space="0" w:color="auto"/>
              <w:left w:val="nil"/>
              <w:bottom w:val="single" w:sz="4" w:space="0" w:color="auto"/>
              <w:right w:val="single" w:sz="4" w:space="0" w:color="auto"/>
            </w:tcBorders>
            <w:shd w:val="clear" w:color="auto" w:fill="auto"/>
            <w:vAlign w:val="center"/>
            <w:hideMark/>
          </w:tcPr>
          <w:p w14:paraId="5FEF26D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single" w:sz="4" w:space="0" w:color="auto"/>
              <w:left w:val="nil"/>
              <w:bottom w:val="single" w:sz="4" w:space="0" w:color="auto"/>
              <w:right w:val="single" w:sz="4" w:space="0" w:color="auto"/>
            </w:tcBorders>
            <w:shd w:val="clear" w:color="auto" w:fill="auto"/>
            <w:noWrap/>
            <w:vAlign w:val="center"/>
            <w:hideMark/>
          </w:tcPr>
          <w:p w14:paraId="5FEF26D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D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0"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500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500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1000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1500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6E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2000</w:t>
            </w:r>
          </w:p>
        </w:tc>
        <w:tc>
          <w:tcPr>
            <w:tcW w:w="188" w:type="pct"/>
            <w:tcBorders>
              <w:top w:val="single" w:sz="4" w:space="0" w:color="auto"/>
              <w:left w:val="nil"/>
              <w:bottom w:val="single" w:sz="4" w:space="0" w:color="auto"/>
              <w:right w:val="single" w:sz="4" w:space="0" w:color="auto"/>
            </w:tcBorders>
            <w:shd w:val="clear" w:color="auto" w:fill="auto"/>
            <w:vAlign w:val="center"/>
            <w:hideMark/>
          </w:tcPr>
          <w:p w14:paraId="5FEF26E8" w14:textId="40547FED"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single" w:sz="4" w:space="0" w:color="auto"/>
              <w:left w:val="nil"/>
              <w:bottom w:val="single" w:sz="4" w:space="0" w:color="auto"/>
              <w:right w:val="single" w:sz="4" w:space="0" w:color="auto"/>
            </w:tcBorders>
            <w:shd w:val="clear" w:color="auto" w:fill="auto"/>
            <w:vAlign w:val="center"/>
            <w:hideMark/>
          </w:tcPr>
          <w:p w14:paraId="5FEF26E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5FEF26EA"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5FEF26EB"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0E"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6E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w:t>
            </w:r>
          </w:p>
        </w:tc>
        <w:tc>
          <w:tcPr>
            <w:tcW w:w="151" w:type="pct"/>
            <w:tcBorders>
              <w:top w:val="nil"/>
              <w:left w:val="nil"/>
              <w:bottom w:val="single" w:sz="4" w:space="0" w:color="auto"/>
              <w:right w:val="single" w:sz="4" w:space="0" w:color="auto"/>
            </w:tcBorders>
            <w:shd w:val="clear" w:color="auto" w:fill="auto"/>
            <w:vAlign w:val="center"/>
            <w:hideMark/>
          </w:tcPr>
          <w:p w14:paraId="5FEF26E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single" w:sz="4" w:space="0" w:color="auto"/>
              <w:right w:val="single" w:sz="4" w:space="0" w:color="auto"/>
            </w:tcBorders>
            <w:shd w:val="clear" w:color="auto" w:fill="auto"/>
            <w:vAlign w:val="center"/>
            <w:hideMark/>
          </w:tcPr>
          <w:p w14:paraId="5FEF26EF"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Numri i punonjësve të trajnuar për identifikimin e rasteve të individëve, vulnerabël ndaj radikalizmit në sistemin e burgjeve dhe shërbimit të provës. </w:t>
            </w:r>
          </w:p>
        </w:tc>
        <w:tc>
          <w:tcPr>
            <w:tcW w:w="157" w:type="pct"/>
            <w:tcBorders>
              <w:top w:val="nil"/>
              <w:left w:val="nil"/>
              <w:bottom w:val="single" w:sz="4" w:space="0" w:color="auto"/>
              <w:right w:val="single" w:sz="4" w:space="0" w:color="auto"/>
            </w:tcBorders>
            <w:shd w:val="clear" w:color="auto" w:fill="auto"/>
            <w:vAlign w:val="center"/>
            <w:hideMark/>
          </w:tcPr>
          <w:p w14:paraId="5FEF26F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6F1" w14:textId="6E68DB2F"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6F2"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1: Mbajtja e kërcënimit në nivel të ulët</w:t>
            </w:r>
          </w:p>
        </w:tc>
        <w:tc>
          <w:tcPr>
            <w:tcW w:w="219" w:type="pct"/>
            <w:tcBorders>
              <w:top w:val="nil"/>
              <w:left w:val="nil"/>
              <w:bottom w:val="single" w:sz="4" w:space="0" w:color="auto"/>
              <w:right w:val="single" w:sz="4" w:space="0" w:color="auto"/>
            </w:tcBorders>
            <w:shd w:val="clear" w:color="auto" w:fill="auto"/>
            <w:vAlign w:val="center"/>
            <w:hideMark/>
          </w:tcPr>
          <w:p w14:paraId="5FEF26F3" w14:textId="4E9FC960"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1.1: Fuqizimi i komuniteteve dhe institucioneve publike për identifikimin dhe raportimin e rasteve të ekstremizmit të dhunshëm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radikalizmit </w:t>
            </w:r>
          </w:p>
        </w:tc>
        <w:tc>
          <w:tcPr>
            <w:tcW w:w="183" w:type="pct"/>
            <w:tcBorders>
              <w:top w:val="nil"/>
              <w:left w:val="nil"/>
              <w:bottom w:val="single" w:sz="4" w:space="0" w:color="auto"/>
              <w:right w:val="single" w:sz="4" w:space="0" w:color="auto"/>
            </w:tcBorders>
            <w:shd w:val="clear" w:color="auto" w:fill="auto"/>
            <w:vAlign w:val="center"/>
            <w:hideMark/>
          </w:tcPr>
          <w:p w14:paraId="5FEF26F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Raporte monitorimi </w:t>
            </w:r>
          </w:p>
        </w:tc>
        <w:tc>
          <w:tcPr>
            <w:tcW w:w="169" w:type="pct"/>
            <w:tcBorders>
              <w:top w:val="nil"/>
              <w:left w:val="nil"/>
              <w:bottom w:val="single" w:sz="4" w:space="0" w:color="auto"/>
              <w:right w:val="single" w:sz="4" w:space="0" w:color="auto"/>
            </w:tcBorders>
            <w:shd w:val="clear" w:color="auto" w:fill="auto"/>
            <w:vAlign w:val="center"/>
            <w:hideMark/>
          </w:tcPr>
          <w:p w14:paraId="5FEF26F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MD</w:t>
            </w:r>
          </w:p>
        </w:tc>
        <w:tc>
          <w:tcPr>
            <w:tcW w:w="174" w:type="pct"/>
            <w:tcBorders>
              <w:top w:val="nil"/>
              <w:left w:val="nil"/>
              <w:bottom w:val="single" w:sz="4" w:space="0" w:color="auto"/>
              <w:right w:val="single" w:sz="4" w:space="0" w:color="auto"/>
            </w:tcBorders>
            <w:shd w:val="clear" w:color="auto" w:fill="auto"/>
            <w:vAlign w:val="center"/>
            <w:hideMark/>
          </w:tcPr>
          <w:p w14:paraId="5FEF26F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Institucionet vendore të Shërbimit të Provës dhe Burgjet</w:t>
            </w:r>
          </w:p>
        </w:tc>
        <w:tc>
          <w:tcPr>
            <w:tcW w:w="266" w:type="pct"/>
            <w:tcBorders>
              <w:top w:val="nil"/>
              <w:left w:val="nil"/>
              <w:bottom w:val="single" w:sz="4" w:space="0" w:color="auto"/>
              <w:right w:val="single" w:sz="4" w:space="0" w:color="auto"/>
            </w:tcBorders>
            <w:shd w:val="clear" w:color="auto" w:fill="auto"/>
            <w:vAlign w:val="center"/>
            <w:hideMark/>
          </w:tcPr>
          <w:p w14:paraId="5FEF26F7" w14:textId="66894C49"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Çdo vit personeli i institucioneve vulnerabël për shfaqjen e rasteve të ekstremizmit të dhunshëm në institucionet e Shërbimit të Provës dhe Burgje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do të përfitojë rritje të kapaciteteve profesionale. Për këtë indikator do të raportohet numri i punonjësve që i janë nënshtruar programeve të trajnimit për rritjen e kapaciteteve profesionale përmes </w:t>
            </w:r>
            <w:r w:rsidR="00C62D65" w:rsidRPr="00795698">
              <w:rPr>
                <w:rFonts w:ascii="Arial" w:hAnsi="Arial" w:cs="Arial"/>
                <w:color w:val="000000"/>
                <w:sz w:val="4"/>
                <w:szCs w:val="4"/>
                <w:lang w:eastAsia="sq-AL"/>
              </w:rPr>
              <w:t>dokumenteve</w:t>
            </w:r>
            <w:r w:rsidRPr="00795698">
              <w:rPr>
                <w:rFonts w:ascii="Arial" w:hAnsi="Arial" w:cs="Arial"/>
                <w:color w:val="000000"/>
                <w:sz w:val="4"/>
                <w:szCs w:val="4"/>
                <w:lang w:eastAsia="sq-AL"/>
              </w:rPr>
              <w:t xml:space="preserve"> vërtetues</w:t>
            </w:r>
            <w:r w:rsidR="00C62D65" w:rsidRPr="00795698">
              <w:rPr>
                <w:rFonts w:ascii="Arial" w:hAnsi="Arial" w:cs="Arial"/>
                <w:color w:val="000000"/>
                <w:sz w:val="4"/>
                <w:szCs w:val="4"/>
                <w:lang w:eastAsia="sq-AL"/>
              </w:rPr>
              <w:t>e</w:t>
            </w:r>
            <w:r w:rsidRPr="00795698">
              <w:rPr>
                <w:rFonts w:ascii="Arial" w:hAnsi="Arial" w:cs="Arial"/>
                <w:color w:val="000000"/>
                <w:sz w:val="4"/>
                <w:szCs w:val="4"/>
                <w:lang w:eastAsia="sq-AL"/>
              </w:rPr>
              <w:t xml:space="preserve"> si listëprezenca e seancave të trajnimit, foto, citime të </w:t>
            </w:r>
            <w:r w:rsidR="00C62D65" w:rsidRPr="00795698">
              <w:rPr>
                <w:rFonts w:ascii="Arial" w:hAnsi="Arial" w:cs="Arial"/>
                <w:color w:val="000000"/>
                <w:sz w:val="4"/>
                <w:szCs w:val="4"/>
                <w:lang w:eastAsia="sq-AL"/>
              </w:rPr>
              <w:t>përfituesve</w:t>
            </w:r>
            <w:r w:rsidRPr="00795698">
              <w:rPr>
                <w:rFonts w:ascii="Arial" w:hAnsi="Arial" w:cs="Arial"/>
                <w:color w:val="000000"/>
                <w:sz w:val="4"/>
                <w:szCs w:val="4"/>
                <w:lang w:eastAsia="sq-AL"/>
              </w:rPr>
              <w:t xml:space="preserve"> të ndërhyrjeve të cilat do përbëjnë metodologjinë e mbledhjes së të dhënave.</w:t>
            </w:r>
          </w:p>
        </w:tc>
        <w:tc>
          <w:tcPr>
            <w:tcW w:w="121" w:type="pct"/>
            <w:tcBorders>
              <w:top w:val="nil"/>
              <w:left w:val="nil"/>
              <w:bottom w:val="single" w:sz="4" w:space="0" w:color="auto"/>
              <w:right w:val="single" w:sz="4" w:space="0" w:color="auto"/>
            </w:tcBorders>
            <w:shd w:val="clear" w:color="auto" w:fill="auto"/>
            <w:vAlign w:val="center"/>
            <w:hideMark/>
          </w:tcPr>
          <w:p w14:paraId="5FEF26F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6F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6F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6F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6FC"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Treguesi do të vlerësohet duke matur numrin e punonjësve të trajnuar në institucionet vulnerabël ndaj radikalizmit në sistemin e burgjeve dhe shërbimit të provës, të trajnuar për rritjen e kapaciteteve profesionale për identifikimin e këtyre rasteve, në raport me numrin e atyre të parashikuar në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6F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6F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6F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70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nil"/>
              <w:left w:val="nil"/>
              <w:bottom w:val="single" w:sz="4" w:space="0" w:color="auto"/>
              <w:right w:val="single" w:sz="4" w:space="0" w:color="auto"/>
            </w:tcBorders>
            <w:shd w:val="clear" w:color="auto" w:fill="auto"/>
            <w:vAlign w:val="center"/>
            <w:hideMark/>
          </w:tcPr>
          <w:p w14:paraId="5FEF270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single" w:sz="4" w:space="0" w:color="auto"/>
              <w:right w:val="single" w:sz="4" w:space="0" w:color="auto"/>
            </w:tcBorders>
            <w:shd w:val="clear" w:color="auto" w:fill="auto"/>
            <w:vAlign w:val="center"/>
            <w:hideMark/>
          </w:tcPr>
          <w:p w14:paraId="5FEF2702"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50</w:t>
            </w:r>
          </w:p>
        </w:tc>
        <w:tc>
          <w:tcPr>
            <w:tcW w:w="104" w:type="pct"/>
            <w:tcBorders>
              <w:top w:val="nil"/>
              <w:left w:val="nil"/>
              <w:bottom w:val="single" w:sz="4" w:space="0" w:color="auto"/>
              <w:right w:val="single" w:sz="4" w:space="0" w:color="auto"/>
            </w:tcBorders>
            <w:shd w:val="clear" w:color="auto" w:fill="auto"/>
            <w:vAlign w:val="center"/>
            <w:hideMark/>
          </w:tcPr>
          <w:p w14:paraId="5FEF270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50</w:t>
            </w:r>
          </w:p>
        </w:tc>
        <w:tc>
          <w:tcPr>
            <w:tcW w:w="104" w:type="pct"/>
            <w:tcBorders>
              <w:top w:val="nil"/>
              <w:left w:val="nil"/>
              <w:bottom w:val="single" w:sz="4" w:space="0" w:color="auto"/>
              <w:right w:val="single" w:sz="4" w:space="0" w:color="auto"/>
            </w:tcBorders>
            <w:shd w:val="clear" w:color="auto" w:fill="auto"/>
            <w:vAlign w:val="center"/>
            <w:hideMark/>
          </w:tcPr>
          <w:p w14:paraId="5FEF270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70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100</w:t>
            </w:r>
          </w:p>
        </w:tc>
        <w:tc>
          <w:tcPr>
            <w:tcW w:w="104" w:type="pct"/>
            <w:tcBorders>
              <w:top w:val="nil"/>
              <w:left w:val="nil"/>
              <w:bottom w:val="single" w:sz="4" w:space="0" w:color="auto"/>
              <w:right w:val="single" w:sz="4" w:space="0" w:color="auto"/>
            </w:tcBorders>
            <w:shd w:val="clear" w:color="auto" w:fill="auto"/>
            <w:vAlign w:val="center"/>
            <w:hideMark/>
          </w:tcPr>
          <w:p w14:paraId="5FEF270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single" w:sz="4" w:space="0" w:color="auto"/>
              <w:right w:val="single" w:sz="4" w:space="0" w:color="auto"/>
            </w:tcBorders>
            <w:shd w:val="clear" w:color="auto" w:fill="auto"/>
            <w:vAlign w:val="center"/>
            <w:hideMark/>
          </w:tcPr>
          <w:p w14:paraId="5FEF270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150</w:t>
            </w:r>
          </w:p>
        </w:tc>
        <w:tc>
          <w:tcPr>
            <w:tcW w:w="104" w:type="pct"/>
            <w:tcBorders>
              <w:top w:val="nil"/>
              <w:left w:val="nil"/>
              <w:bottom w:val="single" w:sz="4" w:space="0" w:color="auto"/>
              <w:right w:val="single" w:sz="4" w:space="0" w:color="auto"/>
            </w:tcBorders>
            <w:shd w:val="clear" w:color="auto" w:fill="auto"/>
            <w:vAlign w:val="center"/>
            <w:hideMark/>
          </w:tcPr>
          <w:p w14:paraId="5FEF270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70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200</w:t>
            </w:r>
          </w:p>
        </w:tc>
        <w:tc>
          <w:tcPr>
            <w:tcW w:w="188" w:type="pct"/>
            <w:tcBorders>
              <w:top w:val="nil"/>
              <w:left w:val="nil"/>
              <w:bottom w:val="single" w:sz="4" w:space="0" w:color="auto"/>
              <w:right w:val="single" w:sz="4" w:space="0" w:color="auto"/>
            </w:tcBorders>
            <w:shd w:val="clear" w:color="auto" w:fill="auto"/>
            <w:vAlign w:val="center"/>
            <w:hideMark/>
          </w:tcPr>
          <w:p w14:paraId="5FEF270A" w14:textId="20168792"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70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0C"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0D"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30"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0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w:t>
            </w:r>
          </w:p>
        </w:tc>
        <w:tc>
          <w:tcPr>
            <w:tcW w:w="151" w:type="pct"/>
            <w:tcBorders>
              <w:top w:val="nil"/>
              <w:left w:val="nil"/>
              <w:bottom w:val="single" w:sz="4" w:space="0" w:color="auto"/>
              <w:right w:val="single" w:sz="4" w:space="0" w:color="auto"/>
            </w:tcBorders>
            <w:shd w:val="clear" w:color="auto" w:fill="auto"/>
            <w:vAlign w:val="center"/>
            <w:hideMark/>
          </w:tcPr>
          <w:p w14:paraId="5FEF271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single" w:sz="4" w:space="0" w:color="auto"/>
              <w:right w:val="single" w:sz="4" w:space="0" w:color="auto"/>
            </w:tcBorders>
            <w:shd w:val="clear" w:color="auto" w:fill="auto"/>
            <w:vAlign w:val="center"/>
            <w:hideMark/>
          </w:tcPr>
          <w:p w14:paraId="5FEF2711"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Numri i të burgosurve vulnerabël ndaj radikalizmit të cilët kanë përfunduar programet e dedikuara të punësimit</w:t>
            </w:r>
          </w:p>
        </w:tc>
        <w:tc>
          <w:tcPr>
            <w:tcW w:w="157" w:type="pct"/>
            <w:tcBorders>
              <w:top w:val="nil"/>
              <w:left w:val="nil"/>
              <w:bottom w:val="single" w:sz="4" w:space="0" w:color="auto"/>
              <w:right w:val="single" w:sz="4" w:space="0" w:color="auto"/>
            </w:tcBorders>
            <w:shd w:val="clear" w:color="auto" w:fill="auto"/>
            <w:vAlign w:val="center"/>
            <w:hideMark/>
          </w:tcPr>
          <w:p w14:paraId="5FEF2712"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13" w14:textId="6932910E"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1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1: Mbajtja e kërcënimit në nivel të ulët</w:t>
            </w:r>
          </w:p>
        </w:tc>
        <w:tc>
          <w:tcPr>
            <w:tcW w:w="219" w:type="pct"/>
            <w:tcBorders>
              <w:top w:val="nil"/>
              <w:left w:val="nil"/>
              <w:bottom w:val="single" w:sz="4" w:space="0" w:color="auto"/>
              <w:right w:val="single" w:sz="4" w:space="0" w:color="auto"/>
            </w:tcBorders>
            <w:shd w:val="clear" w:color="auto" w:fill="auto"/>
            <w:vAlign w:val="center"/>
            <w:hideMark/>
          </w:tcPr>
          <w:p w14:paraId="5FEF2715" w14:textId="24F21D6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1.1: Fuqizimi i komuniteteve dhe institucioneve publike për identifikimin dhe raportimin e rasteve të ekstremizmit të dhunshëm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radikalizmit </w:t>
            </w:r>
          </w:p>
        </w:tc>
        <w:tc>
          <w:tcPr>
            <w:tcW w:w="183" w:type="pct"/>
            <w:tcBorders>
              <w:top w:val="nil"/>
              <w:left w:val="nil"/>
              <w:bottom w:val="single" w:sz="4" w:space="0" w:color="auto"/>
              <w:right w:val="single" w:sz="4" w:space="0" w:color="auto"/>
            </w:tcBorders>
            <w:shd w:val="clear" w:color="auto" w:fill="auto"/>
            <w:vAlign w:val="center"/>
            <w:hideMark/>
          </w:tcPr>
          <w:p w14:paraId="5FEF2716"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Raportet e monitorimit të progarmeve të dedikuara </w:t>
            </w:r>
          </w:p>
        </w:tc>
        <w:tc>
          <w:tcPr>
            <w:tcW w:w="169" w:type="pct"/>
            <w:tcBorders>
              <w:top w:val="nil"/>
              <w:left w:val="nil"/>
              <w:bottom w:val="single" w:sz="4" w:space="0" w:color="auto"/>
              <w:right w:val="single" w:sz="4" w:space="0" w:color="auto"/>
            </w:tcBorders>
            <w:shd w:val="clear" w:color="auto" w:fill="auto"/>
            <w:vAlign w:val="center"/>
            <w:hideMark/>
          </w:tcPr>
          <w:p w14:paraId="5FEF271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MD</w:t>
            </w:r>
          </w:p>
        </w:tc>
        <w:tc>
          <w:tcPr>
            <w:tcW w:w="174" w:type="pct"/>
            <w:tcBorders>
              <w:top w:val="nil"/>
              <w:left w:val="nil"/>
              <w:bottom w:val="single" w:sz="4" w:space="0" w:color="auto"/>
              <w:right w:val="nil"/>
            </w:tcBorders>
            <w:shd w:val="clear" w:color="auto" w:fill="auto"/>
            <w:vAlign w:val="center"/>
            <w:hideMark/>
          </w:tcPr>
          <w:p w14:paraId="5FEF271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Drejtoria e Përgjithshme e Burgjeve ; Ministria e Financave dhe Ekonomisë/ Drejtoria e Punesimit</w:t>
            </w:r>
          </w:p>
        </w:tc>
        <w:tc>
          <w:tcPr>
            <w:tcW w:w="266" w:type="pct"/>
            <w:tcBorders>
              <w:top w:val="nil"/>
              <w:left w:val="single" w:sz="4" w:space="0" w:color="auto"/>
              <w:bottom w:val="single" w:sz="4" w:space="0" w:color="auto"/>
              <w:right w:val="single" w:sz="4" w:space="0" w:color="auto"/>
            </w:tcBorders>
            <w:shd w:val="clear" w:color="auto" w:fill="auto"/>
            <w:vAlign w:val="center"/>
            <w:hideMark/>
          </w:tcPr>
          <w:p w14:paraId="5FEF2719"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 këtë indikator do të raportohet numri i të burgosurve vulnerabël ndaj radikalizmit të cilët kanë përfunduar programet e dedikuara të punësimit. Ky indikator do të vlerësohet duke matur numrin e të burgosurve vulnerabël ndaj radikalizmit të cilët kanë përfunduar programet e dedikuara të punësimit, në raport me numrin e atyre të parashikuar për të përfunduar këto programe.</w:t>
            </w:r>
          </w:p>
        </w:tc>
        <w:tc>
          <w:tcPr>
            <w:tcW w:w="121" w:type="pct"/>
            <w:tcBorders>
              <w:top w:val="nil"/>
              <w:left w:val="nil"/>
              <w:bottom w:val="single" w:sz="4" w:space="0" w:color="auto"/>
              <w:right w:val="single" w:sz="4" w:space="0" w:color="auto"/>
            </w:tcBorders>
            <w:shd w:val="clear" w:color="auto" w:fill="auto"/>
            <w:vAlign w:val="center"/>
            <w:hideMark/>
          </w:tcPr>
          <w:p w14:paraId="5FEF271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1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71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71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71E"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të burgosurve vulnerabël ndaj radikalizmit të cilët kanë përfunduar programet e dedikuara të punësimit, në raport me numrin e atyre të parashikuar për të përfunduar këto programe* 100%.</w:t>
            </w:r>
          </w:p>
        </w:tc>
        <w:tc>
          <w:tcPr>
            <w:tcW w:w="110" w:type="pct"/>
            <w:tcBorders>
              <w:top w:val="nil"/>
              <w:left w:val="nil"/>
              <w:bottom w:val="single" w:sz="4" w:space="0" w:color="auto"/>
              <w:right w:val="single" w:sz="4" w:space="0" w:color="auto"/>
            </w:tcBorders>
            <w:shd w:val="clear" w:color="auto" w:fill="auto"/>
            <w:vAlign w:val="center"/>
            <w:hideMark/>
          </w:tcPr>
          <w:p w14:paraId="5FEF271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72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72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72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nil"/>
              <w:left w:val="nil"/>
              <w:bottom w:val="single" w:sz="4" w:space="0" w:color="auto"/>
              <w:right w:val="single" w:sz="4" w:space="0" w:color="auto"/>
            </w:tcBorders>
            <w:shd w:val="clear" w:color="auto" w:fill="auto"/>
            <w:vAlign w:val="center"/>
            <w:hideMark/>
          </w:tcPr>
          <w:p w14:paraId="5FEF272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single" w:sz="4" w:space="0" w:color="auto"/>
              <w:right w:val="single" w:sz="4" w:space="0" w:color="auto"/>
            </w:tcBorders>
            <w:shd w:val="clear" w:color="auto" w:fill="auto"/>
            <w:vAlign w:val="center"/>
            <w:hideMark/>
          </w:tcPr>
          <w:p w14:paraId="5FEF2724"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0</w:t>
            </w:r>
          </w:p>
        </w:tc>
        <w:tc>
          <w:tcPr>
            <w:tcW w:w="104" w:type="pct"/>
            <w:tcBorders>
              <w:top w:val="nil"/>
              <w:left w:val="nil"/>
              <w:bottom w:val="single" w:sz="4" w:space="0" w:color="auto"/>
              <w:right w:val="single" w:sz="4" w:space="0" w:color="auto"/>
            </w:tcBorders>
            <w:shd w:val="clear" w:color="auto" w:fill="auto"/>
            <w:vAlign w:val="center"/>
            <w:hideMark/>
          </w:tcPr>
          <w:p w14:paraId="5FEF272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100</w:t>
            </w:r>
          </w:p>
        </w:tc>
        <w:tc>
          <w:tcPr>
            <w:tcW w:w="104" w:type="pct"/>
            <w:tcBorders>
              <w:top w:val="nil"/>
              <w:left w:val="nil"/>
              <w:bottom w:val="single" w:sz="4" w:space="0" w:color="auto"/>
              <w:right w:val="single" w:sz="4" w:space="0" w:color="auto"/>
            </w:tcBorders>
            <w:shd w:val="clear" w:color="auto" w:fill="auto"/>
            <w:vAlign w:val="center"/>
            <w:hideMark/>
          </w:tcPr>
          <w:p w14:paraId="5FEF272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72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200</w:t>
            </w:r>
          </w:p>
        </w:tc>
        <w:tc>
          <w:tcPr>
            <w:tcW w:w="104" w:type="pct"/>
            <w:tcBorders>
              <w:top w:val="nil"/>
              <w:left w:val="nil"/>
              <w:bottom w:val="single" w:sz="4" w:space="0" w:color="auto"/>
              <w:right w:val="single" w:sz="4" w:space="0" w:color="auto"/>
            </w:tcBorders>
            <w:shd w:val="clear" w:color="auto" w:fill="auto"/>
            <w:vAlign w:val="center"/>
            <w:hideMark/>
          </w:tcPr>
          <w:p w14:paraId="5FEF272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single" w:sz="4" w:space="0" w:color="auto"/>
              <w:right w:val="single" w:sz="4" w:space="0" w:color="auto"/>
            </w:tcBorders>
            <w:shd w:val="clear" w:color="auto" w:fill="auto"/>
            <w:vAlign w:val="center"/>
            <w:hideMark/>
          </w:tcPr>
          <w:p w14:paraId="5FEF272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300</w:t>
            </w:r>
          </w:p>
        </w:tc>
        <w:tc>
          <w:tcPr>
            <w:tcW w:w="104" w:type="pct"/>
            <w:tcBorders>
              <w:top w:val="nil"/>
              <w:left w:val="nil"/>
              <w:bottom w:val="single" w:sz="4" w:space="0" w:color="auto"/>
              <w:right w:val="single" w:sz="4" w:space="0" w:color="auto"/>
            </w:tcBorders>
            <w:shd w:val="clear" w:color="auto" w:fill="auto"/>
            <w:vAlign w:val="center"/>
            <w:hideMark/>
          </w:tcPr>
          <w:p w14:paraId="5FEF272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72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400</w:t>
            </w:r>
          </w:p>
        </w:tc>
        <w:tc>
          <w:tcPr>
            <w:tcW w:w="188" w:type="pct"/>
            <w:tcBorders>
              <w:top w:val="nil"/>
              <w:left w:val="nil"/>
              <w:bottom w:val="single" w:sz="4" w:space="0" w:color="auto"/>
              <w:right w:val="single" w:sz="4" w:space="0" w:color="auto"/>
            </w:tcBorders>
            <w:shd w:val="clear" w:color="auto" w:fill="auto"/>
            <w:vAlign w:val="center"/>
            <w:hideMark/>
          </w:tcPr>
          <w:p w14:paraId="5FEF272C" w14:textId="099897F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72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2E"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2F"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52"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3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w:t>
            </w:r>
          </w:p>
        </w:tc>
        <w:tc>
          <w:tcPr>
            <w:tcW w:w="151" w:type="pct"/>
            <w:tcBorders>
              <w:top w:val="nil"/>
              <w:left w:val="nil"/>
              <w:bottom w:val="single" w:sz="4" w:space="0" w:color="auto"/>
              <w:right w:val="single" w:sz="4" w:space="0" w:color="auto"/>
            </w:tcBorders>
            <w:shd w:val="clear" w:color="auto" w:fill="auto"/>
            <w:vAlign w:val="center"/>
            <w:hideMark/>
          </w:tcPr>
          <w:p w14:paraId="5FEF273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Rezultati</w:t>
            </w:r>
          </w:p>
        </w:tc>
        <w:tc>
          <w:tcPr>
            <w:tcW w:w="190" w:type="pct"/>
            <w:tcBorders>
              <w:top w:val="nil"/>
              <w:left w:val="nil"/>
              <w:bottom w:val="single" w:sz="4" w:space="0" w:color="auto"/>
              <w:right w:val="single" w:sz="4" w:space="0" w:color="auto"/>
            </w:tcBorders>
            <w:shd w:val="clear" w:color="auto" w:fill="auto"/>
            <w:vAlign w:val="center"/>
            <w:hideMark/>
          </w:tcPr>
          <w:p w14:paraId="5FEF2733"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Indeksi i rritjes së rehabilitimit dhe riintegrimit të personave të radikalizuar </w:t>
            </w:r>
          </w:p>
        </w:tc>
        <w:tc>
          <w:tcPr>
            <w:tcW w:w="157" w:type="pct"/>
            <w:tcBorders>
              <w:top w:val="nil"/>
              <w:left w:val="nil"/>
              <w:bottom w:val="single" w:sz="4" w:space="0" w:color="auto"/>
              <w:right w:val="single" w:sz="4" w:space="0" w:color="auto"/>
            </w:tcBorders>
            <w:shd w:val="clear" w:color="auto" w:fill="auto"/>
            <w:vAlign w:val="center"/>
            <w:hideMark/>
          </w:tcPr>
          <w:p w14:paraId="5FEF273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35" w14:textId="4567ABF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36"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1: Mbajtja e kërcënimit në nivel të ulët</w:t>
            </w:r>
          </w:p>
        </w:tc>
        <w:tc>
          <w:tcPr>
            <w:tcW w:w="219" w:type="pct"/>
            <w:tcBorders>
              <w:top w:val="nil"/>
              <w:left w:val="nil"/>
              <w:bottom w:val="single" w:sz="4" w:space="0" w:color="auto"/>
              <w:right w:val="single" w:sz="4" w:space="0" w:color="auto"/>
            </w:tcBorders>
            <w:shd w:val="clear" w:color="auto" w:fill="auto"/>
            <w:vAlign w:val="center"/>
            <w:hideMark/>
          </w:tcPr>
          <w:p w14:paraId="5FEF2737" w14:textId="37ABC083"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1.1: Fuqizimi i komuniteteve dhe institucioneve publike për identifikimin dhe raportimin e rasteve të ekstremizmit të dhunshëm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radikalizmit </w:t>
            </w:r>
          </w:p>
        </w:tc>
        <w:tc>
          <w:tcPr>
            <w:tcW w:w="183" w:type="pct"/>
            <w:tcBorders>
              <w:top w:val="nil"/>
              <w:left w:val="nil"/>
              <w:bottom w:val="single" w:sz="4" w:space="0" w:color="auto"/>
              <w:right w:val="single" w:sz="4" w:space="0" w:color="auto"/>
            </w:tcBorders>
            <w:shd w:val="clear" w:color="auto" w:fill="auto"/>
            <w:vAlign w:val="center"/>
            <w:hideMark/>
          </w:tcPr>
          <w:p w14:paraId="5FEF2738"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Raportet e monitorimit pas daljes nga IEPV-të</w:t>
            </w:r>
          </w:p>
        </w:tc>
        <w:tc>
          <w:tcPr>
            <w:tcW w:w="169" w:type="pct"/>
            <w:tcBorders>
              <w:top w:val="nil"/>
              <w:left w:val="nil"/>
              <w:bottom w:val="single" w:sz="4" w:space="0" w:color="auto"/>
              <w:right w:val="single" w:sz="4" w:space="0" w:color="auto"/>
            </w:tcBorders>
            <w:shd w:val="clear" w:color="auto" w:fill="auto"/>
            <w:vAlign w:val="center"/>
            <w:hideMark/>
          </w:tcPr>
          <w:p w14:paraId="5FEF273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MD</w:t>
            </w:r>
          </w:p>
        </w:tc>
        <w:tc>
          <w:tcPr>
            <w:tcW w:w="174" w:type="pct"/>
            <w:tcBorders>
              <w:top w:val="nil"/>
              <w:left w:val="nil"/>
              <w:bottom w:val="single" w:sz="4" w:space="0" w:color="auto"/>
              <w:right w:val="nil"/>
            </w:tcBorders>
            <w:shd w:val="clear" w:color="auto" w:fill="auto"/>
            <w:vAlign w:val="center"/>
            <w:hideMark/>
          </w:tcPr>
          <w:p w14:paraId="5FEF273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Drejtoria e Përgjithshme e Burgjeve; Ministria e Financave dhe Ekonomisë/ Drejtoria e Punësimit</w:t>
            </w:r>
          </w:p>
        </w:tc>
        <w:tc>
          <w:tcPr>
            <w:tcW w:w="266" w:type="pct"/>
            <w:tcBorders>
              <w:top w:val="nil"/>
              <w:left w:val="single" w:sz="4" w:space="0" w:color="auto"/>
              <w:bottom w:val="single" w:sz="4" w:space="0" w:color="auto"/>
              <w:right w:val="single" w:sz="4" w:space="0" w:color="auto"/>
            </w:tcBorders>
            <w:shd w:val="clear" w:color="auto" w:fill="auto"/>
            <w:vAlign w:val="center"/>
            <w:hideMark/>
          </w:tcPr>
          <w:p w14:paraId="5FEF273B" w14:textId="08E8921B"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Për këtë indikator do të raportohet përqindja</w:t>
            </w:r>
            <w:r w:rsidR="007C064A" w:rsidRPr="00795698">
              <w:rPr>
                <w:rFonts w:ascii="Arial" w:hAnsi="Arial" w:cs="Arial"/>
                <w:sz w:val="4"/>
                <w:szCs w:val="4"/>
                <w:lang w:eastAsia="sq-AL"/>
              </w:rPr>
              <w:t xml:space="preserve"> </w:t>
            </w:r>
            <w:r w:rsidRPr="00795698">
              <w:rPr>
                <w:rFonts w:ascii="Arial" w:hAnsi="Arial" w:cs="Arial"/>
                <w:sz w:val="4"/>
                <w:szCs w:val="4"/>
                <w:lang w:eastAsia="sq-AL"/>
              </w:rPr>
              <w:t>e të burgosurve të cilët janë rehabilituar dhe riintegruar pas daljes nga IEVP-të</w:t>
            </w:r>
          </w:p>
        </w:tc>
        <w:tc>
          <w:tcPr>
            <w:tcW w:w="121" w:type="pct"/>
            <w:tcBorders>
              <w:top w:val="nil"/>
              <w:left w:val="nil"/>
              <w:bottom w:val="single" w:sz="4" w:space="0" w:color="auto"/>
              <w:right w:val="single" w:sz="4" w:space="0" w:color="auto"/>
            </w:tcBorders>
            <w:shd w:val="clear" w:color="auto" w:fill="auto"/>
            <w:vAlign w:val="center"/>
            <w:hideMark/>
          </w:tcPr>
          <w:p w14:paraId="5FEF273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3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73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73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I përbërë</w:t>
            </w:r>
          </w:p>
        </w:tc>
        <w:tc>
          <w:tcPr>
            <w:tcW w:w="190" w:type="pct"/>
            <w:tcBorders>
              <w:top w:val="nil"/>
              <w:left w:val="nil"/>
              <w:bottom w:val="single" w:sz="4" w:space="0" w:color="auto"/>
              <w:right w:val="single" w:sz="4" w:space="0" w:color="auto"/>
            </w:tcBorders>
            <w:shd w:val="clear" w:color="auto" w:fill="auto"/>
            <w:vAlign w:val="center"/>
            <w:hideMark/>
          </w:tcPr>
          <w:p w14:paraId="5FEF274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Përqindja e totalit të të burgosurve të rehabilituar dhe riintegruar pas daljes nga IEVP / kundrejt atyre të rehabilituar dhe riintegruar në shoqëri pas daljes nga IEVP.</w:t>
            </w:r>
          </w:p>
        </w:tc>
        <w:tc>
          <w:tcPr>
            <w:tcW w:w="110" w:type="pct"/>
            <w:tcBorders>
              <w:top w:val="nil"/>
              <w:left w:val="nil"/>
              <w:bottom w:val="single" w:sz="4" w:space="0" w:color="auto"/>
              <w:right w:val="single" w:sz="4" w:space="0" w:color="auto"/>
            </w:tcBorders>
            <w:shd w:val="clear" w:color="auto" w:fill="auto"/>
            <w:vAlign w:val="center"/>
            <w:hideMark/>
          </w:tcPr>
          <w:p w14:paraId="5FEF274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Gjinia</w:t>
            </w:r>
          </w:p>
        </w:tc>
        <w:tc>
          <w:tcPr>
            <w:tcW w:w="170" w:type="pct"/>
            <w:tcBorders>
              <w:top w:val="nil"/>
              <w:left w:val="nil"/>
              <w:bottom w:val="single" w:sz="4" w:space="0" w:color="auto"/>
              <w:right w:val="single" w:sz="4" w:space="0" w:color="auto"/>
            </w:tcBorders>
            <w:shd w:val="clear" w:color="auto" w:fill="auto"/>
            <w:vAlign w:val="center"/>
            <w:hideMark/>
          </w:tcPr>
          <w:p w14:paraId="5FEF274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Vendndodhja</w:t>
            </w:r>
          </w:p>
        </w:tc>
        <w:tc>
          <w:tcPr>
            <w:tcW w:w="149" w:type="pct"/>
            <w:tcBorders>
              <w:top w:val="nil"/>
              <w:left w:val="nil"/>
              <w:bottom w:val="single" w:sz="4" w:space="0" w:color="auto"/>
              <w:right w:val="single" w:sz="4" w:space="0" w:color="auto"/>
            </w:tcBorders>
            <w:shd w:val="clear" w:color="auto" w:fill="auto"/>
            <w:vAlign w:val="center"/>
            <w:hideMark/>
          </w:tcPr>
          <w:p w14:paraId="5FEF274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Përkatësia etnike</w:t>
            </w:r>
          </w:p>
        </w:tc>
        <w:tc>
          <w:tcPr>
            <w:tcW w:w="156" w:type="pct"/>
            <w:tcBorders>
              <w:top w:val="nil"/>
              <w:left w:val="nil"/>
              <w:bottom w:val="single" w:sz="4" w:space="0" w:color="auto"/>
              <w:right w:val="single" w:sz="4" w:space="0" w:color="auto"/>
            </w:tcBorders>
            <w:shd w:val="clear" w:color="auto" w:fill="auto"/>
            <w:noWrap/>
            <w:vAlign w:val="center"/>
            <w:hideMark/>
          </w:tcPr>
          <w:p w14:paraId="5FEF2744"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Rritës</w:t>
            </w:r>
          </w:p>
        </w:tc>
        <w:tc>
          <w:tcPr>
            <w:tcW w:w="104" w:type="pct"/>
            <w:tcBorders>
              <w:top w:val="nil"/>
              <w:left w:val="nil"/>
              <w:bottom w:val="single" w:sz="4" w:space="0" w:color="auto"/>
              <w:right w:val="single" w:sz="4" w:space="0" w:color="auto"/>
            </w:tcBorders>
            <w:shd w:val="clear" w:color="auto" w:fill="auto"/>
            <w:vAlign w:val="center"/>
            <w:hideMark/>
          </w:tcPr>
          <w:p w14:paraId="5FEF274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single" w:sz="4" w:space="0" w:color="auto"/>
              <w:right w:val="single" w:sz="4" w:space="0" w:color="auto"/>
            </w:tcBorders>
            <w:shd w:val="clear" w:color="auto" w:fill="auto"/>
            <w:vAlign w:val="center"/>
            <w:hideMark/>
          </w:tcPr>
          <w:p w14:paraId="5FEF2746"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0%</w:t>
            </w:r>
          </w:p>
        </w:tc>
        <w:tc>
          <w:tcPr>
            <w:tcW w:w="104" w:type="pct"/>
            <w:tcBorders>
              <w:top w:val="nil"/>
              <w:left w:val="nil"/>
              <w:bottom w:val="single" w:sz="4" w:space="0" w:color="auto"/>
              <w:right w:val="single" w:sz="4" w:space="0" w:color="auto"/>
            </w:tcBorders>
            <w:shd w:val="clear" w:color="auto" w:fill="auto"/>
            <w:vAlign w:val="center"/>
            <w:hideMark/>
          </w:tcPr>
          <w:p w14:paraId="5FEF274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w:t>
            </w:r>
          </w:p>
        </w:tc>
        <w:tc>
          <w:tcPr>
            <w:tcW w:w="104" w:type="pct"/>
            <w:tcBorders>
              <w:top w:val="nil"/>
              <w:left w:val="nil"/>
              <w:bottom w:val="single" w:sz="4" w:space="0" w:color="auto"/>
              <w:right w:val="single" w:sz="4" w:space="0" w:color="auto"/>
            </w:tcBorders>
            <w:shd w:val="clear" w:color="auto" w:fill="auto"/>
            <w:vAlign w:val="center"/>
            <w:hideMark/>
          </w:tcPr>
          <w:p w14:paraId="5FEF274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74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15%</w:t>
            </w:r>
          </w:p>
        </w:tc>
        <w:tc>
          <w:tcPr>
            <w:tcW w:w="104" w:type="pct"/>
            <w:tcBorders>
              <w:top w:val="nil"/>
              <w:left w:val="nil"/>
              <w:bottom w:val="single" w:sz="4" w:space="0" w:color="auto"/>
              <w:right w:val="single" w:sz="4" w:space="0" w:color="auto"/>
            </w:tcBorders>
            <w:shd w:val="clear" w:color="auto" w:fill="auto"/>
            <w:vAlign w:val="center"/>
            <w:hideMark/>
          </w:tcPr>
          <w:p w14:paraId="5FEF274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single" w:sz="4" w:space="0" w:color="auto"/>
              <w:right w:val="single" w:sz="4" w:space="0" w:color="auto"/>
            </w:tcBorders>
            <w:shd w:val="clear" w:color="auto" w:fill="auto"/>
            <w:vAlign w:val="center"/>
            <w:hideMark/>
          </w:tcPr>
          <w:p w14:paraId="5FEF274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w:t>
            </w:r>
          </w:p>
        </w:tc>
        <w:tc>
          <w:tcPr>
            <w:tcW w:w="104" w:type="pct"/>
            <w:tcBorders>
              <w:top w:val="nil"/>
              <w:left w:val="nil"/>
              <w:bottom w:val="single" w:sz="4" w:space="0" w:color="auto"/>
              <w:right w:val="single" w:sz="4" w:space="0" w:color="auto"/>
            </w:tcBorders>
            <w:shd w:val="clear" w:color="auto" w:fill="auto"/>
            <w:vAlign w:val="center"/>
            <w:hideMark/>
          </w:tcPr>
          <w:p w14:paraId="5FEF274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74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25%</w:t>
            </w:r>
          </w:p>
        </w:tc>
        <w:tc>
          <w:tcPr>
            <w:tcW w:w="188" w:type="pct"/>
            <w:tcBorders>
              <w:top w:val="nil"/>
              <w:left w:val="nil"/>
              <w:bottom w:val="single" w:sz="4" w:space="0" w:color="auto"/>
              <w:right w:val="single" w:sz="4" w:space="0" w:color="auto"/>
            </w:tcBorders>
            <w:shd w:val="clear" w:color="auto" w:fill="auto"/>
            <w:vAlign w:val="center"/>
            <w:hideMark/>
          </w:tcPr>
          <w:p w14:paraId="5FEF274E" w14:textId="0BE35318"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74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5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51"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74"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5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w:t>
            </w:r>
          </w:p>
        </w:tc>
        <w:tc>
          <w:tcPr>
            <w:tcW w:w="151" w:type="pct"/>
            <w:tcBorders>
              <w:top w:val="nil"/>
              <w:left w:val="nil"/>
              <w:bottom w:val="nil"/>
              <w:right w:val="single" w:sz="4" w:space="0" w:color="auto"/>
            </w:tcBorders>
            <w:shd w:val="clear" w:color="auto" w:fill="auto"/>
            <w:vAlign w:val="center"/>
            <w:hideMark/>
          </w:tcPr>
          <w:p w14:paraId="5FEF275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nil"/>
              <w:right w:val="single" w:sz="4" w:space="0" w:color="auto"/>
            </w:tcBorders>
            <w:shd w:val="clear" w:color="auto" w:fill="auto"/>
            <w:vAlign w:val="center"/>
            <w:hideMark/>
          </w:tcPr>
          <w:p w14:paraId="5FEF2755" w14:textId="3E626BFE"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Numri i</w:t>
            </w:r>
            <w:r w:rsidR="007C064A" w:rsidRPr="00795698">
              <w:rPr>
                <w:rFonts w:ascii="Arial" w:hAnsi="Arial" w:cs="Arial"/>
                <w:sz w:val="4"/>
                <w:szCs w:val="4"/>
                <w:lang w:eastAsia="sq-AL"/>
              </w:rPr>
              <w:t xml:space="preserve"> </w:t>
            </w:r>
            <w:r w:rsidRPr="00795698">
              <w:rPr>
                <w:rFonts w:ascii="Arial" w:hAnsi="Arial" w:cs="Arial"/>
                <w:sz w:val="4"/>
                <w:szCs w:val="4"/>
                <w:lang w:eastAsia="sq-AL"/>
              </w:rPr>
              <w:t>oficerëve të patrullës së përgjithshme të trajnuar çdo vit</w:t>
            </w:r>
            <w:r w:rsidR="007C064A" w:rsidRPr="00795698">
              <w:rPr>
                <w:rFonts w:ascii="Arial" w:hAnsi="Arial" w:cs="Arial"/>
                <w:sz w:val="4"/>
                <w:szCs w:val="4"/>
                <w:lang w:eastAsia="sq-AL"/>
              </w:rPr>
              <w:t xml:space="preserve"> </w:t>
            </w:r>
            <w:r w:rsidRPr="00795698">
              <w:rPr>
                <w:rFonts w:ascii="Arial" w:hAnsi="Arial" w:cs="Arial"/>
                <w:sz w:val="4"/>
                <w:szCs w:val="4"/>
                <w:lang w:eastAsia="sq-AL"/>
              </w:rPr>
              <w:t>mbi ndërgjegjësimin kundër ekstremizmit të dhunshëm dhe shenjat e hershme të radikalizimit, me fokus të rinjtë.</w:t>
            </w:r>
          </w:p>
        </w:tc>
        <w:tc>
          <w:tcPr>
            <w:tcW w:w="157" w:type="pct"/>
            <w:tcBorders>
              <w:top w:val="nil"/>
              <w:left w:val="nil"/>
              <w:bottom w:val="single" w:sz="4" w:space="0" w:color="auto"/>
              <w:right w:val="single" w:sz="4" w:space="0" w:color="auto"/>
            </w:tcBorders>
            <w:shd w:val="clear" w:color="auto" w:fill="auto"/>
            <w:vAlign w:val="center"/>
            <w:hideMark/>
          </w:tcPr>
          <w:p w14:paraId="5FEF2756"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57" w14:textId="01BA874F"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58"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1: Mbajtja e kërcënimit në nivel të ulët</w:t>
            </w:r>
          </w:p>
        </w:tc>
        <w:tc>
          <w:tcPr>
            <w:tcW w:w="219" w:type="pct"/>
            <w:tcBorders>
              <w:top w:val="nil"/>
              <w:left w:val="nil"/>
              <w:bottom w:val="single" w:sz="4" w:space="0" w:color="auto"/>
              <w:right w:val="single" w:sz="4" w:space="0" w:color="auto"/>
            </w:tcBorders>
            <w:shd w:val="clear" w:color="auto" w:fill="auto"/>
            <w:vAlign w:val="center"/>
            <w:hideMark/>
          </w:tcPr>
          <w:p w14:paraId="5FEF2759" w14:textId="1EEF7C83"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1.1: Fuqizimi i komuniteteve dhe institucioneve publike për identifikimin dhe raportimin e rasteve të ekstremizmit të dhunshëm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radikalizmit </w:t>
            </w:r>
          </w:p>
        </w:tc>
        <w:tc>
          <w:tcPr>
            <w:tcW w:w="183" w:type="pct"/>
            <w:tcBorders>
              <w:top w:val="nil"/>
              <w:left w:val="nil"/>
              <w:bottom w:val="nil"/>
              <w:right w:val="single" w:sz="4" w:space="0" w:color="000000"/>
            </w:tcBorders>
            <w:shd w:val="clear" w:color="auto" w:fill="auto"/>
            <w:vAlign w:val="center"/>
            <w:hideMark/>
          </w:tcPr>
          <w:p w14:paraId="5FEF275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xml:space="preserve">Raportet e monitorimit të trainimeve </w:t>
            </w:r>
          </w:p>
        </w:tc>
        <w:tc>
          <w:tcPr>
            <w:tcW w:w="169" w:type="pct"/>
            <w:tcBorders>
              <w:top w:val="nil"/>
              <w:left w:val="nil"/>
              <w:bottom w:val="nil"/>
              <w:right w:val="nil"/>
            </w:tcBorders>
            <w:shd w:val="clear" w:color="auto" w:fill="auto"/>
            <w:vAlign w:val="center"/>
            <w:hideMark/>
          </w:tcPr>
          <w:p w14:paraId="5FEF275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Drejtoria Përgjithshme e Policisë së Shtetit; Akademia e Policisë</w:t>
            </w:r>
          </w:p>
        </w:tc>
        <w:tc>
          <w:tcPr>
            <w:tcW w:w="174" w:type="pct"/>
            <w:tcBorders>
              <w:top w:val="nil"/>
              <w:left w:val="single" w:sz="4" w:space="0" w:color="auto"/>
              <w:bottom w:val="nil"/>
              <w:right w:val="single" w:sz="4" w:space="0" w:color="auto"/>
            </w:tcBorders>
            <w:shd w:val="clear" w:color="auto" w:fill="auto"/>
            <w:vAlign w:val="center"/>
            <w:hideMark/>
          </w:tcPr>
          <w:p w14:paraId="5FEF275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MB</w:t>
            </w:r>
          </w:p>
        </w:tc>
        <w:tc>
          <w:tcPr>
            <w:tcW w:w="266" w:type="pct"/>
            <w:tcBorders>
              <w:top w:val="nil"/>
              <w:left w:val="nil"/>
              <w:bottom w:val="single" w:sz="4" w:space="0" w:color="auto"/>
              <w:right w:val="single" w:sz="4" w:space="0" w:color="auto"/>
            </w:tcBorders>
            <w:shd w:val="clear" w:color="auto" w:fill="auto"/>
            <w:vAlign w:val="center"/>
            <w:hideMark/>
          </w:tcPr>
          <w:p w14:paraId="5FEF275D" w14:textId="60EC24BB"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 këtë indikator do të raportohet pjesëmarrja 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oficerëve të patrullës së përgjithshme në trajnimet për EDH</w:t>
            </w:r>
          </w:p>
        </w:tc>
        <w:tc>
          <w:tcPr>
            <w:tcW w:w="121" w:type="pct"/>
            <w:tcBorders>
              <w:top w:val="nil"/>
              <w:left w:val="nil"/>
              <w:bottom w:val="single" w:sz="4" w:space="0" w:color="auto"/>
              <w:right w:val="single" w:sz="4" w:space="0" w:color="auto"/>
            </w:tcBorders>
            <w:shd w:val="clear" w:color="auto" w:fill="auto"/>
            <w:vAlign w:val="center"/>
            <w:hideMark/>
          </w:tcPr>
          <w:p w14:paraId="5FEF275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5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nil"/>
              <w:right w:val="single" w:sz="4" w:space="0" w:color="000000"/>
            </w:tcBorders>
            <w:shd w:val="clear" w:color="auto" w:fill="auto"/>
            <w:noWrap/>
            <w:vAlign w:val="center"/>
            <w:hideMark/>
          </w:tcPr>
          <w:p w14:paraId="5FEF276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nil"/>
              <w:right w:val="single" w:sz="4" w:space="0" w:color="000000"/>
            </w:tcBorders>
            <w:shd w:val="clear" w:color="auto" w:fill="auto"/>
            <w:noWrap/>
            <w:vAlign w:val="center"/>
            <w:hideMark/>
          </w:tcPr>
          <w:p w14:paraId="5FEF276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nil"/>
              <w:right w:val="single" w:sz="4" w:space="0" w:color="000000"/>
            </w:tcBorders>
            <w:shd w:val="clear" w:color="auto" w:fill="auto"/>
            <w:vAlign w:val="center"/>
            <w:hideMark/>
          </w:tcPr>
          <w:p w14:paraId="5FEF2762" w14:textId="00C369EE" w:rsidR="00F6012F" w:rsidRPr="00795698" w:rsidRDefault="00F6012F" w:rsidP="00F6012F">
            <w:pPr>
              <w:spacing w:after="240"/>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oficerëve të patrullës së përgjithshme të trajnuar çdo vit mbi ndërgjegjësimin kundër ekstremizmit të dhunshëm dhe shenjat e hershme të radikalizimit, me fokus të rinjtë, në raport me numrin e atyre të parashikuar për t</w:t>
            </w:r>
            <w:r w:rsidR="0041767D" w:rsidRPr="00795698">
              <w:rPr>
                <w:rFonts w:ascii="Arial" w:hAnsi="Arial" w:cs="Arial"/>
                <w:color w:val="000000"/>
                <w:sz w:val="4"/>
                <w:szCs w:val="4"/>
                <w:lang w:eastAsia="sq-AL"/>
              </w:rPr>
              <w:t>’</w:t>
            </w:r>
            <w:r w:rsidRPr="00795698">
              <w:rPr>
                <w:rFonts w:ascii="Arial" w:hAnsi="Arial" w:cs="Arial"/>
                <w:color w:val="000000"/>
                <w:sz w:val="4"/>
                <w:szCs w:val="4"/>
                <w:lang w:eastAsia="sq-AL"/>
              </w:rPr>
              <w:t>u trajnuar në vitin aktual* 100%.</w:t>
            </w:r>
          </w:p>
        </w:tc>
        <w:tc>
          <w:tcPr>
            <w:tcW w:w="110" w:type="pct"/>
            <w:tcBorders>
              <w:top w:val="nil"/>
              <w:left w:val="nil"/>
              <w:bottom w:val="nil"/>
              <w:right w:val="single" w:sz="4" w:space="0" w:color="000000"/>
            </w:tcBorders>
            <w:shd w:val="clear" w:color="auto" w:fill="auto"/>
            <w:vAlign w:val="center"/>
            <w:hideMark/>
          </w:tcPr>
          <w:p w14:paraId="5FEF276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nil"/>
              <w:right w:val="single" w:sz="4" w:space="0" w:color="000000"/>
            </w:tcBorders>
            <w:shd w:val="clear" w:color="auto" w:fill="auto"/>
            <w:vAlign w:val="center"/>
            <w:hideMark/>
          </w:tcPr>
          <w:p w14:paraId="5FEF276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nil"/>
              <w:right w:val="single" w:sz="4" w:space="0" w:color="000000"/>
            </w:tcBorders>
            <w:shd w:val="clear" w:color="auto" w:fill="auto"/>
            <w:noWrap/>
            <w:vAlign w:val="center"/>
            <w:hideMark/>
          </w:tcPr>
          <w:p w14:paraId="5FEF276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766"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Rritës</w:t>
            </w:r>
          </w:p>
        </w:tc>
        <w:tc>
          <w:tcPr>
            <w:tcW w:w="104" w:type="pct"/>
            <w:tcBorders>
              <w:top w:val="nil"/>
              <w:left w:val="nil"/>
              <w:bottom w:val="single" w:sz="4" w:space="0" w:color="auto"/>
              <w:right w:val="single" w:sz="4" w:space="0" w:color="auto"/>
            </w:tcBorders>
            <w:shd w:val="clear" w:color="auto" w:fill="auto"/>
            <w:vAlign w:val="center"/>
            <w:hideMark/>
          </w:tcPr>
          <w:p w14:paraId="5FEF276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nil"/>
              <w:right w:val="single" w:sz="4" w:space="0" w:color="000000"/>
            </w:tcBorders>
            <w:shd w:val="clear" w:color="auto" w:fill="auto"/>
            <w:vAlign w:val="center"/>
            <w:hideMark/>
          </w:tcPr>
          <w:p w14:paraId="5FEF276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2200</w:t>
            </w:r>
          </w:p>
        </w:tc>
        <w:tc>
          <w:tcPr>
            <w:tcW w:w="104" w:type="pct"/>
            <w:tcBorders>
              <w:top w:val="nil"/>
              <w:left w:val="nil"/>
              <w:bottom w:val="nil"/>
              <w:right w:val="single" w:sz="4" w:space="0" w:color="000000"/>
            </w:tcBorders>
            <w:shd w:val="clear" w:color="auto" w:fill="auto"/>
            <w:vAlign w:val="center"/>
            <w:hideMark/>
          </w:tcPr>
          <w:p w14:paraId="5FEF276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2200</w:t>
            </w:r>
          </w:p>
        </w:tc>
        <w:tc>
          <w:tcPr>
            <w:tcW w:w="104" w:type="pct"/>
            <w:tcBorders>
              <w:top w:val="nil"/>
              <w:left w:val="nil"/>
              <w:bottom w:val="nil"/>
              <w:right w:val="single" w:sz="4" w:space="0" w:color="000000"/>
            </w:tcBorders>
            <w:shd w:val="clear" w:color="auto" w:fill="auto"/>
            <w:vAlign w:val="center"/>
            <w:hideMark/>
          </w:tcPr>
          <w:p w14:paraId="5FEF276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nil"/>
              <w:right w:val="single" w:sz="4" w:space="0" w:color="000000"/>
            </w:tcBorders>
            <w:shd w:val="clear" w:color="auto" w:fill="auto"/>
            <w:vAlign w:val="center"/>
            <w:hideMark/>
          </w:tcPr>
          <w:p w14:paraId="5FEF276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4400</w:t>
            </w:r>
          </w:p>
        </w:tc>
        <w:tc>
          <w:tcPr>
            <w:tcW w:w="104" w:type="pct"/>
            <w:tcBorders>
              <w:top w:val="nil"/>
              <w:left w:val="nil"/>
              <w:bottom w:val="nil"/>
              <w:right w:val="single" w:sz="4" w:space="0" w:color="000000"/>
            </w:tcBorders>
            <w:shd w:val="clear" w:color="auto" w:fill="auto"/>
            <w:vAlign w:val="center"/>
            <w:hideMark/>
          </w:tcPr>
          <w:p w14:paraId="5FEF276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nil"/>
              <w:right w:val="single" w:sz="4" w:space="0" w:color="000000"/>
            </w:tcBorders>
            <w:shd w:val="clear" w:color="auto" w:fill="auto"/>
            <w:vAlign w:val="center"/>
            <w:hideMark/>
          </w:tcPr>
          <w:p w14:paraId="5FEF276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6600</w:t>
            </w:r>
          </w:p>
        </w:tc>
        <w:tc>
          <w:tcPr>
            <w:tcW w:w="104" w:type="pct"/>
            <w:tcBorders>
              <w:top w:val="nil"/>
              <w:left w:val="nil"/>
              <w:bottom w:val="nil"/>
              <w:right w:val="single" w:sz="4" w:space="0" w:color="auto"/>
            </w:tcBorders>
            <w:shd w:val="clear" w:color="auto" w:fill="auto"/>
            <w:vAlign w:val="center"/>
            <w:hideMark/>
          </w:tcPr>
          <w:p w14:paraId="5FEF276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nil"/>
              <w:right w:val="single" w:sz="4" w:space="0" w:color="000000"/>
            </w:tcBorders>
            <w:shd w:val="clear" w:color="auto" w:fill="auto"/>
            <w:vAlign w:val="center"/>
            <w:hideMark/>
          </w:tcPr>
          <w:p w14:paraId="5FEF276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8800</w:t>
            </w:r>
          </w:p>
        </w:tc>
        <w:tc>
          <w:tcPr>
            <w:tcW w:w="188" w:type="pct"/>
            <w:tcBorders>
              <w:top w:val="nil"/>
              <w:left w:val="nil"/>
              <w:bottom w:val="single" w:sz="4" w:space="0" w:color="auto"/>
              <w:right w:val="single" w:sz="4" w:space="0" w:color="auto"/>
            </w:tcBorders>
            <w:shd w:val="clear" w:color="auto" w:fill="auto"/>
            <w:vAlign w:val="center"/>
            <w:hideMark/>
          </w:tcPr>
          <w:p w14:paraId="5FEF2770" w14:textId="59A8FB9B"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77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72"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73"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96"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7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6</w:t>
            </w:r>
          </w:p>
        </w:tc>
        <w:tc>
          <w:tcPr>
            <w:tcW w:w="151" w:type="pct"/>
            <w:tcBorders>
              <w:top w:val="single" w:sz="4" w:space="0" w:color="auto"/>
              <w:left w:val="nil"/>
              <w:bottom w:val="single" w:sz="4" w:space="0" w:color="auto"/>
              <w:right w:val="single" w:sz="4" w:space="0" w:color="auto"/>
            </w:tcBorders>
            <w:shd w:val="clear" w:color="auto" w:fill="auto"/>
            <w:vAlign w:val="center"/>
            <w:hideMark/>
          </w:tcPr>
          <w:p w14:paraId="5FEF277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single" w:sz="4" w:space="0" w:color="auto"/>
              <w:left w:val="nil"/>
              <w:bottom w:val="nil"/>
              <w:right w:val="single" w:sz="4" w:space="0" w:color="auto"/>
            </w:tcBorders>
            <w:shd w:val="clear" w:color="auto" w:fill="auto"/>
            <w:vAlign w:val="center"/>
            <w:hideMark/>
          </w:tcPr>
          <w:p w14:paraId="5FEF2777" w14:textId="3DC2FEBF"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Numri i personave përfitues të ndihmës ekonomike në zonat hot-spot,</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të përfshirë në programet e punëve publike</w:t>
            </w:r>
          </w:p>
        </w:tc>
        <w:tc>
          <w:tcPr>
            <w:tcW w:w="157" w:type="pct"/>
            <w:tcBorders>
              <w:top w:val="nil"/>
              <w:left w:val="nil"/>
              <w:bottom w:val="single" w:sz="4" w:space="0" w:color="auto"/>
              <w:right w:val="single" w:sz="4" w:space="0" w:color="auto"/>
            </w:tcBorders>
            <w:shd w:val="clear" w:color="auto" w:fill="auto"/>
            <w:vAlign w:val="center"/>
            <w:hideMark/>
          </w:tcPr>
          <w:p w14:paraId="5FEF2778"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79" w14:textId="5EFAEF2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w:t>
            </w:r>
            <w:r w:rsidRPr="00795698">
              <w:rPr>
                <w:rFonts w:ascii="Arial" w:hAnsi="Arial" w:cs="Arial"/>
                <w:sz w:val="4"/>
                <w:szCs w:val="4"/>
                <w:lang w:eastAsia="sq-AL"/>
              </w:rPr>
              <w:lastRenderedPageBreak/>
              <w:t xml:space="preserve">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7A"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lastRenderedPageBreak/>
              <w:t>Qëllimi i Politikës 1: Mbajtja e kërcënimit në nivel të ulët</w:t>
            </w:r>
          </w:p>
        </w:tc>
        <w:tc>
          <w:tcPr>
            <w:tcW w:w="219" w:type="pct"/>
            <w:tcBorders>
              <w:top w:val="nil"/>
              <w:left w:val="nil"/>
              <w:bottom w:val="single" w:sz="4" w:space="0" w:color="auto"/>
              <w:right w:val="single" w:sz="4" w:space="0" w:color="auto"/>
            </w:tcBorders>
            <w:shd w:val="clear" w:color="auto" w:fill="auto"/>
            <w:vAlign w:val="center"/>
            <w:hideMark/>
          </w:tcPr>
          <w:p w14:paraId="5FEF277B" w14:textId="5F51F98C"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1.2: Analizimi dhe adresimi i faktorëve nxitës për individët që janë në rrezik për t</w:t>
            </w:r>
            <w:r w:rsidR="0041767D" w:rsidRPr="00795698">
              <w:rPr>
                <w:rFonts w:ascii="Arial" w:hAnsi="Arial" w:cs="Arial"/>
                <w:color w:val="000000"/>
                <w:sz w:val="4"/>
                <w:szCs w:val="4"/>
                <w:lang w:eastAsia="sq-AL"/>
              </w:rPr>
              <w:t>’</w:t>
            </w:r>
            <w:r w:rsidRPr="00795698">
              <w:rPr>
                <w:rFonts w:ascii="Arial" w:hAnsi="Arial" w:cs="Arial"/>
                <w:color w:val="000000"/>
                <w:sz w:val="4"/>
                <w:szCs w:val="4"/>
                <w:lang w:eastAsia="sq-AL"/>
              </w:rPr>
              <w:t>u radikalizuar apo përfshirë në ekstremizëm të dhunshëm dhe forcimi i komuniteteve vulnerabël përmes përfshirjes së tyre në shoqëri dhe tregun e punës</w:t>
            </w:r>
          </w:p>
        </w:tc>
        <w:tc>
          <w:tcPr>
            <w:tcW w:w="183" w:type="pct"/>
            <w:tcBorders>
              <w:top w:val="single" w:sz="4" w:space="0" w:color="000000"/>
              <w:left w:val="nil"/>
              <w:bottom w:val="nil"/>
              <w:right w:val="single" w:sz="4" w:space="0" w:color="000000"/>
            </w:tcBorders>
            <w:shd w:val="clear" w:color="auto" w:fill="auto"/>
            <w:vAlign w:val="center"/>
            <w:hideMark/>
          </w:tcPr>
          <w:p w14:paraId="5FEF277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Evidenca të pjesëmarrjes në punët publike</w:t>
            </w:r>
          </w:p>
        </w:tc>
        <w:tc>
          <w:tcPr>
            <w:tcW w:w="169" w:type="pct"/>
            <w:tcBorders>
              <w:top w:val="single" w:sz="4" w:space="0" w:color="auto"/>
              <w:left w:val="nil"/>
              <w:bottom w:val="nil"/>
              <w:right w:val="single" w:sz="4" w:space="0" w:color="auto"/>
            </w:tcBorders>
            <w:shd w:val="clear" w:color="auto" w:fill="auto"/>
            <w:vAlign w:val="center"/>
            <w:hideMark/>
          </w:tcPr>
          <w:p w14:paraId="5FEF277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NJVV (Zyra për Shërbimet Sociale në Bashki)</w:t>
            </w:r>
          </w:p>
        </w:tc>
        <w:tc>
          <w:tcPr>
            <w:tcW w:w="174" w:type="pct"/>
            <w:tcBorders>
              <w:top w:val="single" w:sz="4" w:space="0" w:color="auto"/>
              <w:left w:val="nil"/>
              <w:bottom w:val="nil"/>
              <w:right w:val="single" w:sz="4" w:space="0" w:color="auto"/>
            </w:tcBorders>
            <w:shd w:val="clear" w:color="auto" w:fill="auto"/>
            <w:vAlign w:val="center"/>
            <w:hideMark/>
          </w:tcPr>
          <w:p w14:paraId="5FEF277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Shërbimi Social Shtetëror, AKPA dhe Njësitë Rajonale dhe Vendore; Punëdhënësit</w:t>
            </w:r>
          </w:p>
        </w:tc>
        <w:tc>
          <w:tcPr>
            <w:tcW w:w="266" w:type="pct"/>
            <w:tcBorders>
              <w:top w:val="nil"/>
              <w:left w:val="nil"/>
              <w:bottom w:val="nil"/>
              <w:right w:val="single" w:sz="4" w:space="0" w:color="auto"/>
            </w:tcBorders>
            <w:shd w:val="clear" w:color="auto" w:fill="auto"/>
            <w:vAlign w:val="center"/>
            <w:hideMark/>
          </w:tcPr>
          <w:p w14:paraId="5FEF277F" w14:textId="7777777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Për këtë indikator do të raportohet numri i personave përfitues të ndihmës ekonomike në zonat hot-spot, të përfshirë në programet e punëve publike.</w:t>
            </w:r>
          </w:p>
        </w:tc>
        <w:tc>
          <w:tcPr>
            <w:tcW w:w="121" w:type="pct"/>
            <w:tcBorders>
              <w:top w:val="nil"/>
              <w:left w:val="nil"/>
              <w:bottom w:val="single" w:sz="4" w:space="0" w:color="auto"/>
              <w:right w:val="single" w:sz="4" w:space="0" w:color="auto"/>
            </w:tcBorders>
            <w:shd w:val="clear" w:color="auto" w:fill="auto"/>
            <w:vAlign w:val="center"/>
            <w:hideMark/>
          </w:tcPr>
          <w:p w14:paraId="5FEF278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8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single" w:sz="4" w:space="0" w:color="000000"/>
              <w:left w:val="nil"/>
              <w:bottom w:val="nil"/>
              <w:right w:val="single" w:sz="4" w:space="0" w:color="000000"/>
            </w:tcBorders>
            <w:shd w:val="clear" w:color="auto" w:fill="auto"/>
            <w:noWrap/>
            <w:vAlign w:val="center"/>
            <w:hideMark/>
          </w:tcPr>
          <w:p w14:paraId="5FEF278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single" w:sz="4" w:space="0" w:color="000000"/>
              <w:left w:val="nil"/>
              <w:bottom w:val="nil"/>
              <w:right w:val="single" w:sz="4" w:space="0" w:color="000000"/>
            </w:tcBorders>
            <w:shd w:val="clear" w:color="auto" w:fill="auto"/>
            <w:noWrap/>
            <w:vAlign w:val="center"/>
            <w:hideMark/>
          </w:tcPr>
          <w:p w14:paraId="5FEF278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single" w:sz="4" w:space="0" w:color="000000"/>
              <w:left w:val="nil"/>
              <w:bottom w:val="nil"/>
              <w:right w:val="single" w:sz="4" w:space="0" w:color="000000"/>
            </w:tcBorders>
            <w:shd w:val="clear" w:color="auto" w:fill="auto"/>
            <w:vAlign w:val="center"/>
            <w:hideMark/>
          </w:tcPr>
          <w:p w14:paraId="5FEF278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Ky indikator do të vlerësohet duke matur numrin e personave përfitues të ndihmës ekonomike në zonat hot-spot të përfshirë në programet e punëve publike, në raport me numrin e atyre të </w:t>
            </w:r>
            <w:r w:rsidRPr="00795698">
              <w:rPr>
                <w:rFonts w:ascii="Arial" w:hAnsi="Arial" w:cs="Arial"/>
                <w:color w:val="000000"/>
                <w:sz w:val="4"/>
                <w:szCs w:val="4"/>
                <w:lang w:eastAsia="sq-AL"/>
              </w:rPr>
              <w:lastRenderedPageBreak/>
              <w:t>parashikuar për përfitimin e kësaj ndihme për vitin aktual* 100%.</w:t>
            </w:r>
          </w:p>
        </w:tc>
        <w:tc>
          <w:tcPr>
            <w:tcW w:w="110" w:type="pct"/>
            <w:tcBorders>
              <w:top w:val="single" w:sz="4" w:space="0" w:color="000000"/>
              <w:left w:val="nil"/>
              <w:bottom w:val="nil"/>
              <w:right w:val="single" w:sz="4" w:space="0" w:color="000000"/>
            </w:tcBorders>
            <w:shd w:val="clear" w:color="auto" w:fill="auto"/>
            <w:vAlign w:val="center"/>
            <w:hideMark/>
          </w:tcPr>
          <w:p w14:paraId="5FEF278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lastRenderedPageBreak/>
              <w:t>N/A</w:t>
            </w:r>
          </w:p>
        </w:tc>
        <w:tc>
          <w:tcPr>
            <w:tcW w:w="170" w:type="pct"/>
            <w:tcBorders>
              <w:top w:val="single" w:sz="4" w:space="0" w:color="000000"/>
              <w:left w:val="nil"/>
              <w:bottom w:val="nil"/>
              <w:right w:val="single" w:sz="4" w:space="0" w:color="000000"/>
            </w:tcBorders>
            <w:shd w:val="clear" w:color="auto" w:fill="auto"/>
            <w:vAlign w:val="center"/>
            <w:hideMark/>
          </w:tcPr>
          <w:p w14:paraId="5FEF278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single" w:sz="4" w:space="0" w:color="000000"/>
              <w:left w:val="nil"/>
              <w:bottom w:val="nil"/>
              <w:right w:val="single" w:sz="4" w:space="0" w:color="000000"/>
            </w:tcBorders>
            <w:shd w:val="clear" w:color="auto" w:fill="auto"/>
            <w:vAlign w:val="center"/>
            <w:hideMark/>
          </w:tcPr>
          <w:p w14:paraId="5FEF278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nil"/>
              <w:right w:val="single" w:sz="4" w:space="0" w:color="auto"/>
            </w:tcBorders>
            <w:shd w:val="clear" w:color="auto" w:fill="auto"/>
            <w:noWrap/>
            <w:vAlign w:val="center"/>
            <w:hideMark/>
          </w:tcPr>
          <w:p w14:paraId="5FEF278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nil"/>
              <w:left w:val="nil"/>
              <w:bottom w:val="nil"/>
              <w:right w:val="single" w:sz="4" w:space="0" w:color="auto"/>
            </w:tcBorders>
            <w:shd w:val="clear" w:color="auto" w:fill="auto"/>
            <w:vAlign w:val="center"/>
            <w:hideMark/>
          </w:tcPr>
          <w:p w14:paraId="5FEF278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single" w:sz="4" w:space="0" w:color="auto"/>
              <w:left w:val="nil"/>
              <w:bottom w:val="nil"/>
              <w:right w:val="single" w:sz="4" w:space="0" w:color="auto"/>
            </w:tcBorders>
            <w:shd w:val="clear" w:color="auto" w:fill="auto"/>
            <w:vAlign w:val="center"/>
            <w:hideMark/>
          </w:tcPr>
          <w:p w14:paraId="5FEF278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0</w:t>
            </w:r>
          </w:p>
        </w:tc>
        <w:tc>
          <w:tcPr>
            <w:tcW w:w="104" w:type="pct"/>
            <w:tcBorders>
              <w:top w:val="single" w:sz="4" w:space="0" w:color="auto"/>
              <w:left w:val="nil"/>
              <w:bottom w:val="nil"/>
              <w:right w:val="single" w:sz="4" w:space="0" w:color="auto"/>
            </w:tcBorders>
            <w:shd w:val="clear" w:color="auto" w:fill="auto"/>
            <w:vAlign w:val="center"/>
            <w:hideMark/>
          </w:tcPr>
          <w:p w14:paraId="5FEF278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200</w:t>
            </w:r>
          </w:p>
        </w:tc>
        <w:tc>
          <w:tcPr>
            <w:tcW w:w="104" w:type="pct"/>
            <w:tcBorders>
              <w:top w:val="single" w:sz="4" w:space="0" w:color="auto"/>
              <w:left w:val="nil"/>
              <w:bottom w:val="nil"/>
              <w:right w:val="single" w:sz="4" w:space="0" w:color="auto"/>
            </w:tcBorders>
            <w:shd w:val="clear" w:color="auto" w:fill="auto"/>
            <w:vAlign w:val="center"/>
            <w:hideMark/>
          </w:tcPr>
          <w:p w14:paraId="5FEF278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single" w:sz="4" w:space="0" w:color="auto"/>
              <w:left w:val="nil"/>
              <w:bottom w:val="nil"/>
              <w:right w:val="single" w:sz="4" w:space="0" w:color="auto"/>
            </w:tcBorders>
            <w:shd w:val="clear" w:color="auto" w:fill="auto"/>
            <w:vAlign w:val="center"/>
            <w:hideMark/>
          </w:tcPr>
          <w:p w14:paraId="5FEF278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450</w:t>
            </w:r>
          </w:p>
        </w:tc>
        <w:tc>
          <w:tcPr>
            <w:tcW w:w="104" w:type="pct"/>
            <w:tcBorders>
              <w:top w:val="single" w:sz="4" w:space="0" w:color="auto"/>
              <w:left w:val="nil"/>
              <w:bottom w:val="nil"/>
              <w:right w:val="single" w:sz="4" w:space="0" w:color="auto"/>
            </w:tcBorders>
            <w:shd w:val="clear" w:color="auto" w:fill="auto"/>
            <w:vAlign w:val="center"/>
            <w:hideMark/>
          </w:tcPr>
          <w:p w14:paraId="5FEF278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single" w:sz="4" w:space="0" w:color="auto"/>
              <w:left w:val="nil"/>
              <w:bottom w:val="nil"/>
              <w:right w:val="single" w:sz="4" w:space="0" w:color="auto"/>
            </w:tcBorders>
            <w:shd w:val="clear" w:color="auto" w:fill="auto"/>
            <w:vAlign w:val="center"/>
            <w:hideMark/>
          </w:tcPr>
          <w:p w14:paraId="5FEF278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700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9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9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900</w:t>
            </w:r>
          </w:p>
        </w:tc>
        <w:tc>
          <w:tcPr>
            <w:tcW w:w="188" w:type="pct"/>
            <w:tcBorders>
              <w:top w:val="nil"/>
              <w:left w:val="nil"/>
              <w:bottom w:val="single" w:sz="4" w:space="0" w:color="auto"/>
              <w:right w:val="single" w:sz="4" w:space="0" w:color="auto"/>
            </w:tcBorders>
            <w:shd w:val="clear" w:color="auto" w:fill="auto"/>
            <w:vAlign w:val="center"/>
            <w:hideMark/>
          </w:tcPr>
          <w:p w14:paraId="5FEF2792" w14:textId="140CE4A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79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9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Shtylla 16 - Promovimi i shoqërive gjithëpërfshirëse për një zhvillimin të qëndrueshëm, ofrimi i qasjes së barabartë, drejtësi për të gjithë dhe ndërtimi i institucioneve efektive, të përgjegjshme dhe gjithëpërfshirëse në të gjitha </w:t>
            </w:r>
            <w:r w:rsidRPr="00795698">
              <w:rPr>
                <w:rFonts w:ascii="Arial" w:hAnsi="Arial" w:cs="Arial"/>
                <w:color w:val="000000"/>
                <w:sz w:val="4"/>
                <w:szCs w:val="4"/>
                <w:lang w:eastAsia="sq-AL"/>
              </w:rPr>
              <w:lastRenderedPageBreak/>
              <w:t>nivelet.</w:t>
            </w:r>
          </w:p>
        </w:tc>
        <w:tc>
          <w:tcPr>
            <w:tcW w:w="196" w:type="pct"/>
            <w:tcBorders>
              <w:top w:val="nil"/>
              <w:left w:val="nil"/>
              <w:bottom w:val="single" w:sz="4" w:space="0" w:color="auto"/>
              <w:right w:val="single" w:sz="4" w:space="0" w:color="auto"/>
            </w:tcBorders>
            <w:shd w:val="clear" w:color="auto" w:fill="auto"/>
            <w:vAlign w:val="center"/>
            <w:hideMark/>
          </w:tcPr>
          <w:p w14:paraId="5FEF2795"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lastRenderedPageBreak/>
              <w:t xml:space="preserve">Deri në vitin 2030, të sigurohet promovimi i shoqërive gjithëpërfshirëse për një zhvillimin të qëndrueshëm, ofrim i qasjes së barabartë, drejtësi për të gjithë dhe ndërtimi i institucioneve efektive, të përgjegjshme dhe </w:t>
            </w:r>
            <w:r w:rsidRPr="00795698">
              <w:rPr>
                <w:rFonts w:ascii="Arial" w:hAnsi="Arial" w:cs="Arial"/>
                <w:color w:val="000000"/>
                <w:sz w:val="4"/>
                <w:szCs w:val="4"/>
                <w:lang w:eastAsia="sq-AL"/>
              </w:rPr>
              <w:lastRenderedPageBreak/>
              <w:t>gjithëpërfshirëse në të gjitha nivelet</w:t>
            </w:r>
          </w:p>
        </w:tc>
      </w:tr>
      <w:tr w:rsidR="00F6012F" w:rsidRPr="00795698" w14:paraId="5FEF27B8"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9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lastRenderedPageBreak/>
              <w:t>7</w:t>
            </w:r>
          </w:p>
        </w:tc>
        <w:tc>
          <w:tcPr>
            <w:tcW w:w="151" w:type="pct"/>
            <w:tcBorders>
              <w:top w:val="nil"/>
              <w:left w:val="nil"/>
              <w:bottom w:val="single" w:sz="4" w:space="0" w:color="auto"/>
              <w:right w:val="single" w:sz="4" w:space="0" w:color="auto"/>
            </w:tcBorders>
            <w:shd w:val="clear" w:color="auto" w:fill="auto"/>
            <w:vAlign w:val="center"/>
            <w:hideMark/>
          </w:tcPr>
          <w:p w14:paraId="5FEF279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Rezultati</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5FEF2799" w14:textId="2248A51A"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Indeksi i personave të radikalizuar, në risk për t</w:t>
            </w:r>
            <w:r w:rsidR="0041767D" w:rsidRPr="00795698">
              <w:rPr>
                <w:rFonts w:ascii="Arial" w:hAnsi="Arial" w:cs="Arial"/>
                <w:color w:val="000000"/>
                <w:sz w:val="4"/>
                <w:szCs w:val="4"/>
                <w:lang w:eastAsia="sq-AL"/>
              </w:rPr>
              <w:t>’</w:t>
            </w:r>
            <w:r w:rsidRPr="00795698">
              <w:rPr>
                <w:rFonts w:ascii="Arial" w:hAnsi="Arial" w:cs="Arial"/>
                <w:color w:val="000000"/>
                <w:sz w:val="4"/>
                <w:szCs w:val="4"/>
                <w:lang w:eastAsia="sq-AL"/>
              </w:rPr>
              <w:t>u radikalizuar dhe të kthyerve nga vendet e luftës të punësuar nga bizneset.</w:t>
            </w:r>
          </w:p>
        </w:tc>
        <w:tc>
          <w:tcPr>
            <w:tcW w:w="157" w:type="pct"/>
            <w:tcBorders>
              <w:top w:val="nil"/>
              <w:left w:val="nil"/>
              <w:bottom w:val="single" w:sz="4" w:space="0" w:color="auto"/>
              <w:right w:val="single" w:sz="4" w:space="0" w:color="auto"/>
            </w:tcBorders>
            <w:shd w:val="clear" w:color="auto" w:fill="auto"/>
            <w:vAlign w:val="center"/>
            <w:hideMark/>
          </w:tcPr>
          <w:p w14:paraId="5FEF279A"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9B" w14:textId="6148C688"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9C"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2: Zhvillimi i komunikimit strategjik</w:t>
            </w:r>
          </w:p>
        </w:tc>
        <w:tc>
          <w:tcPr>
            <w:tcW w:w="219" w:type="pct"/>
            <w:tcBorders>
              <w:top w:val="nil"/>
              <w:left w:val="nil"/>
              <w:bottom w:val="single" w:sz="4" w:space="0" w:color="auto"/>
              <w:right w:val="single" w:sz="4" w:space="0" w:color="auto"/>
            </w:tcBorders>
            <w:shd w:val="clear" w:color="auto" w:fill="auto"/>
            <w:vAlign w:val="center"/>
            <w:hideMark/>
          </w:tcPr>
          <w:p w14:paraId="5FEF279D" w14:textId="29CE8C0C"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Objektivi Specifik 2.1: Komunikimi strategjik dhe </w:t>
            </w:r>
            <w:r w:rsidR="00C62D65" w:rsidRPr="00795698">
              <w:rPr>
                <w:rFonts w:ascii="Arial" w:hAnsi="Arial" w:cs="Arial"/>
                <w:color w:val="000000"/>
                <w:sz w:val="4"/>
                <w:szCs w:val="4"/>
                <w:lang w:eastAsia="sq-AL"/>
              </w:rPr>
              <w:t>kundër</w:t>
            </w:r>
            <w:r w:rsidRPr="00795698">
              <w:rPr>
                <w:rFonts w:ascii="Arial" w:hAnsi="Arial" w:cs="Arial"/>
                <w:color w:val="000000"/>
                <w:sz w:val="4"/>
                <w:szCs w:val="4"/>
                <w:lang w:eastAsia="sq-AL"/>
              </w:rPr>
              <w:t>narrativa online e ekstremizmit të dhunshëm</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dhe radikalizmit</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5FEF279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Informacione nga AIDA</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5FEF279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MFE</w:t>
            </w:r>
          </w:p>
        </w:tc>
        <w:tc>
          <w:tcPr>
            <w:tcW w:w="174" w:type="pct"/>
            <w:tcBorders>
              <w:top w:val="single" w:sz="4" w:space="0" w:color="auto"/>
              <w:left w:val="nil"/>
              <w:bottom w:val="single" w:sz="4" w:space="0" w:color="auto"/>
              <w:right w:val="single" w:sz="4" w:space="0" w:color="auto"/>
            </w:tcBorders>
            <w:shd w:val="clear" w:color="auto" w:fill="auto"/>
            <w:vAlign w:val="center"/>
            <w:hideMark/>
          </w:tcPr>
          <w:p w14:paraId="5FEF27A0" w14:textId="6F726F56"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NJVV,</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Dhomat e Tregtisë, AIDA</w:t>
            </w:r>
          </w:p>
        </w:tc>
        <w:tc>
          <w:tcPr>
            <w:tcW w:w="266" w:type="pct"/>
            <w:tcBorders>
              <w:top w:val="single" w:sz="4" w:space="0" w:color="auto"/>
              <w:left w:val="nil"/>
              <w:bottom w:val="single" w:sz="4" w:space="0" w:color="auto"/>
              <w:right w:val="single" w:sz="4" w:space="0" w:color="auto"/>
            </w:tcBorders>
            <w:shd w:val="clear" w:color="auto" w:fill="auto"/>
            <w:vAlign w:val="center"/>
            <w:hideMark/>
          </w:tcPr>
          <w:p w14:paraId="5FEF27A1" w14:textId="12032D7B"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Indikatori përllogarit bizneset të cilët kanë punësuar persona të radikalizuar në risk për t</w:t>
            </w:r>
            <w:r w:rsidR="0041767D" w:rsidRPr="00795698">
              <w:rPr>
                <w:rFonts w:ascii="Arial" w:hAnsi="Arial" w:cs="Arial"/>
                <w:color w:val="000000"/>
                <w:sz w:val="4"/>
                <w:szCs w:val="4"/>
                <w:lang w:eastAsia="sq-AL"/>
              </w:rPr>
              <w:t>’</w:t>
            </w:r>
            <w:r w:rsidRPr="00795698">
              <w:rPr>
                <w:rFonts w:ascii="Arial" w:hAnsi="Arial" w:cs="Arial"/>
                <w:color w:val="000000"/>
                <w:sz w:val="4"/>
                <w:szCs w:val="4"/>
                <w:lang w:eastAsia="sq-AL"/>
              </w:rPr>
              <w:t>u radikalizuar dhe të kthyerve nga vendet e luftës të referuar nga NJVV.</w:t>
            </w:r>
          </w:p>
        </w:tc>
        <w:tc>
          <w:tcPr>
            <w:tcW w:w="121" w:type="pct"/>
            <w:tcBorders>
              <w:top w:val="nil"/>
              <w:left w:val="nil"/>
              <w:bottom w:val="single" w:sz="4" w:space="0" w:color="auto"/>
              <w:right w:val="single" w:sz="4" w:space="0" w:color="auto"/>
            </w:tcBorders>
            <w:shd w:val="clear" w:color="auto" w:fill="auto"/>
            <w:vAlign w:val="center"/>
            <w:hideMark/>
          </w:tcPr>
          <w:p w14:paraId="5FEF27A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A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single" w:sz="4" w:space="0" w:color="000000"/>
              <w:left w:val="nil"/>
              <w:bottom w:val="nil"/>
              <w:right w:val="nil"/>
            </w:tcBorders>
            <w:shd w:val="clear" w:color="auto" w:fill="auto"/>
            <w:noWrap/>
            <w:vAlign w:val="center"/>
            <w:hideMark/>
          </w:tcPr>
          <w:p w14:paraId="5FEF27A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single" w:sz="4" w:space="0" w:color="auto"/>
              <w:left w:val="single" w:sz="4" w:space="0" w:color="auto"/>
              <w:bottom w:val="nil"/>
              <w:right w:val="single" w:sz="4" w:space="0" w:color="auto"/>
            </w:tcBorders>
            <w:shd w:val="clear" w:color="auto" w:fill="auto"/>
            <w:noWrap/>
            <w:vAlign w:val="center"/>
            <w:hideMark/>
          </w:tcPr>
          <w:p w14:paraId="5FEF27A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I përbërë</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5FEF27A6" w14:textId="29D03CB6" w:rsidR="00F6012F" w:rsidRPr="00795698" w:rsidRDefault="00F6012F" w:rsidP="00CA234B">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bizneseve të cilët kanë punesuar persona të radikalizuar ose ata n</w:t>
            </w:r>
            <w:r w:rsidR="00CA234B"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risk për t</w:t>
            </w:r>
            <w:r w:rsidR="0041767D" w:rsidRPr="00795698">
              <w:rPr>
                <w:rFonts w:ascii="Arial" w:hAnsi="Arial" w:cs="Arial"/>
                <w:color w:val="000000"/>
                <w:sz w:val="4"/>
                <w:szCs w:val="4"/>
                <w:lang w:eastAsia="sq-AL"/>
              </w:rPr>
              <w:t>’</w:t>
            </w:r>
            <w:r w:rsidRPr="00795698">
              <w:rPr>
                <w:rFonts w:ascii="Arial" w:hAnsi="Arial" w:cs="Arial"/>
                <w:color w:val="000000"/>
                <w:sz w:val="4"/>
                <w:szCs w:val="4"/>
                <w:lang w:eastAsia="sq-AL"/>
              </w:rPr>
              <w:t>u radikalizuar</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si dhe ata</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të kthyer nga vendet e luftës dhe të aftë profesionalisht, në raport me numrin e atyre të parashikuar për vitin aktual* 100%.</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5FEF27A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single" w:sz="4" w:space="0" w:color="auto"/>
              <w:left w:val="nil"/>
              <w:bottom w:val="single" w:sz="4" w:space="0" w:color="auto"/>
              <w:right w:val="single" w:sz="4" w:space="0" w:color="auto"/>
            </w:tcBorders>
            <w:shd w:val="clear" w:color="auto" w:fill="auto"/>
            <w:vAlign w:val="center"/>
            <w:hideMark/>
          </w:tcPr>
          <w:p w14:paraId="5FEF27A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single" w:sz="4" w:space="0" w:color="auto"/>
              <w:left w:val="nil"/>
              <w:bottom w:val="single" w:sz="4" w:space="0" w:color="auto"/>
              <w:right w:val="single" w:sz="4" w:space="0" w:color="auto"/>
            </w:tcBorders>
            <w:shd w:val="clear" w:color="auto" w:fill="auto"/>
            <w:vAlign w:val="center"/>
            <w:hideMark/>
          </w:tcPr>
          <w:p w14:paraId="5FEF27A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single" w:sz="4" w:space="0" w:color="auto"/>
              <w:left w:val="nil"/>
              <w:bottom w:val="single" w:sz="4" w:space="0" w:color="auto"/>
              <w:right w:val="single" w:sz="4" w:space="0" w:color="auto"/>
            </w:tcBorders>
            <w:shd w:val="clear" w:color="auto" w:fill="auto"/>
            <w:noWrap/>
            <w:vAlign w:val="center"/>
            <w:hideMark/>
          </w:tcPr>
          <w:p w14:paraId="5FEF27A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A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A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AD"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50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A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AF"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150</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B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7B1"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250</w:t>
            </w:r>
          </w:p>
        </w:tc>
        <w:tc>
          <w:tcPr>
            <w:tcW w:w="104" w:type="pct"/>
            <w:tcBorders>
              <w:top w:val="nil"/>
              <w:left w:val="nil"/>
              <w:bottom w:val="single" w:sz="4" w:space="0" w:color="auto"/>
              <w:right w:val="single" w:sz="4" w:space="0" w:color="auto"/>
            </w:tcBorders>
            <w:shd w:val="clear" w:color="auto" w:fill="auto"/>
            <w:vAlign w:val="center"/>
            <w:hideMark/>
          </w:tcPr>
          <w:p w14:paraId="5FEF27B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7B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300</w:t>
            </w:r>
          </w:p>
        </w:tc>
        <w:tc>
          <w:tcPr>
            <w:tcW w:w="188" w:type="pct"/>
            <w:tcBorders>
              <w:top w:val="nil"/>
              <w:left w:val="nil"/>
              <w:bottom w:val="single" w:sz="4" w:space="0" w:color="auto"/>
              <w:right w:val="single" w:sz="4" w:space="0" w:color="auto"/>
            </w:tcBorders>
            <w:shd w:val="clear" w:color="auto" w:fill="auto"/>
            <w:vAlign w:val="center"/>
            <w:hideMark/>
          </w:tcPr>
          <w:p w14:paraId="5FEF27B4" w14:textId="6E2420CF"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nil"/>
              <w:right w:val="nil"/>
            </w:tcBorders>
            <w:shd w:val="clear" w:color="auto" w:fill="auto"/>
            <w:noWrap/>
            <w:vAlign w:val="center"/>
            <w:hideMark/>
          </w:tcPr>
          <w:p w14:paraId="5FEF27B5" w14:textId="77777777" w:rsidR="00F6012F" w:rsidRPr="00795698" w:rsidRDefault="00F6012F" w:rsidP="00F6012F">
            <w:pPr>
              <w:jc w:val="center"/>
              <w:rPr>
                <w:rFonts w:ascii="Arial" w:hAnsi="Arial" w:cs="Arial"/>
                <w:color w:val="000000"/>
                <w:sz w:val="4"/>
                <w:szCs w:val="4"/>
                <w:lang w:eastAsia="sq-AL"/>
              </w:rPr>
            </w:pPr>
          </w:p>
        </w:tc>
        <w:tc>
          <w:tcPr>
            <w:tcW w:w="196" w:type="pct"/>
            <w:tcBorders>
              <w:top w:val="nil"/>
              <w:left w:val="single" w:sz="4" w:space="0" w:color="auto"/>
              <w:bottom w:val="single" w:sz="4" w:space="0" w:color="auto"/>
              <w:right w:val="single" w:sz="4" w:space="0" w:color="auto"/>
            </w:tcBorders>
            <w:shd w:val="clear" w:color="auto" w:fill="auto"/>
            <w:vAlign w:val="center"/>
            <w:hideMark/>
          </w:tcPr>
          <w:p w14:paraId="5FEF27B6"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B7"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DA"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B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8</w:t>
            </w:r>
          </w:p>
        </w:tc>
        <w:tc>
          <w:tcPr>
            <w:tcW w:w="151" w:type="pct"/>
            <w:tcBorders>
              <w:top w:val="nil"/>
              <w:left w:val="nil"/>
              <w:bottom w:val="single" w:sz="4" w:space="0" w:color="auto"/>
              <w:right w:val="single" w:sz="4" w:space="0" w:color="auto"/>
            </w:tcBorders>
            <w:shd w:val="clear" w:color="auto" w:fill="auto"/>
            <w:vAlign w:val="center"/>
            <w:hideMark/>
          </w:tcPr>
          <w:p w14:paraId="5FEF27B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single" w:sz="4" w:space="0" w:color="auto"/>
              <w:right w:val="single" w:sz="4" w:space="0" w:color="auto"/>
            </w:tcBorders>
            <w:shd w:val="clear" w:color="auto" w:fill="auto"/>
            <w:vAlign w:val="center"/>
            <w:hideMark/>
          </w:tcPr>
          <w:p w14:paraId="5FEF27BB" w14:textId="04B68D88"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Numri i anëtarëve të</w:t>
            </w:r>
            <w:r w:rsidR="007C064A" w:rsidRPr="00795698">
              <w:rPr>
                <w:rFonts w:ascii="Arial" w:hAnsi="Arial" w:cs="Arial"/>
                <w:sz w:val="4"/>
                <w:szCs w:val="4"/>
                <w:lang w:eastAsia="sq-AL"/>
              </w:rPr>
              <w:t xml:space="preserve"> </w:t>
            </w:r>
            <w:r w:rsidRPr="00795698">
              <w:rPr>
                <w:rFonts w:ascii="Arial" w:hAnsi="Arial" w:cs="Arial"/>
                <w:sz w:val="4"/>
                <w:szCs w:val="4"/>
                <w:lang w:eastAsia="sq-AL"/>
              </w:rPr>
              <w:t>strukturave rajonale dhe vendore të AKPA të trajnuar për përfshirjen në programet e nxitjes së punësimit të personave të radikalizuar ose të kthyerve nga zonat e konfliktit;</w:t>
            </w:r>
          </w:p>
        </w:tc>
        <w:tc>
          <w:tcPr>
            <w:tcW w:w="157" w:type="pct"/>
            <w:tcBorders>
              <w:top w:val="nil"/>
              <w:left w:val="nil"/>
              <w:bottom w:val="single" w:sz="4" w:space="0" w:color="auto"/>
              <w:right w:val="single" w:sz="4" w:space="0" w:color="auto"/>
            </w:tcBorders>
            <w:shd w:val="clear" w:color="auto" w:fill="auto"/>
            <w:vAlign w:val="center"/>
            <w:hideMark/>
          </w:tcPr>
          <w:p w14:paraId="5FEF27BC"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BD" w14:textId="3B7B64B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BE"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3: Reagim nëpërmjet reduktimit dhe lehtësimit të pasojave të fenomeneve të radikalizmit, ekstremizmit të dhunshëm dhe terrorizmit</w:t>
            </w:r>
          </w:p>
        </w:tc>
        <w:tc>
          <w:tcPr>
            <w:tcW w:w="219" w:type="pct"/>
            <w:tcBorders>
              <w:top w:val="nil"/>
              <w:left w:val="nil"/>
              <w:bottom w:val="single" w:sz="4" w:space="0" w:color="auto"/>
              <w:right w:val="single" w:sz="4" w:space="0" w:color="auto"/>
            </w:tcBorders>
            <w:shd w:val="clear" w:color="auto" w:fill="auto"/>
            <w:vAlign w:val="center"/>
            <w:hideMark/>
          </w:tcPr>
          <w:p w14:paraId="5FEF27BF" w14:textId="47F03D1E" w:rsidR="00F6012F" w:rsidRPr="00795698" w:rsidRDefault="00F6012F" w:rsidP="00C62D65">
            <w:pPr>
              <w:rPr>
                <w:rFonts w:ascii="Arial" w:hAnsi="Arial" w:cs="Arial"/>
                <w:color w:val="000000"/>
                <w:sz w:val="4"/>
                <w:szCs w:val="4"/>
                <w:lang w:eastAsia="sq-AL"/>
              </w:rPr>
            </w:pPr>
            <w:r w:rsidRPr="00795698">
              <w:rPr>
                <w:rFonts w:ascii="Arial" w:hAnsi="Arial" w:cs="Arial"/>
                <w:color w:val="000000"/>
                <w:sz w:val="4"/>
                <w:szCs w:val="4"/>
                <w:lang w:eastAsia="sq-AL"/>
              </w:rPr>
              <w:t>Objektivi Specifik 3.1: Përmirësim i infrastrukturës dhe ngritje kapacitetesh të punonjësve të institucioneve publike për zhvillimin e programeve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rehabilitimit dhe riintegrimit për personat e radikalizuar ose të kthyerit nga zonat e konfliktit</w:t>
            </w:r>
          </w:p>
        </w:tc>
        <w:tc>
          <w:tcPr>
            <w:tcW w:w="183" w:type="pct"/>
            <w:tcBorders>
              <w:top w:val="nil"/>
              <w:left w:val="nil"/>
              <w:bottom w:val="single" w:sz="4" w:space="0" w:color="auto"/>
              <w:right w:val="single" w:sz="4" w:space="0" w:color="auto"/>
            </w:tcBorders>
            <w:shd w:val="clear" w:color="auto" w:fill="auto"/>
            <w:vAlign w:val="center"/>
            <w:hideMark/>
          </w:tcPr>
          <w:p w14:paraId="5FEF27C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Evidenca të programeve të trainimeve</w:t>
            </w:r>
          </w:p>
        </w:tc>
        <w:tc>
          <w:tcPr>
            <w:tcW w:w="169" w:type="pct"/>
            <w:tcBorders>
              <w:top w:val="nil"/>
              <w:left w:val="nil"/>
              <w:bottom w:val="single" w:sz="4" w:space="0" w:color="auto"/>
              <w:right w:val="single" w:sz="4" w:space="0" w:color="auto"/>
            </w:tcBorders>
            <w:shd w:val="clear" w:color="auto" w:fill="auto"/>
            <w:vAlign w:val="center"/>
            <w:hideMark/>
          </w:tcPr>
          <w:p w14:paraId="5FEF27C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MFE</w:t>
            </w:r>
          </w:p>
        </w:tc>
        <w:tc>
          <w:tcPr>
            <w:tcW w:w="174" w:type="pct"/>
            <w:tcBorders>
              <w:top w:val="nil"/>
              <w:left w:val="nil"/>
              <w:bottom w:val="nil"/>
              <w:right w:val="single" w:sz="4" w:space="0" w:color="auto"/>
            </w:tcBorders>
            <w:shd w:val="clear" w:color="auto" w:fill="auto"/>
            <w:vAlign w:val="center"/>
            <w:hideMark/>
          </w:tcPr>
          <w:p w14:paraId="5FEF27C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xml:space="preserve">AKPA, Donatorë </w:t>
            </w:r>
          </w:p>
        </w:tc>
        <w:tc>
          <w:tcPr>
            <w:tcW w:w="266" w:type="pct"/>
            <w:tcBorders>
              <w:top w:val="nil"/>
              <w:left w:val="nil"/>
              <w:bottom w:val="single" w:sz="4" w:space="0" w:color="auto"/>
              <w:right w:val="single" w:sz="4" w:space="0" w:color="auto"/>
            </w:tcBorders>
            <w:shd w:val="clear" w:color="auto" w:fill="auto"/>
            <w:vAlign w:val="center"/>
            <w:hideMark/>
          </w:tcPr>
          <w:p w14:paraId="5FEF27C3"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 këtë indikator do të raportohet numri i anëtarëve të strukturave rajonale dhe vendore të AKPA të trajnuar për përfshirjen në programet e nxitjes së punësimit të personave të radikalizuar ose të kthyerve nga zonat e konfliktit.</w:t>
            </w:r>
          </w:p>
        </w:tc>
        <w:tc>
          <w:tcPr>
            <w:tcW w:w="121" w:type="pct"/>
            <w:tcBorders>
              <w:top w:val="nil"/>
              <w:left w:val="nil"/>
              <w:bottom w:val="single" w:sz="4" w:space="0" w:color="auto"/>
              <w:right w:val="single" w:sz="4" w:space="0" w:color="auto"/>
            </w:tcBorders>
            <w:shd w:val="clear" w:color="auto" w:fill="auto"/>
            <w:vAlign w:val="center"/>
            <w:hideMark/>
          </w:tcPr>
          <w:p w14:paraId="5FEF27C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C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14:paraId="5FEF27C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single" w:sz="4" w:space="0" w:color="auto"/>
              <w:left w:val="nil"/>
              <w:bottom w:val="single" w:sz="4" w:space="0" w:color="auto"/>
              <w:right w:val="single" w:sz="4" w:space="0" w:color="auto"/>
            </w:tcBorders>
            <w:shd w:val="clear" w:color="auto" w:fill="auto"/>
            <w:noWrap/>
            <w:vAlign w:val="center"/>
            <w:hideMark/>
          </w:tcPr>
          <w:p w14:paraId="5FEF27C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7C8" w14:textId="093FE3CE"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anëtarëve të</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strukturave rajonale dhe vendore të AKPA të trajnuar për përfshirjen në programet e nxitjes së punësimit të personave të radikalizuar ose të kthyerve nga zonat e konfliktit, në raport me numrin e atyre të parashikuar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7C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7C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7C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7C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nil"/>
              <w:left w:val="nil"/>
              <w:bottom w:val="single" w:sz="4" w:space="0" w:color="auto"/>
              <w:right w:val="single" w:sz="4" w:space="0" w:color="auto"/>
            </w:tcBorders>
            <w:shd w:val="clear" w:color="auto" w:fill="auto"/>
            <w:vAlign w:val="center"/>
            <w:hideMark/>
          </w:tcPr>
          <w:p w14:paraId="5FEF27C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single" w:sz="4" w:space="0" w:color="auto"/>
              <w:right w:val="single" w:sz="4" w:space="0" w:color="auto"/>
            </w:tcBorders>
            <w:shd w:val="clear" w:color="auto" w:fill="auto"/>
            <w:vAlign w:val="center"/>
            <w:hideMark/>
          </w:tcPr>
          <w:p w14:paraId="5FEF27C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0</w:t>
            </w:r>
          </w:p>
        </w:tc>
        <w:tc>
          <w:tcPr>
            <w:tcW w:w="104" w:type="pct"/>
            <w:tcBorders>
              <w:top w:val="nil"/>
              <w:left w:val="nil"/>
              <w:bottom w:val="single" w:sz="4" w:space="0" w:color="auto"/>
              <w:right w:val="single" w:sz="4" w:space="0" w:color="auto"/>
            </w:tcBorders>
            <w:shd w:val="clear" w:color="auto" w:fill="auto"/>
            <w:vAlign w:val="center"/>
            <w:hideMark/>
          </w:tcPr>
          <w:p w14:paraId="5FEF27C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100</w:t>
            </w:r>
          </w:p>
        </w:tc>
        <w:tc>
          <w:tcPr>
            <w:tcW w:w="104" w:type="pct"/>
            <w:tcBorders>
              <w:top w:val="nil"/>
              <w:left w:val="nil"/>
              <w:bottom w:val="single" w:sz="4" w:space="0" w:color="auto"/>
              <w:right w:val="single" w:sz="4" w:space="0" w:color="auto"/>
            </w:tcBorders>
            <w:shd w:val="clear" w:color="auto" w:fill="auto"/>
            <w:vAlign w:val="center"/>
            <w:hideMark/>
          </w:tcPr>
          <w:p w14:paraId="5FEF27D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7D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200</w:t>
            </w:r>
          </w:p>
        </w:tc>
        <w:tc>
          <w:tcPr>
            <w:tcW w:w="104" w:type="pct"/>
            <w:tcBorders>
              <w:top w:val="nil"/>
              <w:left w:val="nil"/>
              <w:bottom w:val="single" w:sz="4" w:space="0" w:color="auto"/>
              <w:right w:val="single" w:sz="4" w:space="0" w:color="auto"/>
            </w:tcBorders>
            <w:shd w:val="clear" w:color="auto" w:fill="auto"/>
            <w:vAlign w:val="center"/>
            <w:hideMark/>
          </w:tcPr>
          <w:p w14:paraId="5FEF27D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single" w:sz="4" w:space="0" w:color="auto"/>
              <w:right w:val="single" w:sz="4" w:space="0" w:color="auto"/>
            </w:tcBorders>
            <w:shd w:val="clear" w:color="auto" w:fill="auto"/>
            <w:vAlign w:val="center"/>
            <w:hideMark/>
          </w:tcPr>
          <w:p w14:paraId="5FEF27D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300</w:t>
            </w:r>
          </w:p>
        </w:tc>
        <w:tc>
          <w:tcPr>
            <w:tcW w:w="104" w:type="pct"/>
            <w:tcBorders>
              <w:top w:val="nil"/>
              <w:left w:val="nil"/>
              <w:bottom w:val="single" w:sz="4" w:space="0" w:color="auto"/>
              <w:right w:val="single" w:sz="4" w:space="0" w:color="auto"/>
            </w:tcBorders>
            <w:shd w:val="clear" w:color="auto" w:fill="auto"/>
            <w:vAlign w:val="center"/>
            <w:hideMark/>
          </w:tcPr>
          <w:p w14:paraId="5FEF27D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7D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400</w:t>
            </w:r>
          </w:p>
        </w:tc>
        <w:tc>
          <w:tcPr>
            <w:tcW w:w="188" w:type="pct"/>
            <w:tcBorders>
              <w:top w:val="nil"/>
              <w:left w:val="nil"/>
              <w:bottom w:val="single" w:sz="4" w:space="0" w:color="auto"/>
              <w:right w:val="single" w:sz="4" w:space="0" w:color="auto"/>
            </w:tcBorders>
            <w:shd w:val="clear" w:color="auto" w:fill="auto"/>
            <w:vAlign w:val="center"/>
            <w:hideMark/>
          </w:tcPr>
          <w:p w14:paraId="5FEF27D6" w14:textId="559A213A"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single" w:sz="4" w:space="0" w:color="auto"/>
              <w:left w:val="nil"/>
              <w:bottom w:val="single" w:sz="4" w:space="0" w:color="auto"/>
              <w:right w:val="single" w:sz="4" w:space="0" w:color="auto"/>
            </w:tcBorders>
            <w:shd w:val="clear" w:color="auto" w:fill="auto"/>
            <w:vAlign w:val="center"/>
            <w:hideMark/>
          </w:tcPr>
          <w:p w14:paraId="5FEF27D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D8"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D9"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7FC"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7D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9</w:t>
            </w:r>
          </w:p>
        </w:tc>
        <w:tc>
          <w:tcPr>
            <w:tcW w:w="151" w:type="pct"/>
            <w:tcBorders>
              <w:top w:val="nil"/>
              <w:left w:val="nil"/>
              <w:bottom w:val="single" w:sz="4" w:space="0" w:color="auto"/>
              <w:right w:val="single" w:sz="4" w:space="0" w:color="auto"/>
            </w:tcBorders>
            <w:shd w:val="clear" w:color="auto" w:fill="auto"/>
            <w:vAlign w:val="center"/>
            <w:hideMark/>
          </w:tcPr>
          <w:p w14:paraId="5FEF27D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nil"/>
              <w:right w:val="single" w:sz="4" w:space="0" w:color="auto"/>
            </w:tcBorders>
            <w:shd w:val="clear" w:color="auto" w:fill="auto"/>
            <w:vAlign w:val="center"/>
            <w:hideMark/>
          </w:tcPr>
          <w:p w14:paraId="5FEF27DD" w14:textId="2D34E119"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Numri i</w:t>
            </w:r>
            <w:r w:rsidR="007C064A" w:rsidRPr="00795698">
              <w:rPr>
                <w:rFonts w:ascii="Arial" w:hAnsi="Arial" w:cs="Arial"/>
                <w:sz w:val="4"/>
                <w:szCs w:val="4"/>
                <w:lang w:eastAsia="sq-AL"/>
              </w:rPr>
              <w:t xml:space="preserve"> </w:t>
            </w:r>
            <w:r w:rsidRPr="00795698">
              <w:rPr>
                <w:rFonts w:ascii="Arial" w:hAnsi="Arial" w:cs="Arial"/>
                <w:sz w:val="4"/>
                <w:szCs w:val="4"/>
                <w:lang w:eastAsia="sq-AL"/>
              </w:rPr>
              <w:t>aktorëve të arsimit</w:t>
            </w:r>
            <w:r w:rsidR="007C064A" w:rsidRPr="00795698">
              <w:rPr>
                <w:rFonts w:ascii="Arial" w:hAnsi="Arial" w:cs="Arial"/>
                <w:sz w:val="4"/>
                <w:szCs w:val="4"/>
                <w:lang w:eastAsia="sq-AL"/>
              </w:rPr>
              <w:t xml:space="preserve"> </w:t>
            </w:r>
            <w:r w:rsidRPr="00795698">
              <w:rPr>
                <w:rFonts w:ascii="Arial" w:hAnsi="Arial" w:cs="Arial"/>
                <w:sz w:val="4"/>
                <w:szCs w:val="4"/>
                <w:lang w:eastAsia="sq-AL"/>
              </w:rPr>
              <w:t>parauniversitar, të trajnuar për të ndihmuar në procesin e</w:t>
            </w:r>
            <w:r w:rsidR="007C064A" w:rsidRPr="00795698">
              <w:rPr>
                <w:rFonts w:ascii="Arial" w:hAnsi="Arial" w:cs="Arial"/>
                <w:sz w:val="4"/>
                <w:szCs w:val="4"/>
                <w:lang w:eastAsia="sq-AL"/>
              </w:rPr>
              <w:t xml:space="preserve"> </w:t>
            </w:r>
            <w:r w:rsidRPr="00795698">
              <w:rPr>
                <w:rFonts w:ascii="Arial" w:hAnsi="Arial" w:cs="Arial"/>
                <w:sz w:val="4"/>
                <w:szCs w:val="4"/>
                <w:lang w:eastAsia="sq-AL"/>
              </w:rPr>
              <w:t>deradikalizmit dhe të riintegrimit.</w:t>
            </w:r>
          </w:p>
        </w:tc>
        <w:tc>
          <w:tcPr>
            <w:tcW w:w="157" w:type="pct"/>
            <w:tcBorders>
              <w:top w:val="nil"/>
              <w:left w:val="nil"/>
              <w:bottom w:val="single" w:sz="4" w:space="0" w:color="auto"/>
              <w:right w:val="single" w:sz="4" w:space="0" w:color="auto"/>
            </w:tcBorders>
            <w:shd w:val="clear" w:color="auto" w:fill="auto"/>
            <w:vAlign w:val="center"/>
            <w:hideMark/>
          </w:tcPr>
          <w:p w14:paraId="5FEF27DE"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7DF" w14:textId="468122F7"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7E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3: Reagim nëpërmjet reduktimit dhe lehtësimit të pasojave të fenomeneve të radikalizmit, ekstremizmit të dhunshëm dhe terrorizmit</w:t>
            </w:r>
          </w:p>
        </w:tc>
        <w:tc>
          <w:tcPr>
            <w:tcW w:w="219" w:type="pct"/>
            <w:tcBorders>
              <w:top w:val="nil"/>
              <w:left w:val="nil"/>
              <w:bottom w:val="single" w:sz="4" w:space="0" w:color="auto"/>
              <w:right w:val="single" w:sz="4" w:space="0" w:color="auto"/>
            </w:tcBorders>
            <w:shd w:val="clear" w:color="auto" w:fill="auto"/>
            <w:vAlign w:val="center"/>
            <w:hideMark/>
          </w:tcPr>
          <w:p w14:paraId="5FEF27E1" w14:textId="72E1E9D4" w:rsidR="00F6012F" w:rsidRPr="00795698" w:rsidRDefault="00F6012F" w:rsidP="00C62D65">
            <w:pPr>
              <w:rPr>
                <w:rFonts w:ascii="Arial" w:hAnsi="Arial" w:cs="Arial"/>
                <w:color w:val="000000"/>
                <w:sz w:val="4"/>
                <w:szCs w:val="4"/>
                <w:lang w:eastAsia="sq-AL"/>
              </w:rPr>
            </w:pPr>
            <w:r w:rsidRPr="00795698">
              <w:rPr>
                <w:rFonts w:ascii="Arial" w:hAnsi="Arial" w:cs="Arial"/>
                <w:color w:val="000000"/>
                <w:sz w:val="4"/>
                <w:szCs w:val="4"/>
                <w:lang w:eastAsia="sq-AL"/>
              </w:rPr>
              <w:t>Objektivi Specifik 3.1: Përmirësim i infrastrukturës dhe ngritje kapacitetesh të punonjësve të institucioneve publike për zhvillimin e programeve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rehabilitimit dhe riitegrimit për personat e radikalizuar ose të kthyerit nga zonat e konfliktit</w:t>
            </w:r>
          </w:p>
        </w:tc>
        <w:tc>
          <w:tcPr>
            <w:tcW w:w="183" w:type="pct"/>
            <w:tcBorders>
              <w:top w:val="nil"/>
              <w:left w:val="nil"/>
              <w:bottom w:val="single" w:sz="4" w:space="0" w:color="auto"/>
              <w:right w:val="single" w:sz="4" w:space="0" w:color="auto"/>
            </w:tcBorders>
            <w:shd w:val="clear" w:color="auto" w:fill="auto"/>
            <w:vAlign w:val="center"/>
            <w:hideMark/>
          </w:tcPr>
          <w:p w14:paraId="5FEF27E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Evidenca të programeve të trajnimeve</w:t>
            </w:r>
          </w:p>
        </w:tc>
        <w:tc>
          <w:tcPr>
            <w:tcW w:w="169" w:type="pct"/>
            <w:tcBorders>
              <w:top w:val="nil"/>
              <w:left w:val="nil"/>
              <w:bottom w:val="nil"/>
              <w:right w:val="single" w:sz="4" w:space="0" w:color="auto"/>
            </w:tcBorders>
            <w:shd w:val="clear" w:color="auto" w:fill="auto"/>
            <w:vAlign w:val="center"/>
            <w:hideMark/>
          </w:tcPr>
          <w:p w14:paraId="5FEF27E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MAS</w:t>
            </w:r>
          </w:p>
        </w:tc>
        <w:tc>
          <w:tcPr>
            <w:tcW w:w="174" w:type="pct"/>
            <w:tcBorders>
              <w:top w:val="single" w:sz="4" w:space="0" w:color="auto"/>
              <w:left w:val="nil"/>
              <w:bottom w:val="nil"/>
              <w:right w:val="single" w:sz="4" w:space="0" w:color="auto"/>
            </w:tcBorders>
            <w:shd w:val="clear" w:color="auto" w:fill="auto"/>
            <w:vAlign w:val="center"/>
            <w:hideMark/>
          </w:tcPr>
          <w:p w14:paraId="5FEF27E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xml:space="preserve">MAS; Donatorë </w:t>
            </w:r>
          </w:p>
        </w:tc>
        <w:tc>
          <w:tcPr>
            <w:tcW w:w="266" w:type="pct"/>
            <w:tcBorders>
              <w:top w:val="nil"/>
              <w:left w:val="nil"/>
              <w:bottom w:val="nil"/>
              <w:right w:val="single" w:sz="4" w:space="0" w:color="auto"/>
            </w:tcBorders>
            <w:shd w:val="clear" w:color="auto" w:fill="auto"/>
            <w:vAlign w:val="center"/>
            <w:hideMark/>
          </w:tcPr>
          <w:p w14:paraId="5FEF27E5" w14:textId="061330D0"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 këtë indikator do të raportohet numri i anëtarëve 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aktorëve të arsimit</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të trajnuar për të ndihmuar në procesin 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deradikalizmit dhe të riintegrimit..</w:t>
            </w:r>
          </w:p>
        </w:tc>
        <w:tc>
          <w:tcPr>
            <w:tcW w:w="121" w:type="pct"/>
            <w:tcBorders>
              <w:top w:val="nil"/>
              <w:left w:val="nil"/>
              <w:bottom w:val="single" w:sz="4" w:space="0" w:color="auto"/>
              <w:right w:val="single" w:sz="4" w:space="0" w:color="auto"/>
            </w:tcBorders>
            <w:shd w:val="clear" w:color="auto" w:fill="auto"/>
            <w:vAlign w:val="center"/>
            <w:hideMark/>
          </w:tcPr>
          <w:p w14:paraId="5FEF27E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7E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7E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7E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7EA" w14:textId="7088C362"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aktorëve të arsimit</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të trajnuar për të ndihmuar në procesin 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deradikalizmit dhe të riintegrimit, në raport me numrin e atyre të parashikuar për t</w:t>
            </w:r>
            <w:r w:rsidR="0041767D" w:rsidRPr="00795698">
              <w:rPr>
                <w:rFonts w:ascii="Arial" w:hAnsi="Arial" w:cs="Arial"/>
                <w:color w:val="000000"/>
                <w:sz w:val="4"/>
                <w:szCs w:val="4"/>
                <w:lang w:eastAsia="sq-AL"/>
              </w:rPr>
              <w:t>’</w:t>
            </w:r>
            <w:r w:rsidRPr="00795698">
              <w:rPr>
                <w:rFonts w:ascii="Arial" w:hAnsi="Arial" w:cs="Arial"/>
                <w:color w:val="000000"/>
                <w:sz w:val="4"/>
                <w:szCs w:val="4"/>
                <w:lang w:eastAsia="sq-AL"/>
              </w:rPr>
              <w:t>u trajnuar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7E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7E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7E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7E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nil"/>
              <w:left w:val="nil"/>
              <w:bottom w:val="nil"/>
              <w:right w:val="single" w:sz="4" w:space="0" w:color="auto"/>
            </w:tcBorders>
            <w:shd w:val="clear" w:color="auto" w:fill="auto"/>
            <w:vAlign w:val="center"/>
            <w:hideMark/>
          </w:tcPr>
          <w:p w14:paraId="5FEF27E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nil"/>
              <w:right w:val="single" w:sz="4" w:space="0" w:color="auto"/>
            </w:tcBorders>
            <w:shd w:val="clear" w:color="auto" w:fill="auto"/>
            <w:vAlign w:val="center"/>
            <w:hideMark/>
          </w:tcPr>
          <w:p w14:paraId="5FEF27F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0</w:t>
            </w:r>
          </w:p>
        </w:tc>
        <w:tc>
          <w:tcPr>
            <w:tcW w:w="104" w:type="pct"/>
            <w:tcBorders>
              <w:top w:val="nil"/>
              <w:left w:val="nil"/>
              <w:bottom w:val="nil"/>
              <w:right w:val="single" w:sz="4" w:space="0" w:color="auto"/>
            </w:tcBorders>
            <w:shd w:val="clear" w:color="auto" w:fill="auto"/>
            <w:vAlign w:val="center"/>
            <w:hideMark/>
          </w:tcPr>
          <w:p w14:paraId="5FEF27F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300</w:t>
            </w:r>
          </w:p>
        </w:tc>
        <w:tc>
          <w:tcPr>
            <w:tcW w:w="104" w:type="pct"/>
            <w:tcBorders>
              <w:top w:val="nil"/>
              <w:left w:val="nil"/>
              <w:bottom w:val="single" w:sz="4" w:space="0" w:color="auto"/>
              <w:right w:val="single" w:sz="4" w:space="0" w:color="auto"/>
            </w:tcBorders>
            <w:shd w:val="clear" w:color="auto" w:fill="auto"/>
            <w:vAlign w:val="center"/>
            <w:hideMark/>
          </w:tcPr>
          <w:p w14:paraId="5FEF27F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nil"/>
              <w:right w:val="single" w:sz="4" w:space="0" w:color="auto"/>
            </w:tcBorders>
            <w:shd w:val="clear" w:color="auto" w:fill="auto"/>
            <w:vAlign w:val="center"/>
            <w:hideMark/>
          </w:tcPr>
          <w:p w14:paraId="5FEF27F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800</w:t>
            </w:r>
          </w:p>
        </w:tc>
        <w:tc>
          <w:tcPr>
            <w:tcW w:w="104" w:type="pct"/>
            <w:tcBorders>
              <w:top w:val="nil"/>
              <w:left w:val="nil"/>
              <w:bottom w:val="single" w:sz="4" w:space="0" w:color="auto"/>
              <w:right w:val="single" w:sz="4" w:space="0" w:color="auto"/>
            </w:tcBorders>
            <w:shd w:val="clear" w:color="auto" w:fill="auto"/>
            <w:vAlign w:val="center"/>
            <w:hideMark/>
          </w:tcPr>
          <w:p w14:paraId="5FEF27F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nil"/>
              <w:right w:val="single" w:sz="4" w:space="0" w:color="auto"/>
            </w:tcBorders>
            <w:shd w:val="clear" w:color="auto" w:fill="auto"/>
            <w:vAlign w:val="center"/>
            <w:hideMark/>
          </w:tcPr>
          <w:p w14:paraId="5FEF27F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1500</w:t>
            </w:r>
          </w:p>
        </w:tc>
        <w:tc>
          <w:tcPr>
            <w:tcW w:w="104" w:type="pct"/>
            <w:tcBorders>
              <w:top w:val="nil"/>
              <w:left w:val="nil"/>
              <w:bottom w:val="single" w:sz="4" w:space="0" w:color="auto"/>
              <w:right w:val="single" w:sz="4" w:space="0" w:color="auto"/>
            </w:tcBorders>
            <w:shd w:val="clear" w:color="auto" w:fill="auto"/>
            <w:vAlign w:val="center"/>
            <w:hideMark/>
          </w:tcPr>
          <w:p w14:paraId="5FEF27F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nil"/>
              <w:right w:val="single" w:sz="4" w:space="0" w:color="auto"/>
            </w:tcBorders>
            <w:shd w:val="clear" w:color="auto" w:fill="auto"/>
            <w:vAlign w:val="center"/>
            <w:hideMark/>
          </w:tcPr>
          <w:p w14:paraId="5FEF27F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1800</w:t>
            </w:r>
          </w:p>
        </w:tc>
        <w:tc>
          <w:tcPr>
            <w:tcW w:w="188" w:type="pct"/>
            <w:tcBorders>
              <w:top w:val="nil"/>
              <w:left w:val="nil"/>
              <w:bottom w:val="single" w:sz="4" w:space="0" w:color="auto"/>
              <w:right w:val="single" w:sz="4" w:space="0" w:color="auto"/>
            </w:tcBorders>
            <w:shd w:val="clear" w:color="auto" w:fill="auto"/>
            <w:vAlign w:val="center"/>
            <w:hideMark/>
          </w:tcPr>
          <w:p w14:paraId="5FEF27F8" w14:textId="5EC35312"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nil"/>
              <w:right w:val="single" w:sz="4" w:space="0" w:color="auto"/>
            </w:tcBorders>
            <w:shd w:val="clear" w:color="auto" w:fill="auto"/>
            <w:vAlign w:val="center"/>
            <w:hideMark/>
          </w:tcPr>
          <w:p w14:paraId="5FEF27F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7FA"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7FB"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81E" w14:textId="77777777" w:rsidTr="00F6012F">
        <w:trPr>
          <w:trHeight w:val="180"/>
          <w:jc w:val="center"/>
        </w:trPr>
        <w:tc>
          <w:tcPr>
            <w:tcW w:w="89" w:type="pct"/>
            <w:tcBorders>
              <w:top w:val="nil"/>
              <w:left w:val="nil"/>
              <w:bottom w:val="nil"/>
              <w:right w:val="nil"/>
            </w:tcBorders>
            <w:shd w:val="clear" w:color="auto" w:fill="auto"/>
            <w:noWrap/>
            <w:vAlign w:val="center"/>
            <w:hideMark/>
          </w:tcPr>
          <w:p w14:paraId="5FEF27F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w:t>
            </w:r>
          </w:p>
        </w:tc>
        <w:tc>
          <w:tcPr>
            <w:tcW w:w="151" w:type="pct"/>
            <w:tcBorders>
              <w:top w:val="nil"/>
              <w:left w:val="single" w:sz="4" w:space="0" w:color="auto"/>
              <w:bottom w:val="single" w:sz="4" w:space="0" w:color="auto"/>
              <w:right w:val="single" w:sz="4" w:space="0" w:color="auto"/>
            </w:tcBorders>
            <w:shd w:val="clear" w:color="auto" w:fill="auto"/>
            <w:vAlign w:val="center"/>
            <w:hideMark/>
          </w:tcPr>
          <w:p w14:paraId="5FEF27F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5FEF27FF" w14:textId="4790FD62"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Numri i rasteve (familjeve) të</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 xml:space="preserve">radikalizuara të menaxhuara </w:t>
            </w:r>
          </w:p>
        </w:tc>
        <w:tc>
          <w:tcPr>
            <w:tcW w:w="157" w:type="pct"/>
            <w:tcBorders>
              <w:top w:val="nil"/>
              <w:left w:val="nil"/>
              <w:bottom w:val="single" w:sz="4" w:space="0" w:color="auto"/>
              <w:right w:val="single" w:sz="4" w:space="0" w:color="auto"/>
            </w:tcBorders>
            <w:shd w:val="clear" w:color="auto" w:fill="auto"/>
            <w:vAlign w:val="center"/>
            <w:hideMark/>
          </w:tcPr>
          <w:p w14:paraId="5FEF280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801" w14:textId="59AC264A"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802"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3: Reagim nëpërmjet reduktimit dhe lehtësimit të pasojave të fenomeneve të radikalizmit, ekstremizmit të dhunshëm dhe terrorizmit</w:t>
            </w:r>
          </w:p>
        </w:tc>
        <w:tc>
          <w:tcPr>
            <w:tcW w:w="219" w:type="pct"/>
            <w:tcBorders>
              <w:top w:val="nil"/>
              <w:left w:val="nil"/>
              <w:bottom w:val="single" w:sz="4" w:space="0" w:color="auto"/>
              <w:right w:val="single" w:sz="4" w:space="0" w:color="auto"/>
            </w:tcBorders>
            <w:shd w:val="clear" w:color="auto" w:fill="auto"/>
            <w:vAlign w:val="center"/>
            <w:hideMark/>
          </w:tcPr>
          <w:p w14:paraId="5FEF2803" w14:textId="71A2C79B" w:rsidR="00F6012F" w:rsidRPr="00795698" w:rsidRDefault="00F6012F" w:rsidP="00C62D65">
            <w:pPr>
              <w:rPr>
                <w:rFonts w:ascii="Arial" w:hAnsi="Arial" w:cs="Arial"/>
                <w:color w:val="000000"/>
                <w:sz w:val="4"/>
                <w:szCs w:val="4"/>
                <w:lang w:eastAsia="sq-AL"/>
              </w:rPr>
            </w:pPr>
            <w:r w:rsidRPr="00795698">
              <w:rPr>
                <w:rFonts w:ascii="Arial" w:hAnsi="Arial" w:cs="Arial"/>
                <w:color w:val="000000"/>
                <w:sz w:val="4"/>
                <w:szCs w:val="4"/>
                <w:lang w:eastAsia="sq-AL"/>
              </w:rPr>
              <w:t>Objektivi Specifik 3.1: Përmirësim i infrastrukturës dhe ngritje kapacitetesh të punonjësve të institucioneve publike për zhvillimin e programeve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rehabilitimit dhe riitegrimit për personat e radikalizuar ose të kthyerit nga zonat e konfliktit</w:t>
            </w:r>
          </w:p>
        </w:tc>
        <w:tc>
          <w:tcPr>
            <w:tcW w:w="183" w:type="pct"/>
            <w:tcBorders>
              <w:top w:val="nil"/>
              <w:left w:val="nil"/>
              <w:bottom w:val="nil"/>
              <w:right w:val="single" w:sz="4" w:space="0" w:color="000000"/>
            </w:tcBorders>
            <w:shd w:val="clear" w:color="auto" w:fill="auto"/>
            <w:vAlign w:val="center"/>
            <w:hideMark/>
          </w:tcPr>
          <w:p w14:paraId="5FEF2804" w14:textId="36F7E067" w:rsidR="00F6012F" w:rsidRPr="00795698" w:rsidRDefault="00F6012F" w:rsidP="00C62D65">
            <w:pPr>
              <w:jc w:val="center"/>
              <w:rPr>
                <w:rFonts w:ascii="Arial" w:hAnsi="Arial" w:cs="Arial"/>
                <w:color w:val="000000"/>
                <w:sz w:val="4"/>
                <w:szCs w:val="4"/>
                <w:lang w:eastAsia="sq-AL"/>
              </w:rPr>
            </w:pPr>
            <w:r w:rsidRPr="00795698">
              <w:rPr>
                <w:rFonts w:ascii="Arial" w:hAnsi="Arial" w:cs="Arial"/>
                <w:color w:val="000000"/>
                <w:sz w:val="4"/>
                <w:szCs w:val="4"/>
                <w:lang w:eastAsia="sq-AL"/>
              </w:rPr>
              <w:t>Dosje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rasteve të rasteve të</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radikalizuara të menaxhuara</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5FEF280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MSHMS</w:t>
            </w:r>
          </w:p>
        </w:tc>
        <w:tc>
          <w:tcPr>
            <w:tcW w:w="174" w:type="pct"/>
            <w:tcBorders>
              <w:top w:val="single" w:sz="4" w:space="0" w:color="auto"/>
              <w:left w:val="nil"/>
              <w:bottom w:val="single" w:sz="4" w:space="0" w:color="auto"/>
              <w:right w:val="single" w:sz="4" w:space="0" w:color="auto"/>
            </w:tcBorders>
            <w:shd w:val="clear" w:color="auto" w:fill="auto"/>
            <w:vAlign w:val="center"/>
            <w:hideMark/>
          </w:tcPr>
          <w:p w14:paraId="5FEF280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NJVV</w:t>
            </w:r>
          </w:p>
        </w:tc>
        <w:tc>
          <w:tcPr>
            <w:tcW w:w="266" w:type="pct"/>
            <w:tcBorders>
              <w:top w:val="single" w:sz="4" w:space="0" w:color="auto"/>
              <w:left w:val="nil"/>
              <w:bottom w:val="single" w:sz="4" w:space="0" w:color="auto"/>
              <w:right w:val="single" w:sz="4" w:space="0" w:color="auto"/>
            </w:tcBorders>
            <w:shd w:val="clear" w:color="auto" w:fill="auto"/>
            <w:vAlign w:val="center"/>
            <w:hideMark/>
          </w:tcPr>
          <w:p w14:paraId="5FEF2807" w14:textId="74A67606"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Bazuar në dosjet e rasteve të menaxhuara, raportohen statistikat çdo vit</w:t>
            </w:r>
            <w:r w:rsidR="00D10A07" w:rsidRPr="00795698">
              <w:rPr>
                <w:rFonts w:ascii="Arial" w:hAnsi="Arial" w:cs="Arial"/>
                <w:color w:val="000000"/>
                <w:sz w:val="4"/>
                <w:szCs w:val="4"/>
                <w:lang w:eastAsia="sq-AL"/>
              </w:rPr>
              <w:t>.</w:t>
            </w:r>
          </w:p>
        </w:tc>
        <w:tc>
          <w:tcPr>
            <w:tcW w:w="121" w:type="pct"/>
            <w:tcBorders>
              <w:top w:val="nil"/>
              <w:left w:val="nil"/>
              <w:bottom w:val="single" w:sz="4" w:space="0" w:color="auto"/>
              <w:right w:val="single" w:sz="4" w:space="0" w:color="auto"/>
            </w:tcBorders>
            <w:shd w:val="clear" w:color="auto" w:fill="auto"/>
            <w:vAlign w:val="center"/>
            <w:hideMark/>
          </w:tcPr>
          <w:p w14:paraId="5FEF280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80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80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80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80C" w14:textId="5A446788"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rasteve (familjeve) të</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radikalizuara të menaxhuara, në raport me numrin e atyre të synuara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80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80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80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81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nil"/>
              <w:right w:val="single" w:sz="4" w:space="0" w:color="auto"/>
            </w:tcBorders>
            <w:shd w:val="clear" w:color="auto" w:fill="auto"/>
            <w:vAlign w:val="center"/>
            <w:hideMark/>
          </w:tcPr>
          <w:p w14:paraId="5FEF281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single" w:sz="4" w:space="0" w:color="000000"/>
              <w:left w:val="nil"/>
              <w:bottom w:val="single" w:sz="4" w:space="0" w:color="000000"/>
              <w:right w:val="single" w:sz="4" w:space="0" w:color="000000"/>
            </w:tcBorders>
            <w:shd w:val="clear" w:color="auto" w:fill="auto"/>
            <w:vAlign w:val="center"/>
            <w:hideMark/>
          </w:tcPr>
          <w:p w14:paraId="5FEF281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11</w:t>
            </w:r>
          </w:p>
        </w:tc>
        <w:tc>
          <w:tcPr>
            <w:tcW w:w="104" w:type="pct"/>
            <w:tcBorders>
              <w:top w:val="single" w:sz="4" w:space="0" w:color="000000"/>
              <w:left w:val="nil"/>
              <w:bottom w:val="single" w:sz="4" w:space="0" w:color="000000"/>
              <w:right w:val="single" w:sz="4" w:space="0" w:color="000000"/>
            </w:tcBorders>
            <w:shd w:val="clear" w:color="auto" w:fill="auto"/>
            <w:vAlign w:val="center"/>
            <w:hideMark/>
          </w:tcPr>
          <w:p w14:paraId="5FEF281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w:t>
            </w:r>
          </w:p>
        </w:tc>
        <w:tc>
          <w:tcPr>
            <w:tcW w:w="104" w:type="pct"/>
            <w:tcBorders>
              <w:top w:val="nil"/>
              <w:left w:val="nil"/>
              <w:bottom w:val="single" w:sz="4" w:space="0" w:color="auto"/>
              <w:right w:val="single" w:sz="4" w:space="0" w:color="auto"/>
            </w:tcBorders>
            <w:shd w:val="clear" w:color="auto" w:fill="auto"/>
            <w:vAlign w:val="center"/>
            <w:hideMark/>
          </w:tcPr>
          <w:p w14:paraId="5FEF281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single" w:sz="4" w:space="0" w:color="000000"/>
              <w:left w:val="nil"/>
              <w:bottom w:val="single" w:sz="4" w:space="0" w:color="000000"/>
              <w:right w:val="single" w:sz="4" w:space="0" w:color="000000"/>
            </w:tcBorders>
            <w:shd w:val="clear" w:color="auto" w:fill="auto"/>
            <w:vAlign w:val="center"/>
            <w:hideMark/>
          </w:tcPr>
          <w:p w14:paraId="5FEF281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w:t>
            </w:r>
          </w:p>
        </w:tc>
        <w:tc>
          <w:tcPr>
            <w:tcW w:w="104" w:type="pct"/>
            <w:tcBorders>
              <w:top w:val="nil"/>
              <w:left w:val="nil"/>
              <w:bottom w:val="single" w:sz="4" w:space="0" w:color="auto"/>
              <w:right w:val="single" w:sz="4" w:space="0" w:color="auto"/>
            </w:tcBorders>
            <w:shd w:val="clear" w:color="auto" w:fill="auto"/>
            <w:vAlign w:val="center"/>
            <w:hideMark/>
          </w:tcPr>
          <w:p w14:paraId="5FEF281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single" w:sz="4" w:space="0" w:color="000000"/>
              <w:left w:val="nil"/>
              <w:bottom w:val="single" w:sz="4" w:space="0" w:color="000000"/>
              <w:right w:val="nil"/>
            </w:tcBorders>
            <w:shd w:val="clear" w:color="auto" w:fill="auto"/>
            <w:vAlign w:val="center"/>
            <w:hideMark/>
          </w:tcPr>
          <w:p w14:paraId="5FEF281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15</w:t>
            </w:r>
          </w:p>
        </w:tc>
        <w:tc>
          <w:tcPr>
            <w:tcW w:w="104" w:type="pct"/>
            <w:tcBorders>
              <w:top w:val="nil"/>
              <w:left w:val="single" w:sz="4" w:space="0" w:color="auto"/>
              <w:bottom w:val="single" w:sz="4" w:space="0" w:color="auto"/>
              <w:right w:val="single" w:sz="4" w:space="0" w:color="auto"/>
            </w:tcBorders>
            <w:shd w:val="clear" w:color="auto" w:fill="auto"/>
            <w:vAlign w:val="center"/>
            <w:hideMark/>
          </w:tcPr>
          <w:p w14:paraId="5FEF281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single" w:sz="4" w:space="0" w:color="auto"/>
              <w:left w:val="nil"/>
              <w:bottom w:val="single" w:sz="4" w:space="0" w:color="auto"/>
              <w:right w:val="single" w:sz="4" w:space="0" w:color="auto"/>
            </w:tcBorders>
            <w:shd w:val="clear" w:color="auto" w:fill="auto"/>
            <w:noWrap/>
            <w:vAlign w:val="center"/>
            <w:hideMark/>
          </w:tcPr>
          <w:p w14:paraId="5FEF281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w:t>
            </w:r>
          </w:p>
        </w:tc>
        <w:tc>
          <w:tcPr>
            <w:tcW w:w="188" w:type="pct"/>
            <w:tcBorders>
              <w:top w:val="nil"/>
              <w:left w:val="nil"/>
              <w:bottom w:val="single" w:sz="4" w:space="0" w:color="auto"/>
              <w:right w:val="single" w:sz="4" w:space="0" w:color="auto"/>
            </w:tcBorders>
            <w:shd w:val="clear" w:color="auto" w:fill="auto"/>
            <w:vAlign w:val="center"/>
            <w:hideMark/>
          </w:tcPr>
          <w:p w14:paraId="5FEF281A" w14:textId="1D0C77AD"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single" w:sz="4" w:space="0" w:color="auto"/>
              <w:left w:val="nil"/>
              <w:bottom w:val="single" w:sz="4" w:space="0" w:color="auto"/>
              <w:right w:val="single" w:sz="4" w:space="0" w:color="auto"/>
            </w:tcBorders>
            <w:shd w:val="clear" w:color="auto" w:fill="auto"/>
            <w:noWrap/>
            <w:vAlign w:val="center"/>
            <w:hideMark/>
          </w:tcPr>
          <w:p w14:paraId="5FEF281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81C"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81D"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840" w14:textId="77777777" w:rsidTr="00F6012F">
        <w:trPr>
          <w:trHeight w:val="180"/>
          <w:jc w:val="center"/>
        </w:trPr>
        <w:tc>
          <w:tcPr>
            <w:tcW w:w="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F281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11</w:t>
            </w:r>
          </w:p>
        </w:tc>
        <w:tc>
          <w:tcPr>
            <w:tcW w:w="151" w:type="pct"/>
            <w:tcBorders>
              <w:top w:val="nil"/>
              <w:left w:val="nil"/>
              <w:bottom w:val="single" w:sz="4" w:space="0" w:color="auto"/>
              <w:right w:val="single" w:sz="4" w:space="0" w:color="auto"/>
            </w:tcBorders>
            <w:shd w:val="clear" w:color="auto" w:fill="auto"/>
            <w:vAlign w:val="center"/>
            <w:hideMark/>
          </w:tcPr>
          <w:p w14:paraId="5FEF282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single" w:sz="4" w:space="0" w:color="auto"/>
              <w:right w:val="single" w:sz="4" w:space="0" w:color="auto"/>
            </w:tcBorders>
            <w:shd w:val="clear" w:color="auto" w:fill="auto"/>
            <w:vAlign w:val="center"/>
            <w:hideMark/>
          </w:tcPr>
          <w:p w14:paraId="5FEF2821" w14:textId="7EED77AD"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Numri i fëmijëve të kthyer nga zona të luftës dhe që</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ndjekin arsimin, të mbështetur me shërbim psiko-social </w:t>
            </w:r>
          </w:p>
        </w:tc>
        <w:tc>
          <w:tcPr>
            <w:tcW w:w="157" w:type="pct"/>
            <w:tcBorders>
              <w:top w:val="nil"/>
              <w:left w:val="nil"/>
              <w:bottom w:val="single" w:sz="4" w:space="0" w:color="auto"/>
              <w:right w:val="single" w:sz="4" w:space="0" w:color="auto"/>
            </w:tcBorders>
            <w:shd w:val="clear" w:color="auto" w:fill="auto"/>
            <w:vAlign w:val="center"/>
            <w:hideMark/>
          </w:tcPr>
          <w:p w14:paraId="5FEF2822"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823" w14:textId="5E392845"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82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3: Reagim nëpërmjet reduktimit dhe lehtësimit të pasojave nga një sulm terrorist</w:t>
            </w:r>
          </w:p>
        </w:tc>
        <w:tc>
          <w:tcPr>
            <w:tcW w:w="219" w:type="pct"/>
            <w:tcBorders>
              <w:top w:val="nil"/>
              <w:left w:val="nil"/>
              <w:bottom w:val="single" w:sz="4" w:space="0" w:color="auto"/>
              <w:right w:val="single" w:sz="4" w:space="0" w:color="auto"/>
            </w:tcBorders>
            <w:shd w:val="clear" w:color="auto" w:fill="auto"/>
            <w:vAlign w:val="center"/>
            <w:hideMark/>
          </w:tcPr>
          <w:p w14:paraId="5FEF2825" w14:textId="7051B939" w:rsidR="00F6012F" w:rsidRPr="00795698" w:rsidRDefault="00F6012F" w:rsidP="00C62D65">
            <w:pPr>
              <w:rPr>
                <w:rFonts w:ascii="Arial" w:hAnsi="Arial" w:cs="Arial"/>
                <w:color w:val="000000"/>
                <w:sz w:val="4"/>
                <w:szCs w:val="4"/>
                <w:lang w:eastAsia="sq-AL"/>
              </w:rPr>
            </w:pPr>
            <w:r w:rsidRPr="00795698">
              <w:rPr>
                <w:rFonts w:ascii="Arial" w:hAnsi="Arial" w:cs="Arial"/>
                <w:color w:val="000000"/>
                <w:sz w:val="4"/>
                <w:szCs w:val="4"/>
                <w:lang w:eastAsia="sq-AL"/>
              </w:rPr>
              <w:t>Objektivi Specifik 3.1: Përmirësim i infrastrukturës dhe ngritje kapacitetesh të punonjësve të institucioneve publike për zhvillimin e programeve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rehabilitimit dhe riitegrimit për personat e radikalizuar ose të kthyerit nga zonat e konfliktit</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5FEF2826" w14:textId="6EB61A49"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w:t>
            </w:r>
            <w:r w:rsidR="00C62D65" w:rsidRPr="00795698">
              <w:rPr>
                <w:rFonts w:ascii="Arial" w:hAnsi="Arial" w:cs="Arial"/>
                <w:color w:val="000000"/>
                <w:sz w:val="4"/>
                <w:szCs w:val="4"/>
                <w:lang w:eastAsia="sq-AL"/>
              </w:rPr>
              <w:t xml:space="preserve">okumente, </w:t>
            </w:r>
            <w:r w:rsidRPr="00795698">
              <w:rPr>
                <w:rFonts w:ascii="Arial" w:hAnsi="Arial" w:cs="Arial"/>
                <w:color w:val="000000"/>
                <w:sz w:val="4"/>
                <w:szCs w:val="4"/>
                <w:lang w:eastAsia="sq-AL"/>
              </w:rPr>
              <w:t xml:space="preserve">raporte </w:t>
            </w:r>
          </w:p>
        </w:tc>
        <w:tc>
          <w:tcPr>
            <w:tcW w:w="169" w:type="pct"/>
            <w:tcBorders>
              <w:top w:val="nil"/>
              <w:left w:val="nil"/>
              <w:bottom w:val="single" w:sz="4" w:space="0" w:color="auto"/>
              <w:right w:val="single" w:sz="4" w:space="0" w:color="auto"/>
            </w:tcBorders>
            <w:shd w:val="clear" w:color="auto" w:fill="auto"/>
            <w:vAlign w:val="center"/>
            <w:hideMark/>
          </w:tcPr>
          <w:p w14:paraId="5FEF282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MAS</w:t>
            </w:r>
          </w:p>
        </w:tc>
        <w:tc>
          <w:tcPr>
            <w:tcW w:w="174" w:type="pct"/>
            <w:tcBorders>
              <w:top w:val="nil"/>
              <w:left w:val="nil"/>
              <w:bottom w:val="single" w:sz="4" w:space="0" w:color="auto"/>
              <w:right w:val="single" w:sz="4" w:space="0" w:color="auto"/>
            </w:tcBorders>
            <w:shd w:val="clear" w:color="auto" w:fill="auto"/>
            <w:vAlign w:val="center"/>
            <w:hideMark/>
          </w:tcPr>
          <w:p w14:paraId="5FEF282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MAS, Donatorë</w:t>
            </w:r>
          </w:p>
        </w:tc>
        <w:tc>
          <w:tcPr>
            <w:tcW w:w="266" w:type="pct"/>
            <w:tcBorders>
              <w:top w:val="nil"/>
              <w:left w:val="nil"/>
              <w:bottom w:val="single" w:sz="4" w:space="0" w:color="auto"/>
              <w:right w:val="single" w:sz="4" w:space="0" w:color="auto"/>
            </w:tcBorders>
            <w:shd w:val="clear" w:color="auto" w:fill="auto"/>
            <w:vAlign w:val="center"/>
            <w:hideMark/>
          </w:tcPr>
          <w:p w14:paraId="5FEF2829"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 çdo program mbështetje përllogariten përfituesit përmes evidencave të mbajtura nga institucionet arsimore.</w:t>
            </w:r>
          </w:p>
        </w:tc>
        <w:tc>
          <w:tcPr>
            <w:tcW w:w="121" w:type="pct"/>
            <w:tcBorders>
              <w:top w:val="nil"/>
              <w:left w:val="nil"/>
              <w:bottom w:val="single" w:sz="4" w:space="0" w:color="auto"/>
              <w:right w:val="single" w:sz="4" w:space="0" w:color="auto"/>
            </w:tcBorders>
            <w:shd w:val="clear" w:color="auto" w:fill="auto"/>
            <w:vAlign w:val="center"/>
            <w:hideMark/>
          </w:tcPr>
          <w:p w14:paraId="5FEF282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82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82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Kumulativ</w:t>
            </w:r>
          </w:p>
        </w:tc>
        <w:tc>
          <w:tcPr>
            <w:tcW w:w="131" w:type="pct"/>
            <w:tcBorders>
              <w:top w:val="nil"/>
              <w:left w:val="nil"/>
              <w:bottom w:val="single" w:sz="4" w:space="0" w:color="auto"/>
              <w:right w:val="single" w:sz="4" w:space="0" w:color="auto"/>
            </w:tcBorders>
            <w:shd w:val="clear" w:color="auto" w:fill="auto"/>
            <w:noWrap/>
            <w:vAlign w:val="center"/>
            <w:hideMark/>
          </w:tcPr>
          <w:p w14:paraId="5FEF282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82E" w14:textId="1677EAF4"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fëmijëve të kthyer nga zona të luftës dhe që</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ndjekin arsimin, të mbështëtur me shërbim psiko-social</w:t>
            </w:r>
            <w:r w:rsidR="00D10A07" w:rsidRPr="00795698">
              <w:rPr>
                <w:rFonts w:ascii="Arial" w:hAnsi="Arial" w:cs="Arial"/>
                <w:color w:val="000000"/>
                <w:sz w:val="4"/>
                <w:szCs w:val="4"/>
                <w:lang w:eastAsia="sq-AL"/>
              </w:rPr>
              <w:t>,</w:t>
            </w:r>
            <w:r w:rsidRPr="00795698">
              <w:rPr>
                <w:rFonts w:ascii="Arial" w:hAnsi="Arial" w:cs="Arial"/>
                <w:color w:val="000000"/>
                <w:sz w:val="4"/>
                <w:szCs w:val="4"/>
                <w:lang w:eastAsia="sq-AL"/>
              </w:rPr>
              <w:t xml:space="preserve"> në raport me numrin e atyre të parashikuara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82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83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83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83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nil"/>
              <w:right w:val="single" w:sz="4" w:space="0" w:color="auto"/>
            </w:tcBorders>
            <w:shd w:val="clear" w:color="auto" w:fill="auto"/>
            <w:vAlign w:val="center"/>
            <w:hideMark/>
          </w:tcPr>
          <w:p w14:paraId="5FEF283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single" w:sz="4" w:space="0" w:color="auto"/>
              <w:right w:val="single" w:sz="4" w:space="0" w:color="auto"/>
            </w:tcBorders>
            <w:shd w:val="clear" w:color="auto" w:fill="auto"/>
            <w:vAlign w:val="center"/>
            <w:hideMark/>
          </w:tcPr>
          <w:p w14:paraId="5FEF283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33</w:t>
            </w:r>
          </w:p>
        </w:tc>
        <w:tc>
          <w:tcPr>
            <w:tcW w:w="104" w:type="pct"/>
            <w:tcBorders>
              <w:top w:val="nil"/>
              <w:left w:val="nil"/>
              <w:bottom w:val="single" w:sz="4" w:space="0" w:color="auto"/>
              <w:right w:val="single" w:sz="4" w:space="0" w:color="auto"/>
            </w:tcBorders>
            <w:shd w:val="clear" w:color="auto" w:fill="auto"/>
            <w:vAlign w:val="center"/>
            <w:hideMark/>
          </w:tcPr>
          <w:p w14:paraId="5FEF283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w:t>
            </w:r>
          </w:p>
        </w:tc>
        <w:tc>
          <w:tcPr>
            <w:tcW w:w="104" w:type="pct"/>
            <w:tcBorders>
              <w:top w:val="nil"/>
              <w:left w:val="nil"/>
              <w:bottom w:val="single" w:sz="4" w:space="0" w:color="auto"/>
              <w:right w:val="single" w:sz="4" w:space="0" w:color="auto"/>
            </w:tcBorders>
            <w:shd w:val="clear" w:color="auto" w:fill="auto"/>
            <w:vAlign w:val="center"/>
            <w:hideMark/>
          </w:tcPr>
          <w:p w14:paraId="5FEF283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83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35</w:t>
            </w:r>
          </w:p>
        </w:tc>
        <w:tc>
          <w:tcPr>
            <w:tcW w:w="104" w:type="pct"/>
            <w:tcBorders>
              <w:top w:val="nil"/>
              <w:left w:val="nil"/>
              <w:bottom w:val="single" w:sz="4" w:space="0" w:color="auto"/>
              <w:right w:val="single" w:sz="4" w:space="0" w:color="auto"/>
            </w:tcBorders>
            <w:shd w:val="clear" w:color="auto" w:fill="auto"/>
            <w:vAlign w:val="center"/>
            <w:hideMark/>
          </w:tcPr>
          <w:p w14:paraId="5FEF283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single" w:sz="4" w:space="0" w:color="auto"/>
              <w:right w:val="single" w:sz="4" w:space="0" w:color="auto"/>
            </w:tcBorders>
            <w:shd w:val="clear" w:color="auto" w:fill="auto"/>
            <w:vAlign w:val="center"/>
            <w:hideMark/>
          </w:tcPr>
          <w:p w14:paraId="5FEF283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50</w:t>
            </w:r>
          </w:p>
        </w:tc>
        <w:tc>
          <w:tcPr>
            <w:tcW w:w="104" w:type="pct"/>
            <w:tcBorders>
              <w:top w:val="nil"/>
              <w:left w:val="nil"/>
              <w:bottom w:val="single" w:sz="4" w:space="0" w:color="auto"/>
              <w:right w:val="single" w:sz="4" w:space="0" w:color="auto"/>
            </w:tcBorders>
            <w:shd w:val="clear" w:color="auto" w:fill="auto"/>
            <w:vAlign w:val="center"/>
            <w:hideMark/>
          </w:tcPr>
          <w:p w14:paraId="5FEF283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noWrap/>
            <w:vAlign w:val="center"/>
            <w:hideMark/>
          </w:tcPr>
          <w:p w14:paraId="5FEF283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65</w:t>
            </w:r>
          </w:p>
        </w:tc>
        <w:tc>
          <w:tcPr>
            <w:tcW w:w="188" w:type="pct"/>
            <w:tcBorders>
              <w:top w:val="nil"/>
              <w:left w:val="nil"/>
              <w:bottom w:val="single" w:sz="4" w:space="0" w:color="auto"/>
              <w:right w:val="single" w:sz="4" w:space="0" w:color="auto"/>
            </w:tcBorders>
            <w:shd w:val="clear" w:color="auto" w:fill="auto"/>
            <w:vAlign w:val="center"/>
            <w:hideMark/>
          </w:tcPr>
          <w:p w14:paraId="5FEF283C" w14:textId="62BB6112"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83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83E"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83F"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862"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84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12</w:t>
            </w:r>
          </w:p>
        </w:tc>
        <w:tc>
          <w:tcPr>
            <w:tcW w:w="151" w:type="pct"/>
            <w:tcBorders>
              <w:top w:val="nil"/>
              <w:left w:val="nil"/>
              <w:bottom w:val="single" w:sz="4" w:space="0" w:color="auto"/>
              <w:right w:val="single" w:sz="4" w:space="0" w:color="auto"/>
            </w:tcBorders>
            <w:shd w:val="clear" w:color="auto" w:fill="auto"/>
            <w:vAlign w:val="center"/>
            <w:hideMark/>
          </w:tcPr>
          <w:p w14:paraId="5FEF284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nil"/>
              <w:left w:val="nil"/>
              <w:bottom w:val="nil"/>
              <w:right w:val="single" w:sz="4" w:space="0" w:color="auto"/>
            </w:tcBorders>
            <w:shd w:val="clear" w:color="auto" w:fill="auto"/>
            <w:vAlign w:val="center"/>
            <w:hideMark/>
          </w:tcPr>
          <w:p w14:paraId="5FEF2843" w14:textId="444455E2"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Numri i personave të radikalizuar</w:t>
            </w:r>
            <w:r w:rsidR="007C064A" w:rsidRPr="00795698">
              <w:rPr>
                <w:rFonts w:ascii="Arial" w:hAnsi="Arial" w:cs="Arial"/>
                <w:sz w:val="4"/>
                <w:szCs w:val="4"/>
                <w:lang w:eastAsia="sq-AL"/>
              </w:rPr>
              <w:t xml:space="preserve"> </w:t>
            </w:r>
            <w:r w:rsidRPr="00795698">
              <w:rPr>
                <w:rFonts w:ascii="Arial" w:hAnsi="Arial" w:cs="Arial"/>
                <w:sz w:val="4"/>
                <w:szCs w:val="4"/>
                <w:lang w:eastAsia="sq-AL"/>
              </w:rPr>
              <w:t>dhe atyre të kthyer nga zonat e konfliktit</w:t>
            </w:r>
            <w:r w:rsidR="007C064A" w:rsidRPr="00795698">
              <w:rPr>
                <w:rFonts w:ascii="Arial" w:hAnsi="Arial" w:cs="Arial"/>
                <w:sz w:val="4"/>
                <w:szCs w:val="4"/>
                <w:lang w:eastAsia="sq-AL"/>
              </w:rPr>
              <w:t xml:space="preserve"> </w:t>
            </w:r>
            <w:r w:rsidRPr="00795698">
              <w:rPr>
                <w:rFonts w:ascii="Arial" w:hAnsi="Arial" w:cs="Arial"/>
                <w:sz w:val="4"/>
                <w:szCs w:val="4"/>
                <w:lang w:eastAsia="sq-AL"/>
              </w:rPr>
              <w:t>të cilët kanë përfituar nga mbështetja e</w:t>
            </w:r>
            <w:r w:rsidR="007C064A" w:rsidRPr="00795698">
              <w:rPr>
                <w:rFonts w:ascii="Arial" w:hAnsi="Arial" w:cs="Arial"/>
                <w:sz w:val="4"/>
                <w:szCs w:val="4"/>
                <w:lang w:eastAsia="sq-AL"/>
              </w:rPr>
              <w:t xml:space="preserve"> </w:t>
            </w:r>
            <w:r w:rsidRPr="00795698">
              <w:rPr>
                <w:rFonts w:ascii="Arial" w:hAnsi="Arial" w:cs="Arial"/>
                <w:sz w:val="4"/>
                <w:szCs w:val="4"/>
                <w:lang w:eastAsia="sq-AL"/>
              </w:rPr>
              <w:t>personalizuar për aplikime për punëkërkim</w:t>
            </w:r>
            <w:r w:rsidR="007C064A" w:rsidRPr="00795698">
              <w:rPr>
                <w:rFonts w:ascii="Arial" w:hAnsi="Arial" w:cs="Arial"/>
                <w:sz w:val="4"/>
                <w:szCs w:val="4"/>
                <w:lang w:eastAsia="sq-AL"/>
              </w:rPr>
              <w:t xml:space="preserve"> </w:t>
            </w:r>
          </w:p>
        </w:tc>
        <w:tc>
          <w:tcPr>
            <w:tcW w:w="157" w:type="pct"/>
            <w:tcBorders>
              <w:top w:val="nil"/>
              <w:left w:val="nil"/>
              <w:bottom w:val="single" w:sz="4" w:space="0" w:color="auto"/>
              <w:right w:val="single" w:sz="4" w:space="0" w:color="auto"/>
            </w:tcBorders>
            <w:shd w:val="clear" w:color="auto" w:fill="auto"/>
            <w:vAlign w:val="center"/>
            <w:hideMark/>
          </w:tcPr>
          <w:p w14:paraId="5FEF284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w:t>
            </w:r>
            <w:r w:rsidRPr="00795698">
              <w:rPr>
                <w:rFonts w:ascii="Arial" w:hAnsi="Arial" w:cs="Arial"/>
                <w:color w:val="000000"/>
                <w:sz w:val="4"/>
                <w:szCs w:val="4"/>
                <w:lang w:eastAsia="sq-AL"/>
              </w:rPr>
              <w:lastRenderedPageBreak/>
              <w:t xml:space="preserve">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845" w14:textId="6A9FDCE1"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lastRenderedPageBreak/>
              <w:t xml:space="preserve">Shqipëria me një shoqëri pa trafikim, krim të organizuar dhe kërcënime terrorizmi, dhe me një imazh të një vendi paqësor dhe </w:t>
            </w:r>
            <w:r w:rsidRPr="00795698">
              <w:rPr>
                <w:rFonts w:ascii="Arial" w:hAnsi="Arial" w:cs="Arial"/>
                <w:sz w:val="4"/>
                <w:szCs w:val="4"/>
                <w:lang w:eastAsia="sq-AL"/>
              </w:rPr>
              <w:lastRenderedPageBreak/>
              <w:t>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846"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lastRenderedPageBreak/>
              <w:t xml:space="preserve">Qëllimi i Politikës 3: Reagim nëpërmjet reduktimit dhe lehtësimit të pasojave </w:t>
            </w:r>
            <w:r w:rsidRPr="00795698">
              <w:rPr>
                <w:rFonts w:ascii="Arial" w:hAnsi="Arial" w:cs="Arial"/>
                <w:color w:val="000000"/>
                <w:sz w:val="4"/>
                <w:szCs w:val="4"/>
                <w:lang w:eastAsia="sq-AL"/>
              </w:rPr>
              <w:lastRenderedPageBreak/>
              <w:t>të fenomeneve të radikalizmit, ekstremizmit të dhunshëm dhe terrorizmit</w:t>
            </w:r>
          </w:p>
        </w:tc>
        <w:tc>
          <w:tcPr>
            <w:tcW w:w="219" w:type="pct"/>
            <w:tcBorders>
              <w:top w:val="nil"/>
              <w:left w:val="nil"/>
              <w:bottom w:val="nil"/>
              <w:right w:val="single" w:sz="4" w:space="0" w:color="auto"/>
            </w:tcBorders>
            <w:shd w:val="clear" w:color="auto" w:fill="auto"/>
            <w:vAlign w:val="center"/>
            <w:hideMark/>
          </w:tcPr>
          <w:p w14:paraId="5FEF2847" w14:textId="613CACE9"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lastRenderedPageBreak/>
              <w:t xml:space="preserve">Objektivi Specifik 3.2: Fuqizimi ekonomik i personave të radikalizuar dhe familjeve të kthyera nga vendet e luftës përmes integrimit </w:t>
            </w:r>
            <w:r w:rsidRPr="00795698">
              <w:rPr>
                <w:rFonts w:ascii="Arial" w:hAnsi="Arial" w:cs="Arial"/>
                <w:color w:val="000000"/>
                <w:sz w:val="4"/>
                <w:szCs w:val="4"/>
                <w:lang w:eastAsia="sq-AL"/>
              </w:rPr>
              <w:lastRenderedPageBreak/>
              <w:t>dhe harmonizimit të ndërhyrjeve për kualifikime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punësim</w:t>
            </w:r>
          </w:p>
        </w:tc>
        <w:tc>
          <w:tcPr>
            <w:tcW w:w="183" w:type="pct"/>
            <w:tcBorders>
              <w:top w:val="nil"/>
              <w:left w:val="nil"/>
              <w:bottom w:val="nil"/>
              <w:right w:val="single" w:sz="4" w:space="0" w:color="auto"/>
            </w:tcBorders>
            <w:shd w:val="clear" w:color="auto" w:fill="auto"/>
            <w:vAlign w:val="center"/>
            <w:hideMark/>
          </w:tcPr>
          <w:p w14:paraId="5FEF2848" w14:textId="4131CCC9"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lastRenderedPageBreak/>
              <w:t>D</w:t>
            </w:r>
            <w:r w:rsidR="00C62D65" w:rsidRPr="00795698">
              <w:rPr>
                <w:rFonts w:ascii="Arial" w:hAnsi="Arial" w:cs="Arial"/>
                <w:color w:val="000000"/>
                <w:sz w:val="4"/>
                <w:szCs w:val="4"/>
                <w:lang w:eastAsia="sq-AL"/>
              </w:rPr>
              <w:t xml:space="preserve">okumente, </w:t>
            </w:r>
            <w:r w:rsidRPr="00795698">
              <w:rPr>
                <w:rFonts w:ascii="Arial" w:hAnsi="Arial" w:cs="Arial"/>
                <w:color w:val="000000"/>
                <w:sz w:val="4"/>
                <w:szCs w:val="4"/>
                <w:lang w:eastAsia="sq-AL"/>
              </w:rPr>
              <w:t>raporte</w:t>
            </w:r>
          </w:p>
        </w:tc>
        <w:tc>
          <w:tcPr>
            <w:tcW w:w="169" w:type="pct"/>
            <w:tcBorders>
              <w:top w:val="nil"/>
              <w:left w:val="nil"/>
              <w:bottom w:val="nil"/>
              <w:right w:val="single" w:sz="4" w:space="0" w:color="auto"/>
            </w:tcBorders>
            <w:shd w:val="clear" w:color="auto" w:fill="auto"/>
            <w:vAlign w:val="center"/>
            <w:hideMark/>
          </w:tcPr>
          <w:p w14:paraId="5FEF284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MFE/AKPA</w:t>
            </w:r>
          </w:p>
        </w:tc>
        <w:tc>
          <w:tcPr>
            <w:tcW w:w="174" w:type="pct"/>
            <w:tcBorders>
              <w:top w:val="nil"/>
              <w:left w:val="nil"/>
              <w:bottom w:val="nil"/>
              <w:right w:val="single" w:sz="4" w:space="0" w:color="auto"/>
            </w:tcBorders>
            <w:shd w:val="clear" w:color="auto" w:fill="auto"/>
            <w:vAlign w:val="center"/>
            <w:hideMark/>
          </w:tcPr>
          <w:p w14:paraId="5FEF284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xml:space="preserve">NJVV MFE/ Strukturat rajonale dhe vendore të AKPA </w:t>
            </w:r>
          </w:p>
        </w:tc>
        <w:tc>
          <w:tcPr>
            <w:tcW w:w="266" w:type="pct"/>
            <w:tcBorders>
              <w:top w:val="nil"/>
              <w:left w:val="nil"/>
              <w:bottom w:val="nil"/>
              <w:right w:val="single" w:sz="4" w:space="0" w:color="auto"/>
            </w:tcBorders>
            <w:shd w:val="clear" w:color="auto" w:fill="auto"/>
            <w:vAlign w:val="center"/>
            <w:hideMark/>
          </w:tcPr>
          <w:p w14:paraId="5FEF284B" w14:textId="0E4CB764"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Për çdo rast të radikalizuar dhe atyre të kthyer nga zonat e konfliktit</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mbahen evidenca për mbështetjen e ofruar për aplikim për punëkërkim. </w:t>
            </w:r>
          </w:p>
        </w:tc>
        <w:tc>
          <w:tcPr>
            <w:tcW w:w="121" w:type="pct"/>
            <w:tcBorders>
              <w:top w:val="nil"/>
              <w:left w:val="nil"/>
              <w:bottom w:val="single" w:sz="4" w:space="0" w:color="auto"/>
              <w:right w:val="single" w:sz="4" w:space="0" w:color="auto"/>
            </w:tcBorders>
            <w:shd w:val="clear" w:color="auto" w:fill="auto"/>
            <w:vAlign w:val="center"/>
            <w:hideMark/>
          </w:tcPr>
          <w:p w14:paraId="5FEF284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84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84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Kumulativ</w:t>
            </w:r>
          </w:p>
        </w:tc>
        <w:tc>
          <w:tcPr>
            <w:tcW w:w="131" w:type="pct"/>
            <w:tcBorders>
              <w:top w:val="nil"/>
              <w:left w:val="nil"/>
              <w:bottom w:val="single" w:sz="4" w:space="0" w:color="auto"/>
              <w:right w:val="single" w:sz="4" w:space="0" w:color="auto"/>
            </w:tcBorders>
            <w:shd w:val="clear" w:color="auto" w:fill="auto"/>
            <w:noWrap/>
            <w:vAlign w:val="center"/>
            <w:hideMark/>
          </w:tcPr>
          <w:p w14:paraId="5FEF284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850" w14:textId="74A8083B"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Ky indikator do të vlerësohet duke matur numrin e personave të radikalizuar dhe atyre të kthyer nga </w:t>
            </w:r>
            <w:r w:rsidRPr="00795698">
              <w:rPr>
                <w:rFonts w:ascii="Arial" w:hAnsi="Arial" w:cs="Arial"/>
                <w:color w:val="000000"/>
                <w:sz w:val="4"/>
                <w:szCs w:val="4"/>
                <w:lang w:eastAsia="sq-AL"/>
              </w:rPr>
              <w:lastRenderedPageBreak/>
              <w:t>zonat e konfliktit të cilët kanë përfituar nga mbështetje 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personalizuar për aplikime për punëkërkim, në raport me numrin e atyre të synuar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85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lastRenderedPageBreak/>
              <w:t>N/A</w:t>
            </w:r>
          </w:p>
        </w:tc>
        <w:tc>
          <w:tcPr>
            <w:tcW w:w="170" w:type="pct"/>
            <w:tcBorders>
              <w:top w:val="nil"/>
              <w:left w:val="nil"/>
              <w:bottom w:val="single" w:sz="4" w:space="0" w:color="auto"/>
              <w:right w:val="single" w:sz="4" w:space="0" w:color="auto"/>
            </w:tcBorders>
            <w:shd w:val="clear" w:color="auto" w:fill="auto"/>
            <w:vAlign w:val="center"/>
            <w:hideMark/>
          </w:tcPr>
          <w:p w14:paraId="5FEF285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85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85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nil"/>
              <w:right w:val="single" w:sz="4" w:space="0" w:color="auto"/>
            </w:tcBorders>
            <w:shd w:val="clear" w:color="auto" w:fill="auto"/>
            <w:vAlign w:val="center"/>
            <w:hideMark/>
          </w:tcPr>
          <w:p w14:paraId="5FEF285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single" w:sz="4" w:space="0" w:color="auto"/>
              <w:right w:val="single" w:sz="4" w:space="0" w:color="auto"/>
            </w:tcBorders>
            <w:shd w:val="clear" w:color="auto" w:fill="auto"/>
            <w:vAlign w:val="center"/>
            <w:hideMark/>
          </w:tcPr>
          <w:p w14:paraId="5FEF285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16</w:t>
            </w:r>
          </w:p>
        </w:tc>
        <w:tc>
          <w:tcPr>
            <w:tcW w:w="104" w:type="pct"/>
            <w:tcBorders>
              <w:top w:val="nil"/>
              <w:left w:val="nil"/>
              <w:bottom w:val="single" w:sz="4" w:space="0" w:color="auto"/>
              <w:right w:val="single" w:sz="4" w:space="0" w:color="auto"/>
            </w:tcBorders>
            <w:shd w:val="clear" w:color="auto" w:fill="auto"/>
            <w:vAlign w:val="center"/>
            <w:hideMark/>
          </w:tcPr>
          <w:p w14:paraId="5FEF285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w:t>
            </w:r>
          </w:p>
        </w:tc>
        <w:tc>
          <w:tcPr>
            <w:tcW w:w="104" w:type="pct"/>
            <w:tcBorders>
              <w:top w:val="nil"/>
              <w:left w:val="nil"/>
              <w:bottom w:val="single" w:sz="4" w:space="0" w:color="auto"/>
              <w:right w:val="single" w:sz="4" w:space="0" w:color="auto"/>
            </w:tcBorders>
            <w:shd w:val="clear" w:color="auto" w:fill="auto"/>
            <w:vAlign w:val="center"/>
            <w:hideMark/>
          </w:tcPr>
          <w:p w14:paraId="5FEF285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85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w:t>
            </w:r>
          </w:p>
        </w:tc>
        <w:tc>
          <w:tcPr>
            <w:tcW w:w="104" w:type="pct"/>
            <w:tcBorders>
              <w:top w:val="nil"/>
              <w:left w:val="nil"/>
              <w:bottom w:val="single" w:sz="4" w:space="0" w:color="auto"/>
              <w:right w:val="single" w:sz="4" w:space="0" w:color="auto"/>
            </w:tcBorders>
            <w:shd w:val="clear" w:color="auto" w:fill="auto"/>
            <w:vAlign w:val="center"/>
            <w:hideMark/>
          </w:tcPr>
          <w:p w14:paraId="5FEF285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single" w:sz="4" w:space="0" w:color="auto"/>
              <w:right w:val="single" w:sz="4" w:space="0" w:color="auto"/>
            </w:tcBorders>
            <w:shd w:val="clear" w:color="auto" w:fill="auto"/>
            <w:vAlign w:val="center"/>
            <w:hideMark/>
          </w:tcPr>
          <w:p w14:paraId="5FEF285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30</w:t>
            </w:r>
          </w:p>
        </w:tc>
        <w:tc>
          <w:tcPr>
            <w:tcW w:w="104" w:type="pct"/>
            <w:tcBorders>
              <w:top w:val="nil"/>
              <w:left w:val="nil"/>
              <w:bottom w:val="single" w:sz="4" w:space="0" w:color="auto"/>
              <w:right w:val="single" w:sz="4" w:space="0" w:color="auto"/>
            </w:tcBorders>
            <w:shd w:val="clear" w:color="auto" w:fill="auto"/>
            <w:vAlign w:val="center"/>
            <w:hideMark/>
          </w:tcPr>
          <w:p w14:paraId="5FEF285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85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40</w:t>
            </w:r>
          </w:p>
        </w:tc>
        <w:tc>
          <w:tcPr>
            <w:tcW w:w="188" w:type="pct"/>
            <w:tcBorders>
              <w:top w:val="nil"/>
              <w:left w:val="nil"/>
              <w:bottom w:val="single" w:sz="4" w:space="0" w:color="auto"/>
              <w:right w:val="single" w:sz="4" w:space="0" w:color="auto"/>
            </w:tcBorders>
            <w:shd w:val="clear" w:color="auto" w:fill="auto"/>
            <w:vAlign w:val="center"/>
            <w:hideMark/>
          </w:tcPr>
          <w:p w14:paraId="5FEF285E" w14:textId="4E085FA2"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 xml:space="preserve">Rishikimi i pasaportës së indikatorëve mund të bëhet çdo vit në bazë të dinamikës së ndryshimit të </w:t>
            </w:r>
            <w:r w:rsidRPr="00795698">
              <w:rPr>
                <w:rFonts w:ascii="Arial" w:hAnsi="Arial" w:cs="Arial"/>
                <w:sz w:val="4"/>
                <w:szCs w:val="4"/>
                <w:lang w:eastAsia="sq-AL"/>
              </w:rPr>
              <w:lastRenderedPageBreak/>
              <w:t>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vAlign w:val="center"/>
            <w:hideMark/>
          </w:tcPr>
          <w:p w14:paraId="5FEF285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lastRenderedPageBreak/>
              <w:t> </w:t>
            </w:r>
          </w:p>
        </w:tc>
        <w:tc>
          <w:tcPr>
            <w:tcW w:w="196" w:type="pct"/>
            <w:tcBorders>
              <w:top w:val="nil"/>
              <w:left w:val="nil"/>
              <w:bottom w:val="single" w:sz="4" w:space="0" w:color="auto"/>
              <w:right w:val="single" w:sz="4" w:space="0" w:color="auto"/>
            </w:tcBorders>
            <w:shd w:val="clear" w:color="auto" w:fill="auto"/>
            <w:vAlign w:val="center"/>
            <w:hideMark/>
          </w:tcPr>
          <w:p w14:paraId="5FEF2860"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Shtylla 16 - Promovimi i shoqërive gjithëpërfshirëse për një zhvillimin të qëndrueshëm, ofrimi i qasjes së barabartë, </w:t>
            </w:r>
            <w:r w:rsidRPr="00795698">
              <w:rPr>
                <w:rFonts w:ascii="Arial" w:hAnsi="Arial" w:cs="Arial"/>
                <w:color w:val="000000"/>
                <w:sz w:val="4"/>
                <w:szCs w:val="4"/>
                <w:lang w:eastAsia="sq-AL"/>
              </w:rPr>
              <w:lastRenderedPageBreak/>
              <w:t>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861"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lastRenderedPageBreak/>
              <w:t xml:space="preserve">Deri në vitin 2030, të sigurohet promovimi i shoqërive gjithëpërfshirëse për një zhvillimin të qëndrueshëm, </w:t>
            </w:r>
            <w:r w:rsidRPr="00795698">
              <w:rPr>
                <w:rFonts w:ascii="Arial" w:hAnsi="Arial" w:cs="Arial"/>
                <w:color w:val="000000"/>
                <w:sz w:val="4"/>
                <w:szCs w:val="4"/>
                <w:lang w:eastAsia="sq-AL"/>
              </w:rPr>
              <w:lastRenderedPageBreak/>
              <w:t>ofrim i qasjes së barabartë, drejtësi për të gjithë dhe ndërtimi i institucioneve efektive, të përgjegjshme dhe gjithëpërfshirëse në të gjitha nivelet</w:t>
            </w:r>
          </w:p>
        </w:tc>
      </w:tr>
      <w:tr w:rsidR="00F6012F" w:rsidRPr="00795698" w14:paraId="5FEF2884"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86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lastRenderedPageBreak/>
              <w:t>13</w:t>
            </w:r>
          </w:p>
        </w:tc>
        <w:tc>
          <w:tcPr>
            <w:tcW w:w="151" w:type="pct"/>
            <w:tcBorders>
              <w:top w:val="nil"/>
              <w:left w:val="nil"/>
              <w:bottom w:val="single" w:sz="4" w:space="0" w:color="auto"/>
              <w:right w:val="single" w:sz="4" w:space="0" w:color="auto"/>
            </w:tcBorders>
            <w:shd w:val="clear" w:color="auto" w:fill="auto"/>
            <w:vAlign w:val="center"/>
            <w:hideMark/>
          </w:tcPr>
          <w:p w14:paraId="5FEF286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single" w:sz="4" w:space="0" w:color="auto"/>
              <w:left w:val="nil"/>
              <w:bottom w:val="nil"/>
              <w:right w:val="single" w:sz="4" w:space="0" w:color="auto"/>
            </w:tcBorders>
            <w:shd w:val="clear" w:color="auto" w:fill="auto"/>
            <w:vAlign w:val="center"/>
            <w:hideMark/>
          </w:tcPr>
          <w:p w14:paraId="5FEF2865"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Numri i punonjësve të migracionit në strukturat e AKPA që mbulojnë gjithë territorin e vendit, të trajnuar për elementët njohës të personave të radikalizuar apo në risk radikalizimi apo ekstremizmi të dhunshëm.</w:t>
            </w:r>
          </w:p>
        </w:tc>
        <w:tc>
          <w:tcPr>
            <w:tcW w:w="157" w:type="pct"/>
            <w:tcBorders>
              <w:top w:val="nil"/>
              <w:left w:val="nil"/>
              <w:bottom w:val="single" w:sz="4" w:space="0" w:color="auto"/>
              <w:right w:val="single" w:sz="4" w:space="0" w:color="auto"/>
            </w:tcBorders>
            <w:shd w:val="clear" w:color="auto" w:fill="auto"/>
            <w:vAlign w:val="center"/>
            <w:hideMark/>
          </w:tcPr>
          <w:p w14:paraId="5FEF2866"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867" w14:textId="7E9CC6B4"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868"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3: Reagim nëpërmjet reduktimit dhe lehtësimit të pasojave të fenomeneve të radikalizmit, ekstremizmit të dhunshëm dhe terrorizmit</w:t>
            </w:r>
          </w:p>
        </w:tc>
        <w:tc>
          <w:tcPr>
            <w:tcW w:w="219" w:type="pct"/>
            <w:tcBorders>
              <w:top w:val="single" w:sz="4" w:space="0" w:color="auto"/>
              <w:left w:val="nil"/>
              <w:bottom w:val="nil"/>
              <w:right w:val="single" w:sz="4" w:space="0" w:color="auto"/>
            </w:tcBorders>
            <w:shd w:val="clear" w:color="auto" w:fill="auto"/>
            <w:vAlign w:val="center"/>
            <w:hideMark/>
          </w:tcPr>
          <w:p w14:paraId="5FEF2869" w14:textId="30218C1F" w:rsidR="00F6012F" w:rsidRPr="00795698" w:rsidRDefault="00F6012F" w:rsidP="00C62D65">
            <w:pPr>
              <w:rPr>
                <w:rFonts w:ascii="Arial" w:hAnsi="Arial" w:cs="Arial"/>
                <w:color w:val="000000"/>
                <w:sz w:val="4"/>
                <w:szCs w:val="4"/>
                <w:lang w:eastAsia="sq-AL"/>
              </w:rPr>
            </w:pPr>
            <w:r w:rsidRPr="00795698">
              <w:rPr>
                <w:rFonts w:ascii="Arial" w:hAnsi="Arial" w:cs="Arial"/>
                <w:color w:val="000000"/>
                <w:sz w:val="4"/>
                <w:szCs w:val="4"/>
                <w:lang w:eastAsia="sq-AL"/>
              </w:rPr>
              <w:t>Objektivi Specifik 3.2: Fuqizimi ekonomik i personave të radikalizuar dhe familjeve t</w:t>
            </w:r>
            <w:r w:rsidR="00C62D65" w:rsidRPr="00795698">
              <w:rPr>
                <w:rFonts w:ascii="Arial" w:hAnsi="Arial" w:cs="Arial"/>
                <w:color w:val="000000"/>
                <w:sz w:val="4"/>
                <w:szCs w:val="4"/>
                <w:lang w:eastAsia="sq-AL"/>
              </w:rPr>
              <w:t>ë</w:t>
            </w:r>
            <w:r w:rsidRPr="00795698">
              <w:rPr>
                <w:rFonts w:ascii="Arial" w:hAnsi="Arial" w:cs="Arial"/>
                <w:color w:val="000000"/>
                <w:sz w:val="4"/>
                <w:szCs w:val="4"/>
                <w:lang w:eastAsia="sq-AL"/>
              </w:rPr>
              <w:t xml:space="preserve"> kthyera nga vendet e luftës përmes integrimit dhe harmonizimit të ndërhyrjeve për kualifikime dhe</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punësim</w:t>
            </w:r>
          </w:p>
        </w:tc>
        <w:tc>
          <w:tcPr>
            <w:tcW w:w="183" w:type="pct"/>
            <w:tcBorders>
              <w:top w:val="single" w:sz="4" w:space="0" w:color="auto"/>
              <w:left w:val="nil"/>
              <w:bottom w:val="nil"/>
              <w:right w:val="single" w:sz="4" w:space="0" w:color="auto"/>
            </w:tcBorders>
            <w:shd w:val="clear" w:color="auto" w:fill="auto"/>
            <w:vAlign w:val="center"/>
            <w:hideMark/>
          </w:tcPr>
          <w:p w14:paraId="5FEF286A" w14:textId="3EBF7164" w:rsidR="00F6012F" w:rsidRPr="00795698" w:rsidRDefault="00C62D65"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Dokumente</w:t>
            </w:r>
            <w:r w:rsidR="00F6012F" w:rsidRPr="00795698">
              <w:rPr>
                <w:rFonts w:ascii="Arial" w:hAnsi="Arial" w:cs="Arial"/>
                <w:color w:val="000000"/>
                <w:sz w:val="4"/>
                <w:szCs w:val="4"/>
                <w:lang w:eastAsia="sq-AL"/>
              </w:rPr>
              <w:t>, raporte</w:t>
            </w:r>
          </w:p>
        </w:tc>
        <w:tc>
          <w:tcPr>
            <w:tcW w:w="169" w:type="pct"/>
            <w:tcBorders>
              <w:top w:val="single" w:sz="4" w:space="0" w:color="auto"/>
              <w:left w:val="nil"/>
              <w:bottom w:val="nil"/>
              <w:right w:val="single" w:sz="4" w:space="0" w:color="auto"/>
            </w:tcBorders>
            <w:shd w:val="clear" w:color="auto" w:fill="auto"/>
            <w:vAlign w:val="center"/>
            <w:hideMark/>
          </w:tcPr>
          <w:p w14:paraId="5FEF286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QKEDH</w:t>
            </w:r>
          </w:p>
        </w:tc>
        <w:tc>
          <w:tcPr>
            <w:tcW w:w="174" w:type="pct"/>
            <w:tcBorders>
              <w:top w:val="single" w:sz="4" w:space="0" w:color="auto"/>
              <w:left w:val="nil"/>
              <w:bottom w:val="nil"/>
              <w:right w:val="single" w:sz="4" w:space="0" w:color="auto"/>
            </w:tcBorders>
            <w:shd w:val="clear" w:color="auto" w:fill="auto"/>
            <w:noWrap/>
            <w:vAlign w:val="center"/>
            <w:hideMark/>
          </w:tcPr>
          <w:p w14:paraId="5FEF286C" w14:textId="10DD5D35"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AKPA</w:t>
            </w:r>
            <w:r w:rsidR="00D10A07" w:rsidRPr="00795698">
              <w:rPr>
                <w:rFonts w:ascii="Arial" w:hAnsi="Arial" w:cs="Arial"/>
                <w:color w:val="000000"/>
                <w:sz w:val="4"/>
                <w:szCs w:val="4"/>
                <w:lang w:eastAsia="sq-AL"/>
              </w:rPr>
              <w:t>,</w:t>
            </w:r>
            <w:r w:rsidRPr="00795698">
              <w:rPr>
                <w:rFonts w:ascii="Arial" w:hAnsi="Arial" w:cs="Arial"/>
                <w:color w:val="000000"/>
                <w:sz w:val="4"/>
                <w:szCs w:val="4"/>
                <w:lang w:eastAsia="sq-AL"/>
              </w:rPr>
              <w:t xml:space="preserve"> MFE</w:t>
            </w:r>
          </w:p>
        </w:tc>
        <w:tc>
          <w:tcPr>
            <w:tcW w:w="266" w:type="pct"/>
            <w:tcBorders>
              <w:top w:val="single" w:sz="4" w:space="0" w:color="auto"/>
              <w:left w:val="nil"/>
              <w:bottom w:val="nil"/>
              <w:right w:val="single" w:sz="4" w:space="0" w:color="auto"/>
            </w:tcBorders>
            <w:shd w:val="clear" w:color="auto" w:fill="auto"/>
            <w:vAlign w:val="center"/>
            <w:hideMark/>
          </w:tcPr>
          <w:p w14:paraId="5FEF286D"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Për çdo program trajnimi përllogariten përfituesit përmes listë-prezencave në trajnim.</w:t>
            </w:r>
          </w:p>
        </w:tc>
        <w:tc>
          <w:tcPr>
            <w:tcW w:w="121" w:type="pct"/>
            <w:tcBorders>
              <w:top w:val="nil"/>
              <w:left w:val="nil"/>
              <w:bottom w:val="single" w:sz="4" w:space="0" w:color="auto"/>
              <w:right w:val="single" w:sz="4" w:space="0" w:color="auto"/>
            </w:tcBorders>
            <w:shd w:val="clear" w:color="auto" w:fill="auto"/>
            <w:vAlign w:val="center"/>
            <w:hideMark/>
          </w:tcPr>
          <w:p w14:paraId="5FEF286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86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87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87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872" w14:textId="22C0EECC"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punonjësve të migracionit në strukturat e AKPA që mbulojnë gjithë territorin e vendit, të trajnuar për</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elementët njohës të personave të radikalizuar apo në risk radikalizimi apo ekstremizmi të dhunshëm, në raport me numrin e atyre të synuar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87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874"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87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87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nil"/>
              <w:right w:val="single" w:sz="4" w:space="0" w:color="auto"/>
            </w:tcBorders>
            <w:shd w:val="clear" w:color="auto" w:fill="auto"/>
            <w:vAlign w:val="center"/>
            <w:hideMark/>
          </w:tcPr>
          <w:p w14:paraId="5FEF287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nil"/>
              <w:left w:val="nil"/>
              <w:bottom w:val="nil"/>
              <w:right w:val="single" w:sz="4" w:space="0" w:color="000000"/>
            </w:tcBorders>
            <w:shd w:val="clear" w:color="auto" w:fill="auto"/>
            <w:vAlign w:val="center"/>
            <w:hideMark/>
          </w:tcPr>
          <w:p w14:paraId="5FEF2878"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0</w:t>
            </w:r>
          </w:p>
        </w:tc>
        <w:tc>
          <w:tcPr>
            <w:tcW w:w="104" w:type="pct"/>
            <w:tcBorders>
              <w:top w:val="nil"/>
              <w:left w:val="nil"/>
              <w:bottom w:val="single" w:sz="4" w:space="0" w:color="auto"/>
              <w:right w:val="single" w:sz="4" w:space="0" w:color="auto"/>
            </w:tcBorders>
            <w:shd w:val="clear" w:color="auto" w:fill="auto"/>
            <w:vAlign w:val="center"/>
            <w:hideMark/>
          </w:tcPr>
          <w:p w14:paraId="5FEF287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50</w:t>
            </w:r>
          </w:p>
        </w:tc>
        <w:tc>
          <w:tcPr>
            <w:tcW w:w="104" w:type="pct"/>
            <w:tcBorders>
              <w:top w:val="nil"/>
              <w:left w:val="nil"/>
              <w:bottom w:val="single" w:sz="4" w:space="0" w:color="auto"/>
              <w:right w:val="single" w:sz="4" w:space="0" w:color="auto"/>
            </w:tcBorders>
            <w:shd w:val="clear" w:color="auto" w:fill="auto"/>
            <w:vAlign w:val="center"/>
            <w:hideMark/>
          </w:tcPr>
          <w:p w14:paraId="5FEF287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87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100</w:t>
            </w:r>
          </w:p>
        </w:tc>
        <w:tc>
          <w:tcPr>
            <w:tcW w:w="104" w:type="pct"/>
            <w:tcBorders>
              <w:top w:val="nil"/>
              <w:left w:val="nil"/>
              <w:bottom w:val="single" w:sz="4" w:space="0" w:color="auto"/>
              <w:right w:val="single" w:sz="4" w:space="0" w:color="auto"/>
            </w:tcBorders>
            <w:shd w:val="clear" w:color="auto" w:fill="auto"/>
            <w:vAlign w:val="center"/>
            <w:hideMark/>
          </w:tcPr>
          <w:p w14:paraId="5FEF287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nil"/>
              <w:left w:val="nil"/>
              <w:bottom w:val="nil"/>
              <w:right w:val="single" w:sz="4" w:space="0" w:color="000000"/>
            </w:tcBorders>
            <w:shd w:val="clear" w:color="auto" w:fill="auto"/>
            <w:vAlign w:val="center"/>
            <w:hideMark/>
          </w:tcPr>
          <w:p w14:paraId="5FEF287D" w14:textId="77777777" w:rsidR="00F6012F" w:rsidRPr="00795698" w:rsidRDefault="00F6012F" w:rsidP="00F6012F">
            <w:pPr>
              <w:jc w:val="center"/>
              <w:rPr>
                <w:rFonts w:ascii="Arial" w:hAnsi="Arial" w:cs="Arial"/>
                <w:sz w:val="4"/>
                <w:szCs w:val="4"/>
                <w:lang w:eastAsia="sq-AL"/>
              </w:rPr>
            </w:pPr>
            <w:r w:rsidRPr="00795698">
              <w:rPr>
                <w:rFonts w:ascii="Arial" w:hAnsi="Arial" w:cs="Arial"/>
                <w:sz w:val="4"/>
                <w:szCs w:val="4"/>
                <w:lang w:eastAsia="sq-AL"/>
              </w:rPr>
              <w:t>150</w:t>
            </w:r>
          </w:p>
        </w:tc>
        <w:tc>
          <w:tcPr>
            <w:tcW w:w="104" w:type="pct"/>
            <w:tcBorders>
              <w:top w:val="nil"/>
              <w:left w:val="nil"/>
              <w:bottom w:val="single" w:sz="4" w:space="0" w:color="auto"/>
              <w:right w:val="single" w:sz="4" w:space="0" w:color="auto"/>
            </w:tcBorders>
            <w:shd w:val="clear" w:color="auto" w:fill="auto"/>
            <w:vAlign w:val="center"/>
            <w:hideMark/>
          </w:tcPr>
          <w:p w14:paraId="5FEF287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vAlign w:val="center"/>
            <w:hideMark/>
          </w:tcPr>
          <w:p w14:paraId="5FEF287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200</w:t>
            </w:r>
          </w:p>
        </w:tc>
        <w:tc>
          <w:tcPr>
            <w:tcW w:w="188" w:type="pct"/>
            <w:tcBorders>
              <w:top w:val="nil"/>
              <w:left w:val="nil"/>
              <w:bottom w:val="single" w:sz="4" w:space="0" w:color="auto"/>
              <w:right w:val="single" w:sz="4" w:space="0" w:color="auto"/>
            </w:tcBorders>
            <w:shd w:val="clear" w:color="auto" w:fill="auto"/>
            <w:vAlign w:val="center"/>
            <w:hideMark/>
          </w:tcPr>
          <w:p w14:paraId="5FEF2880" w14:textId="33C85E74"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noWrap/>
            <w:vAlign w:val="center"/>
            <w:hideMark/>
          </w:tcPr>
          <w:p w14:paraId="5FEF288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882"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883"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r w:rsidR="00F6012F" w:rsidRPr="00795698" w14:paraId="5FEF28A6" w14:textId="77777777" w:rsidTr="00F6012F">
        <w:trPr>
          <w:trHeight w:val="180"/>
          <w:jc w:val="center"/>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FEF288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14</w:t>
            </w:r>
          </w:p>
        </w:tc>
        <w:tc>
          <w:tcPr>
            <w:tcW w:w="151" w:type="pct"/>
            <w:tcBorders>
              <w:top w:val="nil"/>
              <w:left w:val="nil"/>
              <w:bottom w:val="single" w:sz="4" w:space="0" w:color="auto"/>
              <w:right w:val="single" w:sz="4" w:space="0" w:color="auto"/>
            </w:tcBorders>
            <w:shd w:val="clear" w:color="auto" w:fill="auto"/>
            <w:vAlign w:val="center"/>
            <w:hideMark/>
          </w:tcPr>
          <w:p w14:paraId="5FEF288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Produkti</w:t>
            </w:r>
          </w:p>
        </w:tc>
        <w:tc>
          <w:tcPr>
            <w:tcW w:w="190" w:type="pct"/>
            <w:tcBorders>
              <w:top w:val="single" w:sz="4" w:space="0" w:color="auto"/>
              <w:left w:val="nil"/>
              <w:bottom w:val="single" w:sz="4" w:space="0" w:color="auto"/>
              <w:right w:val="single" w:sz="4" w:space="0" w:color="auto"/>
            </w:tcBorders>
            <w:shd w:val="clear" w:color="auto" w:fill="auto"/>
            <w:vAlign w:val="center"/>
            <w:hideMark/>
          </w:tcPr>
          <w:p w14:paraId="5FEF2887" w14:textId="425ECC1A"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Numri i familjeve me persona të radikalizuar dhe/ose familje të kthyera</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nga lufta,</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të përfshirë në skemat e strehimit</w:t>
            </w:r>
          </w:p>
        </w:tc>
        <w:tc>
          <w:tcPr>
            <w:tcW w:w="157" w:type="pct"/>
            <w:tcBorders>
              <w:top w:val="nil"/>
              <w:left w:val="nil"/>
              <w:bottom w:val="single" w:sz="4" w:space="0" w:color="auto"/>
              <w:right w:val="single" w:sz="4" w:space="0" w:color="auto"/>
            </w:tcBorders>
            <w:shd w:val="clear" w:color="auto" w:fill="auto"/>
            <w:vAlign w:val="center"/>
            <w:hideMark/>
          </w:tcPr>
          <w:p w14:paraId="5FEF2888"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 xml:space="preserve">Qeverisja e mirë, demokracia dhe shteti i së drejtës: 8.4 Lufta kundër krimit të organizuar, terrorizmit dhe trafikimit. </w:t>
            </w:r>
          </w:p>
        </w:tc>
        <w:tc>
          <w:tcPr>
            <w:tcW w:w="205" w:type="pct"/>
            <w:tcBorders>
              <w:top w:val="nil"/>
              <w:left w:val="nil"/>
              <w:bottom w:val="single" w:sz="4" w:space="0" w:color="auto"/>
              <w:right w:val="single" w:sz="4" w:space="0" w:color="auto"/>
            </w:tcBorders>
            <w:shd w:val="clear" w:color="auto" w:fill="auto"/>
            <w:vAlign w:val="center"/>
            <w:hideMark/>
          </w:tcPr>
          <w:p w14:paraId="5FEF2889" w14:textId="0D122AB0"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Shqipëria me një shoqëri pa trafikim, krim të organizuar dhe kërcënime terrorizmi, dhe me një imazh të një vendi paqësor dhe me standarde evropiane të sigurisë. Objektivat strategjikë</w:t>
            </w:r>
            <w:r w:rsidR="00D10A07" w:rsidRPr="00795698">
              <w:rPr>
                <w:rFonts w:ascii="Arial" w:hAnsi="Arial" w:cs="Arial"/>
                <w:sz w:val="4"/>
                <w:szCs w:val="4"/>
                <w:lang w:eastAsia="sq-AL"/>
              </w:rPr>
              <w:t>:</w:t>
            </w:r>
            <w:r w:rsidRPr="00795698">
              <w:rPr>
                <w:rFonts w:ascii="Arial" w:hAnsi="Arial" w:cs="Arial"/>
                <w:sz w:val="4"/>
                <w:szCs w:val="4"/>
                <w:lang w:eastAsia="sq-AL"/>
              </w:rPr>
              <w:t xml:space="preserve"> - Rritja e efikasitetit të njësisë së krimeve kibernetike ;me </w:t>
            </w:r>
            <w:r w:rsidR="00C62D65" w:rsidRPr="00795698">
              <w:rPr>
                <w:rFonts w:ascii="Arial" w:hAnsi="Arial" w:cs="Arial"/>
                <w:sz w:val="4"/>
                <w:szCs w:val="4"/>
                <w:lang w:eastAsia="sq-AL"/>
              </w:rPr>
              <w:t>përmbajtje</w:t>
            </w:r>
            <w:r w:rsidRPr="00795698">
              <w:rPr>
                <w:rFonts w:ascii="Arial" w:hAnsi="Arial" w:cs="Arial"/>
                <w:sz w:val="4"/>
                <w:szCs w:val="4"/>
                <w:lang w:eastAsia="sq-AL"/>
              </w:rPr>
              <w:t xml:space="preserve"> radikaliste, ekstremiste dhe terroriste </w:t>
            </w:r>
            <w:r w:rsidRPr="00795698">
              <w:rPr>
                <w:rFonts w:ascii="Arial" w:hAnsi="Arial" w:cs="Arial"/>
                <w:sz w:val="4"/>
                <w:szCs w:val="4"/>
                <w:lang w:eastAsia="sq-AL"/>
              </w:rPr>
              <w:br/>
              <w:t>- Parandalimi dhe ulja e kërcënimeve terroriste;</w:t>
            </w:r>
            <w:r w:rsidRPr="00795698">
              <w:rPr>
                <w:rFonts w:ascii="Arial" w:hAnsi="Arial" w:cs="Arial"/>
                <w:sz w:val="4"/>
                <w:szCs w:val="4"/>
                <w:lang w:eastAsia="sq-AL"/>
              </w:rPr>
              <w:br/>
              <w:t>- Krijimi i një shërbimi hetimor bashkëkohor;</w:t>
            </w:r>
            <w:r w:rsidRPr="00795698">
              <w:rPr>
                <w:rFonts w:ascii="Arial" w:hAnsi="Arial" w:cs="Arial"/>
                <w:sz w:val="4"/>
                <w:szCs w:val="4"/>
                <w:lang w:eastAsia="sq-AL"/>
              </w:rPr>
              <w:br/>
              <w:t>- Forcimi i bashkëpunimit rajonal dhe ndërkombëtar</w:t>
            </w:r>
          </w:p>
        </w:tc>
        <w:tc>
          <w:tcPr>
            <w:tcW w:w="165" w:type="pct"/>
            <w:tcBorders>
              <w:top w:val="nil"/>
              <w:left w:val="nil"/>
              <w:bottom w:val="single" w:sz="4" w:space="0" w:color="auto"/>
              <w:right w:val="single" w:sz="4" w:space="0" w:color="auto"/>
            </w:tcBorders>
            <w:shd w:val="clear" w:color="auto" w:fill="auto"/>
            <w:vAlign w:val="center"/>
            <w:hideMark/>
          </w:tcPr>
          <w:p w14:paraId="5FEF288A"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Qëllimi i Politikës 3: Reagim nëpërmjet reduktimit dhe lehtësimit të pasojave të fenomeneve të radikalizmit, ekstremizmit të dhunshëm dhe terrorizmit</w:t>
            </w:r>
          </w:p>
        </w:tc>
        <w:tc>
          <w:tcPr>
            <w:tcW w:w="219" w:type="pct"/>
            <w:tcBorders>
              <w:top w:val="single" w:sz="4" w:space="0" w:color="auto"/>
              <w:left w:val="nil"/>
              <w:bottom w:val="single" w:sz="4" w:space="0" w:color="auto"/>
              <w:right w:val="single" w:sz="4" w:space="0" w:color="auto"/>
            </w:tcBorders>
            <w:shd w:val="clear" w:color="auto" w:fill="auto"/>
            <w:vAlign w:val="center"/>
            <w:hideMark/>
          </w:tcPr>
          <w:p w14:paraId="5FEF288B" w14:textId="39B3CFA4"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Objektivi Specifik 3.3: Rritja e aksesit të personave të radikalizuar</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dhe të kthyer nga vendet e luftës në programet e strehimit social.</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5FEF288C" w14:textId="603E036F"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w:t>
            </w:r>
            <w:r w:rsidR="00C62D65" w:rsidRPr="00795698">
              <w:rPr>
                <w:rFonts w:ascii="Arial" w:hAnsi="Arial" w:cs="Arial"/>
                <w:color w:val="000000"/>
                <w:sz w:val="4"/>
                <w:szCs w:val="4"/>
                <w:lang w:eastAsia="sq-AL"/>
              </w:rPr>
              <w:t xml:space="preserve">okumente, </w:t>
            </w:r>
            <w:r w:rsidRPr="00795698">
              <w:rPr>
                <w:rFonts w:ascii="Arial" w:hAnsi="Arial" w:cs="Arial"/>
                <w:color w:val="000000"/>
                <w:sz w:val="4"/>
                <w:szCs w:val="4"/>
                <w:lang w:eastAsia="sq-AL"/>
              </w:rPr>
              <w:t>raporte</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5FEF288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MFE</w:t>
            </w:r>
          </w:p>
        </w:tc>
        <w:tc>
          <w:tcPr>
            <w:tcW w:w="174" w:type="pct"/>
            <w:tcBorders>
              <w:top w:val="single" w:sz="4" w:space="0" w:color="auto"/>
              <w:left w:val="nil"/>
              <w:bottom w:val="single" w:sz="4" w:space="0" w:color="auto"/>
              <w:right w:val="single" w:sz="4" w:space="0" w:color="auto"/>
            </w:tcBorders>
            <w:shd w:val="clear" w:color="auto" w:fill="auto"/>
            <w:noWrap/>
            <w:vAlign w:val="center"/>
            <w:hideMark/>
          </w:tcPr>
          <w:p w14:paraId="5FEF288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NJVV</w:t>
            </w:r>
          </w:p>
        </w:tc>
        <w:tc>
          <w:tcPr>
            <w:tcW w:w="266" w:type="pct"/>
            <w:tcBorders>
              <w:top w:val="single" w:sz="4" w:space="0" w:color="auto"/>
              <w:left w:val="nil"/>
              <w:bottom w:val="single" w:sz="4" w:space="0" w:color="auto"/>
              <w:right w:val="single" w:sz="4" w:space="0" w:color="auto"/>
            </w:tcBorders>
            <w:shd w:val="clear" w:color="auto" w:fill="auto"/>
            <w:vAlign w:val="center"/>
            <w:hideMark/>
          </w:tcPr>
          <w:p w14:paraId="5FEF288F" w14:textId="03294E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NJVV raportojnë llojin e skemës së strehimit në të cilën janë përfshirë familjet e radikalizuara dhe ose familjet e kthyera</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nga lufta.</w:t>
            </w:r>
          </w:p>
        </w:tc>
        <w:tc>
          <w:tcPr>
            <w:tcW w:w="121" w:type="pct"/>
            <w:tcBorders>
              <w:top w:val="nil"/>
              <w:left w:val="nil"/>
              <w:bottom w:val="single" w:sz="4" w:space="0" w:color="auto"/>
              <w:right w:val="single" w:sz="4" w:space="0" w:color="auto"/>
            </w:tcBorders>
            <w:shd w:val="clear" w:color="auto" w:fill="auto"/>
            <w:vAlign w:val="center"/>
            <w:hideMark/>
          </w:tcPr>
          <w:p w14:paraId="5FEF289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121" w:type="pct"/>
            <w:tcBorders>
              <w:top w:val="nil"/>
              <w:left w:val="nil"/>
              <w:bottom w:val="single" w:sz="4" w:space="0" w:color="auto"/>
              <w:right w:val="single" w:sz="4" w:space="0" w:color="auto"/>
            </w:tcBorders>
            <w:shd w:val="clear" w:color="auto" w:fill="auto"/>
            <w:vAlign w:val="center"/>
            <w:hideMark/>
          </w:tcPr>
          <w:p w14:paraId="5FEF289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Vjetore</w:t>
            </w:r>
          </w:p>
        </w:tc>
        <w:tc>
          <w:tcPr>
            <w:tcW w:w="237" w:type="pct"/>
            <w:tcBorders>
              <w:top w:val="nil"/>
              <w:left w:val="nil"/>
              <w:bottom w:val="single" w:sz="4" w:space="0" w:color="auto"/>
              <w:right w:val="single" w:sz="4" w:space="0" w:color="auto"/>
            </w:tcBorders>
            <w:shd w:val="clear" w:color="auto" w:fill="auto"/>
            <w:noWrap/>
            <w:vAlign w:val="center"/>
            <w:hideMark/>
          </w:tcPr>
          <w:p w14:paraId="5FEF2892"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31" w:type="pct"/>
            <w:tcBorders>
              <w:top w:val="nil"/>
              <w:left w:val="nil"/>
              <w:bottom w:val="single" w:sz="4" w:space="0" w:color="auto"/>
              <w:right w:val="single" w:sz="4" w:space="0" w:color="auto"/>
            </w:tcBorders>
            <w:shd w:val="clear" w:color="auto" w:fill="auto"/>
            <w:noWrap/>
            <w:vAlign w:val="center"/>
            <w:hideMark/>
          </w:tcPr>
          <w:p w14:paraId="5FEF289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Direkt</w:t>
            </w:r>
          </w:p>
        </w:tc>
        <w:tc>
          <w:tcPr>
            <w:tcW w:w="190" w:type="pct"/>
            <w:tcBorders>
              <w:top w:val="nil"/>
              <w:left w:val="nil"/>
              <w:bottom w:val="single" w:sz="4" w:space="0" w:color="auto"/>
              <w:right w:val="single" w:sz="4" w:space="0" w:color="auto"/>
            </w:tcBorders>
            <w:shd w:val="clear" w:color="auto" w:fill="auto"/>
            <w:vAlign w:val="center"/>
            <w:hideMark/>
          </w:tcPr>
          <w:p w14:paraId="5FEF2894" w14:textId="40C444C5"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Ky indikator do të vlerësohet duke matur numrin e familjeve me persona të radikalizuar dhe / ose familje të kthyera</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nga lufta,</w:t>
            </w:r>
            <w:r w:rsidR="007C064A" w:rsidRPr="00795698">
              <w:rPr>
                <w:rFonts w:ascii="Arial" w:hAnsi="Arial" w:cs="Arial"/>
                <w:color w:val="000000"/>
                <w:sz w:val="4"/>
                <w:szCs w:val="4"/>
                <w:lang w:eastAsia="sq-AL"/>
              </w:rPr>
              <w:t xml:space="preserve"> </w:t>
            </w:r>
            <w:r w:rsidRPr="00795698">
              <w:rPr>
                <w:rFonts w:ascii="Arial" w:hAnsi="Arial" w:cs="Arial"/>
                <w:color w:val="000000"/>
                <w:sz w:val="4"/>
                <w:szCs w:val="4"/>
                <w:lang w:eastAsia="sq-AL"/>
              </w:rPr>
              <w:t>të përfshirë në skemat e strehimit, në raport me numrin e atyre të synuar për vitin aktual* 100%.</w:t>
            </w:r>
          </w:p>
        </w:tc>
        <w:tc>
          <w:tcPr>
            <w:tcW w:w="110" w:type="pct"/>
            <w:tcBorders>
              <w:top w:val="nil"/>
              <w:left w:val="nil"/>
              <w:bottom w:val="single" w:sz="4" w:space="0" w:color="auto"/>
              <w:right w:val="single" w:sz="4" w:space="0" w:color="auto"/>
            </w:tcBorders>
            <w:shd w:val="clear" w:color="auto" w:fill="auto"/>
            <w:vAlign w:val="center"/>
            <w:hideMark/>
          </w:tcPr>
          <w:p w14:paraId="5FEF2895"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70" w:type="pct"/>
            <w:tcBorders>
              <w:top w:val="nil"/>
              <w:left w:val="nil"/>
              <w:bottom w:val="single" w:sz="4" w:space="0" w:color="auto"/>
              <w:right w:val="single" w:sz="4" w:space="0" w:color="auto"/>
            </w:tcBorders>
            <w:shd w:val="clear" w:color="auto" w:fill="auto"/>
            <w:vAlign w:val="center"/>
            <w:hideMark/>
          </w:tcPr>
          <w:p w14:paraId="5FEF2896"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49" w:type="pct"/>
            <w:tcBorders>
              <w:top w:val="nil"/>
              <w:left w:val="nil"/>
              <w:bottom w:val="single" w:sz="4" w:space="0" w:color="auto"/>
              <w:right w:val="single" w:sz="4" w:space="0" w:color="auto"/>
            </w:tcBorders>
            <w:shd w:val="clear" w:color="auto" w:fill="auto"/>
            <w:vAlign w:val="center"/>
            <w:hideMark/>
          </w:tcPr>
          <w:p w14:paraId="5FEF2897"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N/A</w:t>
            </w:r>
          </w:p>
        </w:tc>
        <w:tc>
          <w:tcPr>
            <w:tcW w:w="156" w:type="pct"/>
            <w:tcBorders>
              <w:top w:val="nil"/>
              <w:left w:val="nil"/>
              <w:bottom w:val="single" w:sz="4" w:space="0" w:color="auto"/>
              <w:right w:val="single" w:sz="4" w:space="0" w:color="auto"/>
            </w:tcBorders>
            <w:shd w:val="clear" w:color="auto" w:fill="auto"/>
            <w:noWrap/>
            <w:vAlign w:val="center"/>
            <w:hideMark/>
          </w:tcPr>
          <w:p w14:paraId="5FEF2898"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Rritës</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899"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2021</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89A"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40</w:t>
            </w:r>
          </w:p>
        </w:tc>
        <w:tc>
          <w:tcPr>
            <w:tcW w:w="104" w:type="pct"/>
            <w:tcBorders>
              <w:top w:val="nil"/>
              <w:left w:val="nil"/>
              <w:bottom w:val="single" w:sz="4" w:space="0" w:color="auto"/>
              <w:right w:val="single" w:sz="4" w:space="0" w:color="auto"/>
            </w:tcBorders>
            <w:shd w:val="clear" w:color="auto" w:fill="auto"/>
            <w:vAlign w:val="center"/>
            <w:hideMark/>
          </w:tcPr>
          <w:p w14:paraId="5FEF289B"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40</w:t>
            </w:r>
          </w:p>
        </w:tc>
        <w:tc>
          <w:tcPr>
            <w:tcW w:w="104" w:type="pct"/>
            <w:tcBorders>
              <w:top w:val="nil"/>
              <w:left w:val="nil"/>
              <w:bottom w:val="single" w:sz="4" w:space="0" w:color="auto"/>
              <w:right w:val="single" w:sz="4" w:space="0" w:color="auto"/>
            </w:tcBorders>
            <w:shd w:val="clear" w:color="auto" w:fill="auto"/>
            <w:vAlign w:val="center"/>
            <w:hideMark/>
          </w:tcPr>
          <w:p w14:paraId="5FEF289C"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2023</w:t>
            </w:r>
          </w:p>
        </w:tc>
        <w:tc>
          <w:tcPr>
            <w:tcW w:w="104" w:type="pct"/>
            <w:tcBorders>
              <w:top w:val="nil"/>
              <w:left w:val="nil"/>
              <w:bottom w:val="single" w:sz="4" w:space="0" w:color="auto"/>
              <w:right w:val="single" w:sz="4" w:space="0" w:color="auto"/>
            </w:tcBorders>
            <w:shd w:val="clear" w:color="auto" w:fill="auto"/>
            <w:vAlign w:val="center"/>
            <w:hideMark/>
          </w:tcPr>
          <w:p w14:paraId="5FEF289D"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60</w:t>
            </w:r>
          </w:p>
        </w:tc>
        <w:tc>
          <w:tcPr>
            <w:tcW w:w="104" w:type="pct"/>
            <w:tcBorders>
              <w:top w:val="nil"/>
              <w:left w:val="nil"/>
              <w:bottom w:val="single" w:sz="4" w:space="0" w:color="auto"/>
              <w:right w:val="single" w:sz="4" w:space="0" w:color="auto"/>
            </w:tcBorders>
            <w:shd w:val="clear" w:color="auto" w:fill="auto"/>
            <w:vAlign w:val="center"/>
            <w:hideMark/>
          </w:tcPr>
          <w:p w14:paraId="5FEF289E"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2024</w:t>
            </w:r>
          </w:p>
        </w:tc>
        <w:tc>
          <w:tcPr>
            <w:tcW w:w="104" w:type="pct"/>
            <w:tcBorders>
              <w:top w:val="single" w:sz="4" w:space="0" w:color="auto"/>
              <w:left w:val="nil"/>
              <w:bottom w:val="single" w:sz="4" w:space="0" w:color="auto"/>
              <w:right w:val="single" w:sz="4" w:space="0" w:color="auto"/>
            </w:tcBorders>
            <w:shd w:val="clear" w:color="auto" w:fill="auto"/>
            <w:vAlign w:val="center"/>
            <w:hideMark/>
          </w:tcPr>
          <w:p w14:paraId="5FEF289F"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70</w:t>
            </w:r>
          </w:p>
        </w:tc>
        <w:tc>
          <w:tcPr>
            <w:tcW w:w="104" w:type="pct"/>
            <w:tcBorders>
              <w:top w:val="nil"/>
              <w:left w:val="nil"/>
              <w:bottom w:val="single" w:sz="4" w:space="0" w:color="auto"/>
              <w:right w:val="single" w:sz="4" w:space="0" w:color="auto"/>
            </w:tcBorders>
            <w:shd w:val="clear" w:color="auto" w:fill="auto"/>
            <w:vAlign w:val="center"/>
            <w:hideMark/>
          </w:tcPr>
          <w:p w14:paraId="5FEF28A0"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2025</w:t>
            </w:r>
          </w:p>
        </w:tc>
        <w:tc>
          <w:tcPr>
            <w:tcW w:w="104" w:type="pct"/>
            <w:tcBorders>
              <w:top w:val="nil"/>
              <w:left w:val="nil"/>
              <w:bottom w:val="single" w:sz="4" w:space="0" w:color="auto"/>
              <w:right w:val="single" w:sz="4" w:space="0" w:color="auto"/>
            </w:tcBorders>
            <w:shd w:val="clear" w:color="auto" w:fill="auto"/>
            <w:noWrap/>
            <w:vAlign w:val="center"/>
            <w:hideMark/>
          </w:tcPr>
          <w:p w14:paraId="5FEF28A1"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90</w:t>
            </w:r>
          </w:p>
        </w:tc>
        <w:tc>
          <w:tcPr>
            <w:tcW w:w="188" w:type="pct"/>
            <w:tcBorders>
              <w:top w:val="nil"/>
              <w:left w:val="nil"/>
              <w:bottom w:val="single" w:sz="4" w:space="0" w:color="auto"/>
              <w:right w:val="single" w:sz="4" w:space="0" w:color="auto"/>
            </w:tcBorders>
            <w:shd w:val="clear" w:color="auto" w:fill="auto"/>
            <w:vAlign w:val="center"/>
            <w:hideMark/>
          </w:tcPr>
          <w:p w14:paraId="5FEF28A2" w14:textId="3E1C6325" w:rsidR="00F6012F" w:rsidRPr="00795698" w:rsidRDefault="00F6012F" w:rsidP="00F6012F">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radikalizmi dhe ekstremizmi i dhunshëm</w:t>
            </w:r>
          </w:p>
        </w:tc>
        <w:tc>
          <w:tcPr>
            <w:tcW w:w="132" w:type="pct"/>
            <w:tcBorders>
              <w:top w:val="nil"/>
              <w:left w:val="nil"/>
              <w:bottom w:val="single" w:sz="4" w:space="0" w:color="auto"/>
              <w:right w:val="single" w:sz="4" w:space="0" w:color="auto"/>
            </w:tcBorders>
            <w:shd w:val="clear" w:color="auto" w:fill="auto"/>
            <w:noWrap/>
            <w:vAlign w:val="center"/>
            <w:hideMark/>
          </w:tcPr>
          <w:p w14:paraId="5FEF28A3" w14:textId="77777777" w:rsidR="00F6012F" w:rsidRPr="00795698" w:rsidRDefault="00F6012F" w:rsidP="00F6012F">
            <w:pPr>
              <w:jc w:val="center"/>
              <w:rPr>
                <w:rFonts w:ascii="Arial" w:hAnsi="Arial" w:cs="Arial"/>
                <w:color w:val="000000"/>
                <w:sz w:val="4"/>
                <w:szCs w:val="4"/>
                <w:lang w:eastAsia="sq-AL"/>
              </w:rPr>
            </w:pPr>
            <w:r w:rsidRPr="00795698">
              <w:rPr>
                <w:rFonts w:ascii="Arial" w:hAnsi="Arial" w:cs="Arial"/>
                <w:color w:val="000000"/>
                <w:sz w:val="4"/>
                <w:szCs w:val="4"/>
                <w:lang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5FEF28A4"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Shtylla 16 - Promovimi i shoqërive gjithëpërfshirëse për një zhvillimin të qëndrueshëm, ofrimi i qasjes së barabartë, drejtësi për të gjithë dhe ndërtimi i institucioneve efektive, të përgjegjshme dhe gjithëpërfshirëse në të gjitha nivelet.</w:t>
            </w:r>
          </w:p>
        </w:tc>
        <w:tc>
          <w:tcPr>
            <w:tcW w:w="196" w:type="pct"/>
            <w:tcBorders>
              <w:top w:val="nil"/>
              <w:left w:val="nil"/>
              <w:bottom w:val="single" w:sz="4" w:space="0" w:color="auto"/>
              <w:right w:val="single" w:sz="4" w:space="0" w:color="auto"/>
            </w:tcBorders>
            <w:shd w:val="clear" w:color="auto" w:fill="auto"/>
            <w:vAlign w:val="center"/>
            <w:hideMark/>
          </w:tcPr>
          <w:p w14:paraId="5FEF28A5" w14:textId="77777777" w:rsidR="00F6012F" w:rsidRPr="00795698" w:rsidRDefault="00F6012F" w:rsidP="00F6012F">
            <w:pPr>
              <w:rPr>
                <w:rFonts w:ascii="Arial" w:hAnsi="Arial" w:cs="Arial"/>
                <w:color w:val="000000"/>
                <w:sz w:val="4"/>
                <w:szCs w:val="4"/>
                <w:lang w:eastAsia="sq-AL"/>
              </w:rPr>
            </w:pPr>
            <w:r w:rsidRPr="00795698">
              <w:rPr>
                <w:rFonts w:ascii="Arial" w:hAnsi="Arial" w:cs="Arial"/>
                <w:color w:val="000000"/>
                <w:sz w:val="4"/>
                <w:szCs w:val="4"/>
                <w:lang w:eastAsia="sq-AL"/>
              </w:rPr>
              <w:t>Deri në vitin 2030, të sigurohet promovimi i shoqërive gjithëpërfshirëse për një zhvillimin të qëndrueshëm, ofrim i qasjes së barabartë, drejtësi për të gjithë dhe ndërtimi i institucioneve efektive, të përgjegjshme dhe gjithëpërfshirëse në të gjitha nivelet</w:t>
            </w:r>
          </w:p>
        </w:tc>
      </w:tr>
    </w:tbl>
    <w:p w14:paraId="5FEF28A7" w14:textId="77777777" w:rsidR="00F6012F" w:rsidRPr="00795698" w:rsidRDefault="00F6012F" w:rsidP="00BC53EF">
      <w:pPr>
        <w:pStyle w:val="TEKSTIIIII"/>
        <w:jc w:val="center"/>
        <w:rPr>
          <w:i/>
          <w:sz w:val="18"/>
          <w:lang w:val="sq-AL"/>
        </w:rPr>
      </w:pPr>
    </w:p>
    <w:p w14:paraId="5FEF28A8" w14:textId="77777777" w:rsidR="00F6012F" w:rsidRPr="00795698" w:rsidRDefault="00F6012F" w:rsidP="00BC53EF">
      <w:pPr>
        <w:pStyle w:val="TEKSTIIIII"/>
        <w:jc w:val="center"/>
        <w:rPr>
          <w:i/>
          <w:sz w:val="18"/>
          <w:lang w:val="sq-AL"/>
        </w:rPr>
      </w:pPr>
    </w:p>
    <w:p w14:paraId="5FEF28A9" w14:textId="77777777" w:rsidR="00F6012F" w:rsidRPr="00795698" w:rsidRDefault="00F6012F" w:rsidP="00BC53EF">
      <w:pPr>
        <w:pStyle w:val="TEKSTIIIII"/>
        <w:jc w:val="center"/>
        <w:rPr>
          <w:i/>
          <w:sz w:val="18"/>
          <w:lang w:val="sq-AL"/>
        </w:rPr>
      </w:pPr>
    </w:p>
    <w:p w14:paraId="5FEF28AA" w14:textId="77777777" w:rsidR="00F6012F" w:rsidRPr="00795698" w:rsidRDefault="00F6012F" w:rsidP="00BC53EF">
      <w:pPr>
        <w:pStyle w:val="TEKSTIIIII"/>
        <w:jc w:val="center"/>
        <w:rPr>
          <w:i/>
          <w:sz w:val="18"/>
          <w:lang w:val="sq-AL"/>
        </w:rPr>
      </w:pPr>
    </w:p>
    <w:p w14:paraId="5FEF28AB" w14:textId="77777777" w:rsidR="00E71DA7" w:rsidRPr="00795698" w:rsidRDefault="00E71DA7" w:rsidP="00BC53EF">
      <w:pPr>
        <w:pStyle w:val="TEKSTIIIII"/>
        <w:jc w:val="center"/>
        <w:rPr>
          <w:i/>
          <w:sz w:val="18"/>
          <w:lang w:val="sq-AL"/>
        </w:rPr>
      </w:pPr>
    </w:p>
    <w:p w14:paraId="5FEF28AC" w14:textId="77777777" w:rsidR="00E71DA7" w:rsidRPr="00795698" w:rsidRDefault="00E71DA7" w:rsidP="00BC53EF">
      <w:pPr>
        <w:pStyle w:val="TEKSTIIIII"/>
        <w:jc w:val="center"/>
        <w:rPr>
          <w:i/>
          <w:sz w:val="18"/>
          <w:lang w:val="sq-AL"/>
        </w:rPr>
      </w:pPr>
    </w:p>
    <w:p w14:paraId="5FEF28AD" w14:textId="77777777" w:rsidR="00E71DA7" w:rsidRPr="00795698" w:rsidRDefault="00E71DA7" w:rsidP="00BC53EF">
      <w:pPr>
        <w:pStyle w:val="TEKSTIIIII"/>
        <w:jc w:val="center"/>
        <w:rPr>
          <w:i/>
          <w:sz w:val="18"/>
          <w:lang w:val="sq-AL"/>
        </w:rPr>
      </w:pPr>
    </w:p>
    <w:p w14:paraId="5FEF28AE" w14:textId="77777777" w:rsidR="00E71DA7" w:rsidRPr="00795698" w:rsidRDefault="00E71DA7" w:rsidP="00BC53EF">
      <w:pPr>
        <w:pStyle w:val="TEKSTIIIII"/>
        <w:jc w:val="center"/>
        <w:rPr>
          <w:i/>
          <w:sz w:val="18"/>
          <w:lang w:val="sq-AL"/>
        </w:rPr>
      </w:pPr>
    </w:p>
    <w:p w14:paraId="5FEF28AF" w14:textId="77777777" w:rsidR="00E71DA7" w:rsidRPr="00795698" w:rsidRDefault="00E71DA7" w:rsidP="00BC53EF">
      <w:pPr>
        <w:pStyle w:val="TEKSTIIIII"/>
        <w:jc w:val="center"/>
        <w:rPr>
          <w:i/>
          <w:sz w:val="18"/>
          <w:lang w:val="sq-AL"/>
        </w:rPr>
      </w:pPr>
    </w:p>
    <w:p w14:paraId="5FEF28B0" w14:textId="77777777" w:rsidR="00E71DA7" w:rsidRPr="00795698" w:rsidRDefault="00E71DA7" w:rsidP="00BC53EF">
      <w:pPr>
        <w:pStyle w:val="TEKSTIIIII"/>
        <w:jc w:val="center"/>
        <w:rPr>
          <w:i/>
          <w:sz w:val="18"/>
          <w:lang w:val="sq-AL"/>
        </w:rPr>
      </w:pPr>
    </w:p>
    <w:p w14:paraId="5FEF28B1" w14:textId="77777777" w:rsidR="00E71DA7" w:rsidRPr="00795698" w:rsidRDefault="00E71DA7" w:rsidP="00BC53EF">
      <w:pPr>
        <w:pStyle w:val="TEKSTIIIII"/>
        <w:jc w:val="center"/>
        <w:rPr>
          <w:i/>
          <w:sz w:val="18"/>
          <w:lang w:val="sq-AL"/>
        </w:rPr>
      </w:pPr>
    </w:p>
    <w:p w14:paraId="5FEF28B2" w14:textId="77777777" w:rsidR="00E71DA7" w:rsidRPr="00795698" w:rsidRDefault="00E71DA7" w:rsidP="00BC53EF">
      <w:pPr>
        <w:pStyle w:val="TEKSTIIIII"/>
        <w:jc w:val="center"/>
        <w:rPr>
          <w:i/>
          <w:sz w:val="18"/>
          <w:lang w:val="sq-AL"/>
        </w:rPr>
      </w:pPr>
    </w:p>
    <w:p w14:paraId="5FEF28B3" w14:textId="77777777" w:rsidR="00E71DA7" w:rsidRPr="00795698" w:rsidRDefault="00E71DA7" w:rsidP="00BC53EF">
      <w:pPr>
        <w:pStyle w:val="TEKSTIIIII"/>
        <w:jc w:val="center"/>
        <w:rPr>
          <w:i/>
          <w:sz w:val="18"/>
          <w:lang w:val="sq-AL"/>
        </w:rPr>
      </w:pPr>
    </w:p>
    <w:p w14:paraId="5FEF28B4" w14:textId="77777777" w:rsidR="00E71DA7" w:rsidRPr="00795698" w:rsidRDefault="00E71DA7" w:rsidP="00BC53EF">
      <w:pPr>
        <w:pStyle w:val="TEKSTIIIII"/>
        <w:jc w:val="center"/>
        <w:rPr>
          <w:i/>
          <w:sz w:val="18"/>
          <w:lang w:val="sq-AL"/>
        </w:rPr>
      </w:pPr>
    </w:p>
    <w:p w14:paraId="5FEF28B5" w14:textId="77777777" w:rsidR="00E71DA7" w:rsidRPr="00795698" w:rsidRDefault="00E71DA7" w:rsidP="00BC53EF">
      <w:pPr>
        <w:pStyle w:val="TEKSTIIIII"/>
        <w:jc w:val="center"/>
        <w:rPr>
          <w:i/>
          <w:sz w:val="18"/>
          <w:lang w:val="sq-AL"/>
        </w:rPr>
      </w:pPr>
    </w:p>
    <w:p w14:paraId="5FEF28B6" w14:textId="77777777" w:rsidR="00E71DA7" w:rsidRPr="00795698" w:rsidRDefault="00E71DA7" w:rsidP="00BC53EF">
      <w:pPr>
        <w:pStyle w:val="TEKSTIIIII"/>
        <w:jc w:val="center"/>
        <w:rPr>
          <w:i/>
          <w:sz w:val="18"/>
          <w:lang w:val="sq-AL"/>
        </w:rPr>
      </w:pPr>
    </w:p>
    <w:p w14:paraId="5FEF28B7" w14:textId="77777777" w:rsidR="00E71DA7" w:rsidRPr="00795698" w:rsidRDefault="00E71DA7" w:rsidP="00BC53EF">
      <w:pPr>
        <w:pStyle w:val="TEKSTIIIII"/>
        <w:jc w:val="center"/>
        <w:rPr>
          <w:i/>
          <w:sz w:val="18"/>
          <w:lang w:val="sq-AL"/>
        </w:rPr>
      </w:pPr>
    </w:p>
    <w:p w14:paraId="5FEF28B8" w14:textId="77777777" w:rsidR="00E71DA7" w:rsidRPr="00795698" w:rsidRDefault="00E71DA7" w:rsidP="00BC53EF">
      <w:pPr>
        <w:pStyle w:val="TEKSTIIIII"/>
        <w:jc w:val="center"/>
        <w:rPr>
          <w:i/>
          <w:sz w:val="18"/>
          <w:lang w:val="sq-AL"/>
        </w:rPr>
      </w:pPr>
    </w:p>
    <w:p w14:paraId="5FEF28B9" w14:textId="77777777" w:rsidR="00E71DA7" w:rsidRPr="00795698" w:rsidRDefault="00E71DA7" w:rsidP="00BC53EF">
      <w:pPr>
        <w:pStyle w:val="TEKSTIIIII"/>
        <w:jc w:val="center"/>
        <w:rPr>
          <w:i/>
          <w:sz w:val="18"/>
          <w:lang w:val="sq-AL"/>
        </w:rPr>
      </w:pPr>
    </w:p>
    <w:p w14:paraId="5FEF28BA" w14:textId="77777777" w:rsidR="00E71DA7" w:rsidRPr="00795698" w:rsidRDefault="00E71DA7" w:rsidP="00BC53EF">
      <w:pPr>
        <w:pStyle w:val="TEKSTIIIII"/>
        <w:jc w:val="center"/>
        <w:rPr>
          <w:i/>
          <w:sz w:val="18"/>
          <w:lang w:val="sq-AL"/>
        </w:rPr>
      </w:pPr>
    </w:p>
    <w:p w14:paraId="5FEF28BB" w14:textId="77777777" w:rsidR="00E71DA7" w:rsidRPr="00795698" w:rsidRDefault="00E71DA7" w:rsidP="00BC53EF">
      <w:pPr>
        <w:pStyle w:val="TEKSTIIIII"/>
        <w:jc w:val="center"/>
        <w:rPr>
          <w:i/>
          <w:sz w:val="18"/>
          <w:lang w:val="sq-AL"/>
        </w:rPr>
      </w:pPr>
    </w:p>
    <w:p w14:paraId="5FEF28BC" w14:textId="77777777" w:rsidR="00E71DA7" w:rsidRPr="00795698" w:rsidRDefault="00E71DA7" w:rsidP="00BC53EF">
      <w:pPr>
        <w:pStyle w:val="TEKSTIIIII"/>
        <w:jc w:val="center"/>
        <w:rPr>
          <w:i/>
          <w:sz w:val="18"/>
          <w:lang w:val="sq-AL"/>
        </w:rPr>
      </w:pPr>
    </w:p>
    <w:p w14:paraId="5FEF28BD" w14:textId="77777777" w:rsidR="00E71DA7" w:rsidRPr="00795698" w:rsidRDefault="00E71DA7" w:rsidP="00BC53EF">
      <w:pPr>
        <w:pStyle w:val="TEKSTIIIII"/>
        <w:jc w:val="center"/>
        <w:rPr>
          <w:i/>
          <w:sz w:val="18"/>
          <w:lang w:val="sq-AL"/>
        </w:rPr>
      </w:pPr>
    </w:p>
    <w:p w14:paraId="5FEF28BE" w14:textId="77777777" w:rsidR="00E71DA7" w:rsidRPr="00795698" w:rsidRDefault="00E71DA7" w:rsidP="00BC53EF">
      <w:pPr>
        <w:pStyle w:val="TEKSTIIIII"/>
        <w:jc w:val="center"/>
        <w:rPr>
          <w:i/>
          <w:sz w:val="18"/>
          <w:lang w:val="sq-AL"/>
        </w:rPr>
      </w:pPr>
    </w:p>
    <w:tbl>
      <w:tblPr>
        <w:tblW w:w="13083" w:type="dxa"/>
        <w:jc w:val="center"/>
        <w:shd w:val="clear" w:color="auto" w:fill="FFFFFF" w:themeFill="background1"/>
        <w:tblLook w:val="04A0" w:firstRow="1" w:lastRow="0" w:firstColumn="1" w:lastColumn="0" w:noHBand="0" w:noVBand="1"/>
      </w:tblPr>
      <w:tblGrid>
        <w:gridCol w:w="379"/>
        <w:gridCol w:w="477"/>
        <w:gridCol w:w="443"/>
        <w:gridCol w:w="481"/>
        <w:gridCol w:w="864"/>
        <w:gridCol w:w="703"/>
        <w:gridCol w:w="439"/>
        <w:gridCol w:w="487"/>
        <w:gridCol w:w="876"/>
        <w:gridCol w:w="616"/>
        <w:gridCol w:w="320"/>
        <w:gridCol w:w="325"/>
        <w:gridCol w:w="542"/>
        <w:gridCol w:w="342"/>
        <w:gridCol w:w="573"/>
        <w:gridCol w:w="519"/>
        <w:gridCol w:w="519"/>
        <w:gridCol w:w="272"/>
        <w:gridCol w:w="389"/>
        <w:gridCol w:w="291"/>
        <w:gridCol w:w="709"/>
        <w:gridCol w:w="303"/>
        <w:gridCol w:w="303"/>
        <w:gridCol w:w="303"/>
        <w:gridCol w:w="449"/>
        <w:gridCol w:w="344"/>
        <w:gridCol w:w="464"/>
        <w:gridCol w:w="444"/>
      </w:tblGrid>
      <w:tr w:rsidR="00764695" w:rsidRPr="00795698" w14:paraId="5FEF28C1" w14:textId="77777777" w:rsidTr="00764695">
        <w:trPr>
          <w:trHeight w:val="180"/>
          <w:jc w:val="center"/>
        </w:trPr>
        <w:tc>
          <w:tcPr>
            <w:tcW w:w="13083" w:type="dxa"/>
            <w:gridSpan w:val="28"/>
            <w:tcBorders>
              <w:top w:val="nil"/>
              <w:left w:val="nil"/>
              <w:bottom w:val="nil"/>
              <w:right w:val="nil"/>
            </w:tcBorders>
            <w:shd w:val="clear" w:color="auto" w:fill="FFFFFF" w:themeFill="background1"/>
            <w:noWrap/>
            <w:vAlign w:val="bottom"/>
            <w:hideMark/>
          </w:tcPr>
          <w:p w14:paraId="5FEF28BF" w14:textId="77777777" w:rsidR="00764695" w:rsidRPr="00795698" w:rsidRDefault="00764695" w:rsidP="00764695">
            <w:pPr>
              <w:rPr>
                <w:rFonts w:ascii="Arial" w:hAnsi="Arial" w:cs="Arial"/>
                <w:sz w:val="8"/>
                <w:szCs w:val="4"/>
                <w:lang w:eastAsia="sq-AL"/>
              </w:rPr>
            </w:pPr>
            <w:bookmarkStart w:id="131" w:name="RANGE!B1:AE42"/>
            <w:r w:rsidRPr="00795698">
              <w:rPr>
                <w:rFonts w:ascii="Arial" w:hAnsi="Arial" w:cs="Arial"/>
                <w:sz w:val="8"/>
                <w:szCs w:val="4"/>
                <w:lang w:eastAsia="sq-AL"/>
              </w:rPr>
              <w:lastRenderedPageBreak/>
              <w:t xml:space="preserve">Aneks </w:t>
            </w:r>
          </w:p>
          <w:bookmarkEnd w:id="131"/>
          <w:p w14:paraId="5FEF28C0" w14:textId="4327BC30" w:rsidR="00764695" w:rsidRPr="00795698" w:rsidRDefault="00764695" w:rsidP="00764695">
            <w:pPr>
              <w:jc w:val="center"/>
              <w:rPr>
                <w:rFonts w:ascii="Arial" w:hAnsi="Arial" w:cs="Arial"/>
                <w:sz w:val="4"/>
                <w:szCs w:val="4"/>
                <w:lang w:eastAsia="sq-AL"/>
              </w:rPr>
            </w:pPr>
            <w:r w:rsidRPr="00795698">
              <w:rPr>
                <w:rFonts w:ascii="Arial" w:hAnsi="Arial" w:cs="Arial"/>
                <w:b/>
                <w:bCs/>
                <w:sz w:val="8"/>
                <w:szCs w:val="4"/>
                <w:lang w:eastAsia="sq-AL"/>
              </w:rPr>
              <w:t>Lista e Indikatorëve/Treguesve</w:t>
            </w:r>
            <w:r w:rsidR="007C064A" w:rsidRPr="00795698">
              <w:rPr>
                <w:rFonts w:ascii="Arial" w:hAnsi="Arial" w:cs="Arial"/>
                <w:b/>
                <w:bCs/>
                <w:sz w:val="8"/>
                <w:szCs w:val="4"/>
                <w:lang w:eastAsia="sq-AL"/>
              </w:rPr>
              <w:t xml:space="preserve"> </w:t>
            </w:r>
            <w:r w:rsidRPr="00795698">
              <w:rPr>
                <w:rFonts w:ascii="Arial" w:hAnsi="Arial" w:cs="Arial"/>
                <w:b/>
                <w:bCs/>
                <w:sz w:val="8"/>
                <w:szCs w:val="4"/>
                <w:lang w:eastAsia="sq-AL"/>
              </w:rPr>
              <w:t>të Dokumenteve Strategjikë</w:t>
            </w:r>
          </w:p>
        </w:tc>
      </w:tr>
      <w:tr w:rsidR="00FF5F17" w:rsidRPr="00795698" w14:paraId="5FEF28DE" w14:textId="77777777" w:rsidTr="00764695">
        <w:trPr>
          <w:trHeight w:val="180"/>
          <w:jc w:val="center"/>
        </w:trPr>
        <w:tc>
          <w:tcPr>
            <w:tcW w:w="378" w:type="dxa"/>
            <w:tcBorders>
              <w:top w:val="nil"/>
              <w:left w:val="nil"/>
              <w:bottom w:val="nil"/>
              <w:right w:val="nil"/>
            </w:tcBorders>
            <w:shd w:val="clear" w:color="auto" w:fill="FFFFFF" w:themeFill="background1"/>
            <w:noWrap/>
            <w:vAlign w:val="bottom"/>
            <w:hideMark/>
          </w:tcPr>
          <w:p w14:paraId="5FEF28C2" w14:textId="77777777" w:rsidR="00764695" w:rsidRPr="00795698" w:rsidRDefault="00764695" w:rsidP="00764695">
            <w:pPr>
              <w:rPr>
                <w:rFonts w:ascii="Arial" w:hAnsi="Arial" w:cs="Arial"/>
                <w:sz w:val="4"/>
                <w:szCs w:val="4"/>
                <w:lang w:eastAsia="sq-AL"/>
              </w:rPr>
            </w:pPr>
          </w:p>
        </w:tc>
        <w:tc>
          <w:tcPr>
            <w:tcW w:w="491" w:type="dxa"/>
            <w:tcBorders>
              <w:top w:val="nil"/>
              <w:left w:val="nil"/>
              <w:bottom w:val="nil"/>
              <w:right w:val="nil"/>
            </w:tcBorders>
            <w:shd w:val="clear" w:color="auto" w:fill="FFFFFF" w:themeFill="background1"/>
            <w:noWrap/>
            <w:vAlign w:val="bottom"/>
            <w:hideMark/>
          </w:tcPr>
          <w:p w14:paraId="5FEF28C3" w14:textId="77777777" w:rsidR="00764695" w:rsidRPr="00795698" w:rsidRDefault="00764695" w:rsidP="00764695">
            <w:pPr>
              <w:rPr>
                <w:rFonts w:ascii="Arial" w:hAnsi="Arial" w:cs="Arial"/>
                <w:sz w:val="4"/>
                <w:szCs w:val="4"/>
                <w:lang w:eastAsia="sq-AL"/>
              </w:rPr>
            </w:pPr>
          </w:p>
        </w:tc>
        <w:tc>
          <w:tcPr>
            <w:tcW w:w="426" w:type="dxa"/>
            <w:tcBorders>
              <w:top w:val="nil"/>
              <w:left w:val="nil"/>
              <w:bottom w:val="nil"/>
              <w:right w:val="nil"/>
            </w:tcBorders>
            <w:shd w:val="clear" w:color="auto" w:fill="FFFFFF" w:themeFill="background1"/>
            <w:noWrap/>
            <w:vAlign w:val="bottom"/>
            <w:hideMark/>
          </w:tcPr>
          <w:p w14:paraId="5FEF28C4" w14:textId="77777777" w:rsidR="00764695" w:rsidRPr="00795698" w:rsidRDefault="00764695" w:rsidP="00764695">
            <w:pPr>
              <w:rPr>
                <w:rFonts w:ascii="Arial" w:hAnsi="Arial" w:cs="Arial"/>
                <w:sz w:val="4"/>
                <w:szCs w:val="4"/>
                <w:lang w:eastAsia="sq-AL"/>
              </w:rPr>
            </w:pPr>
          </w:p>
        </w:tc>
        <w:tc>
          <w:tcPr>
            <w:tcW w:w="483" w:type="dxa"/>
            <w:tcBorders>
              <w:top w:val="nil"/>
              <w:left w:val="nil"/>
              <w:bottom w:val="nil"/>
              <w:right w:val="nil"/>
            </w:tcBorders>
            <w:shd w:val="clear" w:color="auto" w:fill="FFFFFF" w:themeFill="background1"/>
            <w:noWrap/>
            <w:vAlign w:val="bottom"/>
            <w:hideMark/>
          </w:tcPr>
          <w:p w14:paraId="5FEF28C5" w14:textId="77777777" w:rsidR="00764695" w:rsidRPr="00795698" w:rsidRDefault="00764695" w:rsidP="00764695">
            <w:pPr>
              <w:rPr>
                <w:rFonts w:ascii="Arial" w:hAnsi="Arial" w:cs="Arial"/>
                <w:sz w:val="4"/>
                <w:szCs w:val="4"/>
                <w:lang w:eastAsia="sq-AL"/>
              </w:rPr>
            </w:pPr>
          </w:p>
        </w:tc>
        <w:tc>
          <w:tcPr>
            <w:tcW w:w="807" w:type="dxa"/>
            <w:tcBorders>
              <w:top w:val="nil"/>
              <w:left w:val="nil"/>
              <w:bottom w:val="nil"/>
              <w:right w:val="nil"/>
            </w:tcBorders>
            <w:shd w:val="clear" w:color="auto" w:fill="FFFFFF" w:themeFill="background1"/>
            <w:noWrap/>
            <w:vAlign w:val="bottom"/>
            <w:hideMark/>
          </w:tcPr>
          <w:p w14:paraId="5FEF28C6" w14:textId="77777777" w:rsidR="00764695" w:rsidRPr="00795698" w:rsidRDefault="00764695" w:rsidP="00764695">
            <w:pPr>
              <w:rPr>
                <w:rFonts w:ascii="Arial" w:hAnsi="Arial" w:cs="Arial"/>
                <w:sz w:val="4"/>
                <w:szCs w:val="4"/>
                <w:lang w:eastAsia="sq-AL"/>
              </w:rPr>
            </w:pPr>
          </w:p>
        </w:tc>
        <w:tc>
          <w:tcPr>
            <w:tcW w:w="640" w:type="dxa"/>
            <w:tcBorders>
              <w:top w:val="nil"/>
              <w:left w:val="nil"/>
              <w:bottom w:val="nil"/>
              <w:right w:val="nil"/>
            </w:tcBorders>
            <w:shd w:val="clear" w:color="auto" w:fill="FFFFFF" w:themeFill="background1"/>
            <w:noWrap/>
            <w:vAlign w:val="bottom"/>
            <w:hideMark/>
          </w:tcPr>
          <w:p w14:paraId="5FEF28C7" w14:textId="77777777" w:rsidR="00764695" w:rsidRPr="00795698" w:rsidRDefault="00764695" w:rsidP="00764695">
            <w:pPr>
              <w:rPr>
                <w:rFonts w:ascii="Arial" w:hAnsi="Arial" w:cs="Arial"/>
                <w:sz w:val="4"/>
                <w:szCs w:val="4"/>
                <w:lang w:eastAsia="sq-AL"/>
              </w:rPr>
            </w:pPr>
          </w:p>
        </w:tc>
        <w:tc>
          <w:tcPr>
            <w:tcW w:w="431" w:type="dxa"/>
            <w:tcBorders>
              <w:top w:val="nil"/>
              <w:left w:val="nil"/>
              <w:bottom w:val="nil"/>
              <w:right w:val="nil"/>
            </w:tcBorders>
            <w:shd w:val="clear" w:color="auto" w:fill="FFFFFF" w:themeFill="background1"/>
            <w:noWrap/>
            <w:vAlign w:val="bottom"/>
            <w:hideMark/>
          </w:tcPr>
          <w:p w14:paraId="5FEF28C8" w14:textId="77777777" w:rsidR="00764695" w:rsidRPr="00795698" w:rsidRDefault="00764695" w:rsidP="00764695">
            <w:pPr>
              <w:rPr>
                <w:rFonts w:ascii="Arial" w:hAnsi="Arial" w:cs="Arial"/>
                <w:sz w:val="4"/>
                <w:szCs w:val="4"/>
                <w:lang w:eastAsia="sq-AL"/>
              </w:rPr>
            </w:pPr>
          </w:p>
        </w:tc>
        <w:tc>
          <w:tcPr>
            <w:tcW w:w="486" w:type="dxa"/>
            <w:tcBorders>
              <w:top w:val="nil"/>
              <w:left w:val="nil"/>
              <w:bottom w:val="nil"/>
              <w:right w:val="nil"/>
            </w:tcBorders>
            <w:shd w:val="clear" w:color="auto" w:fill="FFFFFF" w:themeFill="background1"/>
            <w:noWrap/>
            <w:vAlign w:val="bottom"/>
            <w:hideMark/>
          </w:tcPr>
          <w:p w14:paraId="5FEF28C9" w14:textId="77777777" w:rsidR="00764695" w:rsidRPr="00795698" w:rsidRDefault="00764695" w:rsidP="00764695">
            <w:pPr>
              <w:rPr>
                <w:rFonts w:ascii="Arial" w:hAnsi="Arial" w:cs="Arial"/>
                <w:sz w:val="4"/>
                <w:szCs w:val="4"/>
                <w:lang w:eastAsia="sq-AL"/>
              </w:rPr>
            </w:pPr>
          </w:p>
        </w:tc>
        <w:tc>
          <w:tcPr>
            <w:tcW w:w="874" w:type="dxa"/>
            <w:tcBorders>
              <w:top w:val="nil"/>
              <w:left w:val="nil"/>
              <w:bottom w:val="nil"/>
              <w:right w:val="nil"/>
            </w:tcBorders>
            <w:shd w:val="clear" w:color="auto" w:fill="FFFFFF" w:themeFill="background1"/>
            <w:noWrap/>
            <w:vAlign w:val="bottom"/>
            <w:hideMark/>
          </w:tcPr>
          <w:p w14:paraId="5FEF28CA" w14:textId="77777777" w:rsidR="00764695" w:rsidRPr="00795698" w:rsidRDefault="00764695" w:rsidP="00764695">
            <w:pPr>
              <w:rPr>
                <w:rFonts w:ascii="Arial" w:hAnsi="Arial" w:cs="Arial"/>
                <w:sz w:val="4"/>
                <w:szCs w:val="4"/>
                <w:lang w:eastAsia="sq-AL"/>
              </w:rPr>
            </w:pPr>
          </w:p>
        </w:tc>
        <w:tc>
          <w:tcPr>
            <w:tcW w:w="629" w:type="dxa"/>
            <w:tcBorders>
              <w:top w:val="nil"/>
              <w:left w:val="nil"/>
              <w:bottom w:val="nil"/>
              <w:right w:val="nil"/>
            </w:tcBorders>
            <w:shd w:val="clear" w:color="auto" w:fill="FFFFFF" w:themeFill="background1"/>
            <w:noWrap/>
            <w:vAlign w:val="bottom"/>
            <w:hideMark/>
          </w:tcPr>
          <w:p w14:paraId="5FEF28CB" w14:textId="77777777" w:rsidR="00764695" w:rsidRPr="00795698" w:rsidRDefault="00764695" w:rsidP="00764695">
            <w:pPr>
              <w:rPr>
                <w:rFonts w:ascii="Arial" w:hAnsi="Arial" w:cs="Arial"/>
                <w:sz w:val="4"/>
                <w:szCs w:val="4"/>
                <w:lang w:eastAsia="sq-AL"/>
              </w:rPr>
            </w:pPr>
          </w:p>
        </w:tc>
        <w:tc>
          <w:tcPr>
            <w:tcW w:w="325" w:type="dxa"/>
            <w:tcBorders>
              <w:top w:val="nil"/>
              <w:left w:val="nil"/>
              <w:bottom w:val="nil"/>
              <w:right w:val="nil"/>
            </w:tcBorders>
            <w:shd w:val="clear" w:color="auto" w:fill="FFFFFF" w:themeFill="background1"/>
            <w:noWrap/>
            <w:vAlign w:val="bottom"/>
            <w:hideMark/>
          </w:tcPr>
          <w:p w14:paraId="5FEF28CC" w14:textId="77777777" w:rsidR="00764695" w:rsidRPr="00795698" w:rsidRDefault="00764695" w:rsidP="00764695">
            <w:pPr>
              <w:rPr>
                <w:rFonts w:ascii="Arial" w:hAnsi="Arial" w:cs="Arial"/>
                <w:sz w:val="4"/>
                <w:szCs w:val="4"/>
                <w:lang w:eastAsia="sq-AL"/>
              </w:rPr>
            </w:pPr>
          </w:p>
        </w:tc>
        <w:tc>
          <w:tcPr>
            <w:tcW w:w="325" w:type="dxa"/>
            <w:tcBorders>
              <w:top w:val="nil"/>
              <w:left w:val="nil"/>
              <w:bottom w:val="nil"/>
              <w:right w:val="nil"/>
            </w:tcBorders>
            <w:shd w:val="clear" w:color="auto" w:fill="FFFFFF" w:themeFill="background1"/>
            <w:noWrap/>
            <w:vAlign w:val="bottom"/>
            <w:hideMark/>
          </w:tcPr>
          <w:p w14:paraId="5FEF28CD" w14:textId="77777777" w:rsidR="00764695" w:rsidRPr="00795698" w:rsidRDefault="00764695" w:rsidP="00764695">
            <w:pPr>
              <w:rPr>
                <w:rFonts w:ascii="Arial" w:hAnsi="Arial" w:cs="Arial"/>
                <w:sz w:val="4"/>
                <w:szCs w:val="4"/>
                <w:lang w:eastAsia="sq-AL"/>
              </w:rPr>
            </w:pPr>
          </w:p>
        </w:tc>
        <w:tc>
          <w:tcPr>
            <w:tcW w:w="544" w:type="dxa"/>
            <w:tcBorders>
              <w:top w:val="nil"/>
              <w:left w:val="nil"/>
              <w:bottom w:val="nil"/>
              <w:right w:val="nil"/>
            </w:tcBorders>
            <w:shd w:val="clear" w:color="auto" w:fill="FFFFFF" w:themeFill="background1"/>
            <w:noWrap/>
            <w:vAlign w:val="bottom"/>
            <w:hideMark/>
          </w:tcPr>
          <w:p w14:paraId="5FEF28CE" w14:textId="77777777" w:rsidR="00764695" w:rsidRPr="00795698" w:rsidRDefault="00764695" w:rsidP="00764695">
            <w:pPr>
              <w:rPr>
                <w:rFonts w:ascii="Arial" w:hAnsi="Arial" w:cs="Arial"/>
                <w:sz w:val="4"/>
                <w:szCs w:val="4"/>
                <w:lang w:eastAsia="sq-AL"/>
              </w:rPr>
            </w:pPr>
          </w:p>
        </w:tc>
        <w:tc>
          <w:tcPr>
            <w:tcW w:w="339" w:type="dxa"/>
            <w:tcBorders>
              <w:top w:val="nil"/>
              <w:left w:val="nil"/>
              <w:bottom w:val="nil"/>
              <w:right w:val="nil"/>
            </w:tcBorders>
            <w:shd w:val="clear" w:color="auto" w:fill="FFFFFF" w:themeFill="background1"/>
            <w:noWrap/>
            <w:vAlign w:val="bottom"/>
            <w:hideMark/>
          </w:tcPr>
          <w:p w14:paraId="5FEF28CF" w14:textId="77777777" w:rsidR="00764695" w:rsidRPr="00795698" w:rsidRDefault="00764695" w:rsidP="00764695">
            <w:pPr>
              <w:rPr>
                <w:rFonts w:ascii="Arial" w:hAnsi="Arial" w:cs="Arial"/>
                <w:sz w:val="4"/>
                <w:szCs w:val="4"/>
                <w:lang w:eastAsia="sq-AL"/>
              </w:rPr>
            </w:pPr>
          </w:p>
        </w:tc>
        <w:tc>
          <w:tcPr>
            <w:tcW w:w="590" w:type="dxa"/>
            <w:tcBorders>
              <w:top w:val="nil"/>
              <w:left w:val="nil"/>
              <w:bottom w:val="nil"/>
              <w:right w:val="nil"/>
            </w:tcBorders>
            <w:shd w:val="clear" w:color="auto" w:fill="FFFFFF" w:themeFill="background1"/>
            <w:noWrap/>
            <w:vAlign w:val="bottom"/>
            <w:hideMark/>
          </w:tcPr>
          <w:p w14:paraId="5FEF28D0" w14:textId="77777777" w:rsidR="00764695" w:rsidRPr="00795698" w:rsidRDefault="00764695" w:rsidP="00764695">
            <w:pPr>
              <w:rPr>
                <w:rFonts w:ascii="Arial" w:hAnsi="Arial" w:cs="Arial"/>
                <w:sz w:val="4"/>
                <w:szCs w:val="4"/>
                <w:lang w:eastAsia="sq-AL"/>
              </w:rPr>
            </w:pPr>
          </w:p>
        </w:tc>
        <w:tc>
          <w:tcPr>
            <w:tcW w:w="518" w:type="dxa"/>
            <w:tcBorders>
              <w:top w:val="nil"/>
              <w:left w:val="nil"/>
              <w:bottom w:val="nil"/>
              <w:right w:val="nil"/>
            </w:tcBorders>
            <w:shd w:val="clear" w:color="auto" w:fill="FFFFFF" w:themeFill="background1"/>
            <w:noWrap/>
            <w:vAlign w:val="bottom"/>
            <w:hideMark/>
          </w:tcPr>
          <w:p w14:paraId="5FEF28D1" w14:textId="77777777" w:rsidR="00764695" w:rsidRPr="00795698" w:rsidRDefault="00764695" w:rsidP="00764695">
            <w:pPr>
              <w:rPr>
                <w:rFonts w:ascii="Arial" w:hAnsi="Arial" w:cs="Arial"/>
                <w:sz w:val="4"/>
                <w:szCs w:val="4"/>
                <w:lang w:eastAsia="sq-AL"/>
              </w:rPr>
            </w:pPr>
          </w:p>
        </w:tc>
        <w:tc>
          <w:tcPr>
            <w:tcW w:w="518" w:type="dxa"/>
            <w:tcBorders>
              <w:top w:val="nil"/>
              <w:left w:val="nil"/>
              <w:bottom w:val="nil"/>
              <w:right w:val="nil"/>
            </w:tcBorders>
            <w:shd w:val="clear" w:color="auto" w:fill="FFFFFF" w:themeFill="background1"/>
            <w:noWrap/>
            <w:vAlign w:val="bottom"/>
            <w:hideMark/>
          </w:tcPr>
          <w:p w14:paraId="5FEF28D2" w14:textId="77777777" w:rsidR="00764695" w:rsidRPr="00795698" w:rsidRDefault="00764695" w:rsidP="00764695">
            <w:pPr>
              <w:rPr>
                <w:rFonts w:ascii="Arial" w:hAnsi="Arial" w:cs="Arial"/>
                <w:sz w:val="4"/>
                <w:szCs w:val="4"/>
                <w:lang w:eastAsia="sq-AL"/>
              </w:rPr>
            </w:pPr>
          </w:p>
        </w:tc>
        <w:tc>
          <w:tcPr>
            <w:tcW w:w="276" w:type="dxa"/>
            <w:tcBorders>
              <w:top w:val="nil"/>
              <w:left w:val="nil"/>
              <w:bottom w:val="nil"/>
              <w:right w:val="nil"/>
            </w:tcBorders>
            <w:shd w:val="clear" w:color="auto" w:fill="FFFFFF" w:themeFill="background1"/>
            <w:noWrap/>
            <w:vAlign w:val="bottom"/>
            <w:hideMark/>
          </w:tcPr>
          <w:p w14:paraId="5FEF28D3" w14:textId="77777777" w:rsidR="00764695" w:rsidRPr="00795698" w:rsidRDefault="00764695" w:rsidP="00764695">
            <w:pPr>
              <w:rPr>
                <w:rFonts w:ascii="Arial" w:hAnsi="Arial" w:cs="Arial"/>
                <w:sz w:val="4"/>
                <w:szCs w:val="4"/>
                <w:lang w:eastAsia="sq-AL"/>
              </w:rPr>
            </w:pPr>
          </w:p>
        </w:tc>
        <w:tc>
          <w:tcPr>
            <w:tcW w:w="383" w:type="dxa"/>
            <w:tcBorders>
              <w:top w:val="nil"/>
              <w:left w:val="nil"/>
              <w:bottom w:val="nil"/>
              <w:right w:val="nil"/>
            </w:tcBorders>
            <w:shd w:val="clear" w:color="auto" w:fill="FFFFFF" w:themeFill="background1"/>
            <w:noWrap/>
            <w:vAlign w:val="bottom"/>
            <w:hideMark/>
          </w:tcPr>
          <w:p w14:paraId="5FEF28D4" w14:textId="77777777" w:rsidR="00764695" w:rsidRPr="00795698" w:rsidRDefault="00764695" w:rsidP="00764695">
            <w:pPr>
              <w:rPr>
                <w:rFonts w:ascii="Arial" w:hAnsi="Arial" w:cs="Arial"/>
                <w:sz w:val="4"/>
                <w:szCs w:val="4"/>
                <w:lang w:eastAsia="sq-AL"/>
              </w:rPr>
            </w:pPr>
          </w:p>
        </w:tc>
        <w:tc>
          <w:tcPr>
            <w:tcW w:w="292" w:type="dxa"/>
            <w:tcBorders>
              <w:top w:val="nil"/>
              <w:left w:val="nil"/>
              <w:bottom w:val="nil"/>
              <w:right w:val="nil"/>
            </w:tcBorders>
            <w:shd w:val="clear" w:color="auto" w:fill="FFFFFF" w:themeFill="background1"/>
            <w:noWrap/>
            <w:vAlign w:val="bottom"/>
            <w:hideMark/>
          </w:tcPr>
          <w:p w14:paraId="5FEF28D5" w14:textId="77777777" w:rsidR="00764695" w:rsidRPr="00795698" w:rsidRDefault="00764695" w:rsidP="00764695">
            <w:pPr>
              <w:rPr>
                <w:rFonts w:ascii="Arial" w:hAnsi="Arial" w:cs="Arial"/>
                <w:sz w:val="4"/>
                <w:szCs w:val="4"/>
                <w:lang w:eastAsia="sq-AL"/>
              </w:rPr>
            </w:pPr>
          </w:p>
        </w:tc>
        <w:tc>
          <w:tcPr>
            <w:tcW w:w="725" w:type="dxa"/>
            <w:tcBorders>
              <w:top w:val="nil"/>
              <w:left w:val="nil"/>
              <w:bottom w:val="nil"/>
              <w:right w:val="nil"/>
            </w:tcBorders>
            <w:shd w:val="clear" w:color="auto" w:fill="FFFFFF" w:themeFill="background1"/>
            <w:noWrap/>
            <w:vAlign w:val="bottom"/>
            <w:hideMark/>
          </w:tcPr>
          <w:p w14:paraId="5FEF28D6" w14:textId="77777777" w:rsidR="00764695" w:rsidRPr="00795698" w:rsidRDefault="00764695" w:rsidP="00764695">
            <w:pPr>
              <w:rPr>
                <w:rFonts w:ascii="Arial" w:hAnsi="Arial" w:cs="Arial"/>
                <w:sz w:val="4"/>
                <w:szCs w:val="4"/>
                <w:lang w:eastAsia="sq-AL"/>
              </w:rPr>
            </w:pPr>
          </w:p>
        </w:tc>
        <w:tc>
          <w:tcPr>
            <w:tcW w:w="299" w:type="dxa"/>
            <w:tcBorders>
              <w:top w:val="nil"/>
              <w:left w:val="nil"/>
              <w:bottom w:val="nil"/>
              <w:right w:val="nil"/>
            </w:tcBorders>
            <w:shd w:val="clear" w:color="auto" w:fill="FFFFFF" w:themeFill="background1"/>
            <w:noWrap/>
            <w:vAlign w:val="bottom"/>
            <w:hideMark/>
          </w:tcPr>
          <w:p w14:paraId="5FEF28D7" w14:textId="77777777" w:rsidR="00764695" w:rsidRPr="00795698" w:rsidRDefault="00764695" w:rsidP="00764695">
            <w:pPr>
              <w:rPr>
                <w:rFonts w:ascii="Arial" w:hAnsi="Arial" w:cs="Arial"/>
                <w:sz w:val="4"/>
                <w:szCs w:val="4"/>
                <w:lang w:eastAsia="sq-AL"/>
              </w:rPr>
            </w:pPr>
          </w:p>
        </w:tc>
        <w:tc>
          <w:tcPr>
            <w:tcW w:w="299" w:type="dxa"/>
            <w:tcBorders>
              <w:top w:val="nil"/>
              <w:left w:val="nil"/>
              <w:bottom w:val="nil"/>
              <w:right w:val="nil"/>
            </w:tcBorders>
            <w:shd w:val="clear" w:color="auto" w:fill="FFFFFF" w:themeFill="background1"/>
            <w:noWrap/>
            <w:vAlign w:val="bottom"/>
            <w:hideMark/>
          </w:tcPr>
          <w:p w14:paraId="5FEF28D8" w14:textId="77777777" w:rsidR="00764695" w:rsidRPr="00795698" w:rsidRDefault="00764695" w:rsidP="00764695">
            <w:pPr>
              <w:rPr>
                <w:rFonts w:ascii="Arial" w:hAnsi="Arial" w:cs="Arial"/>
                <w:sz w:val="4"/>
                <w:szCs w:val="4"/>
                <w:lang w:eastAsia="sq-AL"/>
              </w:rPr>
            </w:pPr>
          </w:p>
        </w:tc>
        <w:tc>
          <w:tcPr>
            <w:tcW w:w="299" w:type="dxa"/>
            <w:tcBorders>
              <w:top w:val="nil"/>
              <w:left w:val="nil"/>
              <w:bottom w:val="nil"/>
              <w:right w:val="nil"/>
            </w:tcBorders>
            <w:shd w:val="clear" w:color="auto" w:fill="FFFFFF" w:themeFill="background1"/>
            <w:noWrap/>
            <w:vAlign w:val="bottom"/>
            <w:hideMark/>
          </w:tcPr>
          <w:p w14:paraId="5FEF28D9" w14:textId="77777777" w:rsidR="00764695" w:rsidRPr="00795698" w:rsidRDefault="00764695" w:rsidP="00764695">
            <w:pPr>
              <w:rPr>
                <w:rFonts w:ascii="Arial" w:hAnsi="Arial" w:cs="Arial"/>
                <w:sz w:val="4"/>
                <w:szCs w:val="4"/>
                <w:lang w:eastAsia="sq-AL"/>
              </w:rPr>
            </w:pPr>
          </w:p>
        </w:tc>
        <w:tc>
          <w:tcPr>
            <w:tcW w:w="445" w:type="dxa"/>
            <w:tcBorders>
              <w:top w:val="nil"/>
              <w:left w:val="nil"/>
              <w:bottom w:val="nil"/>
              <w:right w:val="nil"/>
            </w:tcBorders>
            <w:shd w:val="clear" w:color="auto" w:fill="FFFFFF" w:themeFill="background1"/>
            <w:noWrap/>
            <w:vAlign w:val="bottom"/>
            <w:hideMark/>
          </w:tcPr>
          <w:p w14:paraId="5FEF28DA" w14:textId="77777777" w:rsidR="00764695" w:rsidRPr="00795698" w:rsidRDefault="00764695" w:rsidP="00764695">
            <w:pPr>
              <w:rPr>
                <w:rFonts w:ascii="Arial" w:hAnsi="Arial" w:cs="Arial"/>
                <w:sz w:val="4"/>
                <w:szCs w:val="4"/>
                <w:lang w:eastAsia="sq-AL"/>
              </w:rPr>
            </w:pPr>
          </w:p>
        </w:tc>
        <w:tc>
          <w:tcPr>
            <w:tcW w:w="342" w:type="dxa"/>
            <w:tcBorders>
              <w:top w:val="nil"/>
              <w:left w:val="nil"/>
              <w:bottom w:val="nil"/>
              <w:right w:val="nil"/>
            </w:tcBorders>
            <w:shd w:val="clear" w:color="auto" w:fill="FFFFFF" w:themeFill="background1"/>
            <w:noWrap/>
            <w:vAlign w:val="bottom"/>
            <w:hideMark/>
          </w:tcPr>
          <w:p w14:paraId="5FEF28DB" w14:textId="77777777" w:rsidR="00764695" w:rsidRPr="00795698" w:rsidRDefault="00764695" w:rsidP="00764695">
            <w:pPr>
              <w:rPr>
                <w:rFonts w:ascii="Arial" w:hAnsi="Arial" w:cs="Arial"/>
                <w:sz w:val="4"/>
                <w:szCs w:val="4"/>
                <w:lang w:eastAsia="sq-AL"/>
              </w:rPr>
            </w:pPr>
          </w:p>
        </w:tc>
        <w:tc>
          <w:tcPr>
            <w:tcW w:w="471" w:type="dxa"/>
            <w:tcBorders>
              <w:top w:val="nil"/>
              <w:left w:val="nil"/>
              <w:bottom w:val="nil"/>
              <w:right w:val="nil"/>
            </w:tcBorders>
            <w:shd w:val="clear" w:color="auto" w:fill="FFFFFF" w:themeFill="background1"/>
            <w:noWrap/>
            <w:vAlign w:val="bottom"/>
            <w:hideMark/>
          </w:tcPr>
          <w:p w14:paraId="5FEF28DC" w14:textId="77777777" w:rsidR="00764695" w:rsidRPr="00795698" w:rsidRDefault="00764695" w:rsidP="00764695">
            <w:pPr>
              <w:rPr>
                <w:rFonts w:ascii="Arial" w:hAnsi="Arial" w:cs="Arial"/>
                <w:sz w:val="4"/>
                <w:szCs w:val="4"/>
                <w:lang w:eastAsia="sq-AL"/>
              </w:rPr>
            </w:pPr>
          </w:p>
        </w:tc>
        <w:tc>
          <w:tcPr>
            <w:tcW w:w="448" w:type="dxa"/>
            <w:tcBorders>
              <w:top w:val="nil"/>
              <w:left w:val="nil"/>
              <w:bottom w:val="nil"/>
              <w:right w:val="nil"/>
            </w:tcBorders>
            <w:shd w:val="clear" w:color="auto" w:fill="FFFFFF" w:themeFill="background1"/>
            <w:noWrap/>
            <w:vAlign w:val="bottom"/>
            <w:hideMark/>
          </w:tcPr>
          <w:p w14:paraId="5FEF28DD" w14:textId="77777777" w:rsidR="00764695" w:rsidRPr="00795698" w:rsidRDefault="00764695" w:rsidP="00764695">
            <w:pPr>
              <w:rPr>
                <w:rFonts w:ascii="Arial" w:hAnsi="Arial" w:cs="Arial"/>
                <w:sz w:val="4"/>
                <w:szCs w:val="4"/>
                <w:lang w:eastAsia="sq-AL"/>
              </w:rPr>
            </w:pPr>
          </w:p>
        </w:tc>
      </w:tr>
      <w:tr w:rsidR="00FF5F17" w:rsidRPr="00795698" w14:paraId="5FEF28FB" w14:textId="77777777" w:rsidTr="00764695">
        <w:trPr>
          <w:trHeight w:val="180"/>
          <w:jc w:val="center"/>
        </w:trPr>
        <w:tc>
          <w:tcPr>
            <w:tcW w:w="37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FEF28D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49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42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w:t>
            </w:r>
          </w:p>
        </w:tc>
        <w:tc>
          <w:tcPr>
            <w:tcW w:w="48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4</w:t>
            </w:r>
          </w:p>
        </w:tc>
        <w:tc>
          <w:tcPr>
            <w:tcW w:w="80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w:t>
            </w:r>
          </w:p>
        </w:tc>
        <w:tc>
          <w:tcPr>
            <w:tcW w:w="64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6</w:t>
            </w:r>
          </w:p>
        </w:tc>
        <w:tc>
          <w:tcPr>
            <w:tcW w:w="43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7</w:t>
            </w:r>
          </w:p>
        </w:tc>
        <w:tc>
          <w:tcPr>
            <w:tcW w:w="48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w:t>
            </w:r>
          </w:p>
        </w:tc>
        <w:tc>
          <w:tcPr>
            <w:tcW w:w="87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9</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w:t>
            </w:r>
          </w:p>
        </w:tc>
        <w:tc>
          <w:tcPr>
            <w:tcW w:w="32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11</w:t>
            </w:r>
          </w:p>
        </w:tc>
        <w:tc>
          <w:tcPr>
            <w:tcW w:w="32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12</w:t>
            </w:r>
          </w:p>
        </w:tc>
        <w:tc>
          <w:tcPr>
            <w:tcW w:w="54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13</w:t>
            </w:r>
          </w:p>
        </w:tc>
        <w:tc>
          <w:tcPr>
            <w:tcW w:w="33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14</w:t>
            </w:r>
          </w:p>
        </w:tc>
        <w:tc>
          <w:tcPr>
            <w:tcW w:w="59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15</w:t>
            </w:r>
          </w:p>
        </w:tc>
        <w:tc>
          <w:tcPr>
            <w:tcW w:w="51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16</w:t>
            </w:r>
          </w:p>
        </w:tc>
        <w:tc>
          <w:tcPr>
            <w:tcW w:w="51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E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17</w:t>
            </w:r>
          </w:p>
        </w:tc>
        <w:tc>
          <w:tcPr>
            <w:tcW w:w="27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18</w:t>
            </w:r>
          </w:p>
        </w:tc>
        <w:tc>
          <w:tcPr>
            <w:tcW w:w="38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19</w:t>
            </w:r>
          </w:p>
        </w:tc>
        <w:tc>
          <w:tcPr>
            <w:tcW w:w="292"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20</w:t>
            </w:r>
          </w:p>
        </w:tc>
        <w:tc>
          <w:tcPr>
            <w:tcW w:w="72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21</w:t>
            </w:r>
          </w:p>
        </w:tc>
        <w:tc>
          <w:tcPr>
            <w:tcW w:w="29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24</w:t>
            </w:r>
          </w:p>
        </w:tc>
        <w:tc>
          <w:tcPr>
            <w:tcW w:w="29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29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4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25</w:t>
            </w:r>
          </w:p>
        </w:tc>
        <w:tc>
          <w:tcPr>
            <w:tcW w:w="342"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26</w:t>
            </w:r>
          </w:p>
        </w:tc>
        <w:tc>
          <w:tcPr>
            <w:tcW w:w="47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27</w:t>
            </w:r>
          </w:p>
        </w:tc>
        <w:tc>
          <w:tcPr>
            <w:tcW w:w="44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FEF28F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28</w:t>
            </w:r>
          </w:p>
        </w:tc>
      </w:tr>
      <w:tr w:rsidR="00764695" w:rsidRPr="00795698" w14:paraId="5FEF2911"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8FC"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Lloji i indikatorit</w:t>
            </w:r>
          </w:p>
        </w:tc>
        <w:tc>
          <w:tcPr>
            <w:tcW w:w="491" w:type="dxa"/>
            <w:tcBorders>
              <w:top w:val="nil"/>
              <w:left w:val="nil"/>
              <w:bottom w:val="single" w:sz="4" w:space="0" w:color="auto"/>
              <w:right w:val="single" w:sz="4" w:space="0" w:color="auto"/>
            </w:tcBorders>
            <w:shd w:val="clear" w:color="auto" w:fill="FFFFFF" w:themeFill="background1"/>
            <w:noWrap/>
            <w:vAlign w:val="center"/>
            <w:hideMark/>
          </w:tcPr>
          <w:p w14:paraId="5FEF28FD"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Emertimi i Indikatorit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8FE"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xml:space="preserve">Lidhja me nr. e shtyllës së SKZHI </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8FF"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Qëllimi/Objektivi Strategjik në SKZHI</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900"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Qëllimi i Politikës</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901" w14:textId="40D77B41"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Objektivi Specifik me të cilin lidhet indikatori/treguesi</w:t>
            </w:r>
            <w:r w:rsidR="007C064A" w:rsidRPr="00795698">
              <w:rPr>
                <w:rFonts w:ascii="Arial" w:hAnsi="Arial" w:cs="Arial"/>
                <w:b/>
                <w:bCs/>
                <w:sz w:val="4"/>
                <w:szCs w:val="4"/>
                <w:lang w:eastAsia="sq-AL"/>
              </w:rPr>
              <w:t xml:space="preserve"> </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02"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Burimi i të dhënave për monitorimin e treguesit të performancës</w:t>
            </w:r>
          </w:p>
        </w:tc>
        <w:tc>
          <w:tcPr>
            <w:tcW w:w="1360"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5FEF2903"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br/>
              <w:t>Institucionet përgjegjëse për grumbullimin e të dhënave.</w:t>
            </w:r>
          </w:p>
        </w:tc>
        <w:tc>
          <w:tcPr>
            <w:tcW w:w="629" w:type="dxa"/>
            <w:tcBorders>
              <w:top w:val="nil"/>
              <w:left w:val="nil"/>
              <w:bottom w:val="single" w:sz="4" w:space="0" w:color="auto"/>
              <w:right w:val="single" w:sz="4" w:space="0" w:color="auto"/>
            </w:tcBorders>
            <w:shd w:val="clear" w:color="auto" w:fill="FFFFFF" w:themeFill="background1"/>
            <w:noWrap/>
            <w:vAlign w:val="center"/>
            <w:hideMark/>
          </w:tcPr>
          <w:p w14:paraId="5FEF2904"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Përshkrimi i Metodologjisë</w:t>
            </w:r>
          </w:p>
        </w:tc>
        <w:tc>
          <w:tcPr>
            <w:tcW w:w="650"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5FEF2905"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Frekuenca e Matjes</w:t>
            </w:r>
          </w:p>
        </w:tc>
        <w:tc>
          <w:tcPr>
            <w:tcW w:w="544" w:type="dxa"/>
            <w:tcBorders>
              <w:top w:val="nil"/>
              <w:left w:val="nil"/>
              <w:bottom w:val="single" w:sz="4" w:space="0" w:color="auto"/>
              <w:right w:val="single" w:sz="4" w:space="0" w:color="auto"/>
            </w:tcBorders>
            <w:shd w:val="clear" w:color="auto" w:fill="FFFFFF" w:themeFill="background1"/>
            <w:vAlign w:val="center"/>
            <w:hideMark/>
          </w:tcPr>
          <w:p w14:paraId="5FEF2906"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Natyra e Indikatorit/treguesit: Kumulativ/Rrites</w:t>
            </w:r>
          </w:p>
        </w:tc>
        <w:tc>
          <w:tcPr>
            <w:tcW w:w="339" w:type="dxa"/>
            <w:tcBorders>
              <w:top w:val="nil"/>
              <w:left w:val="nil"/>
              <w:bottom w:val="single" w:sz="4" w:space="0" w:color="auto"/>
              <w:right w:val="single" w:sz="4" w:space="0" w:color="auto"/>
            </w:tcBorders>
            <w:shd w:val="clear" w:color="auto" w:fill="FFFFFF" w:themeFill="background1"/>
            <w:vAlign w:val="center"/>
            <w:hideMark/>
          </w:tcPr>
          <w:p w14:paraId="5FEF2907"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Input Direkt ose i Përbërë</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08"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Formula e llogaritjes</w:t>
            </w:r>
          </w:p>
        </w:tc>
        <w:tc>
          <w:tcPr>
            <w:tcW w:w="131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5FEF2909"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Ndarja e të dhënave (për treguesit e përbërë)</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0A"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br/>
              <w:t>Theksoni drejtimin e ndryshimit / trendit të ecurisë</w:t>
            </w:r>
          </w:p>
        </w:tc>
        <w:tc>
          <w:tcPr>
            <w:tcW w:w="1017"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14:paraId="5FEF290B"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Vlerat Bazë</w:t>
            </w:r>
          </w:p>
        </w:tc>
        <w:tc>
          <w:tcPr>
            <w:tcW w:w="897" w:type="dxa"/>
            <w:gridSpan w:val="3"/>
            <w:tcBorders>
              <w:top w:val="single" w:sz="4" w:space="0" w:color="auto"/>
              <w:left w:val="nil"/>
              <w:bottom w:val="single" w:sz="4" w:space="0" w:color="auto"/>
              <w:right w:val="single" w:sz="4" w:space="0" w:color="auto"/>
            </w:tcBorders>
            <w:shd w:val="clear" w:color="auto" w:fill="FFFFFF" w:themeFill="background1"/>
            <w:noWrap/>
            <w:vAlign w:val="center"/>
            <w:hideMark/>
          </w:tcPr>
          <w:p w14:paraId="5FEF290C"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Vlera e synuar/ Targeti</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0D"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Vlera e synuar/Targeti i rishikuar:</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90E"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Vlera aktuale:</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0F"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SDG - Titulli i Qellimit të Zhvillimit të Qëndrueshëm sipas OKB-së</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10" w14:textId="03C79CA8" w:rsidR="00764695" w:rsidRPr="00795698" w:rsidRDefault="00764695" w:rsidP="00C62D65">
            <w:pPr>
              <w:jc w:val="center"/>
              <w:rPr>
                <w:rFonts w:ascii="Arial" w:hAnsi="Arial" w:cs="Arial"/>
                <w:b/>
                <w:bCs/>
                <w:sz w:val="4"/>
                <w:szCs w:val="4"/>
                <w:lang w:eastAsia="sq-AL"/>
              </w:rPr>
            </w:pPr>
            <w:r w:rsidRPr="00795698">
              <w:rPr>
                <w:rFonts w:ascii="Arial" w:hAnsi="Arial" w:cs="Arial"/>
                <w:b/>
                <w:bCs/>
                <w:sz w:val="4"/>
                <w:szCs w:val="4"/>
                <w:lang w:eastAsia="sq-AL"/>
              </w:rPr>
              <w:t>Vlera e Synuar e</w:t>
            </w:r>
            <w:r w:rsidR="007C064A" w:rsidRPr="00795698">
              <w:rPr>
                <w:rFonts w:ascii="Arial" w:hAnsi="Arial" w:cs="Arial"/>
                <w:b/>
                <w:bCs/>
                <w:sz w:val="4"/>
                <w:szCs w:val="4"/>
                <w:lang w:eastAsia="sq-AL"/>
              </w:rPr>
              <w:t xml:space="preserve"> </w:t>
            </w:r>
            <w:r w:rsidRPr="00795698">
              <w:rPr>
                <w:rFonts w:ascii="Arial" w:hAnsi="Arial" w:cs="Arial"/>
                <w:b/>
                <w:bCs/>
                <w:sz w:val="4"/>
                <w:szCs w:val="4"/>
                <w:lang w:eastAsia="sq-AL"/>
              </w:rPr>
              <w:t>treguesit t</w:t>
            </w:r>
            <w:r w:rsidR="00C62D65" w:rsidRPr="00795698">
              <w:rPr>
                <w:rFonts w:ascii="Arial" w:hAnsi="Arial" w:cs="Arial"/>
                <w:b/>
                <w:bCs/>
                <w:sz w:val="4"/>
                <w:szCs w:val="4"/>
                <w:lang w:eastAsia="sq-AL"/>
              </w:rPr>
              <w:t>ë</w:t>
            </w:r>
            <w:r w:rsidRPr="00795698">
              <w:rPr>
                <w:rFonts w:ascii="Arial" w:hAnsi="Arial" w:cs="Arial"/>
                <w:b/>
                <w:bCs/>
                <w:sz w:val="4"/>
                <w:szCs w:val="4"/>
                <w:lang w:eastAsia="sq-AL"/>
              </w:rPr>
              <w:t xml:space="preserve"> SDG</w:t>
            </w:r>
          </w:p>
        </w:tc>
      </w:tr>
      <w:tr w:rsidR="00FF5F17" w:rsidRPr="00795698" w14:paraId="5FEF292E"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12"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91" w:type="dxa"/>
            <w:tcBorders>
              <w:top w:val="nil"/>
              <w:left w:val="nil"/>
              <w:bottom w:val="single" w:sz="4" w:space="0" w:color="auto"/>
              <w:right w:val="single" w:sz="4" w:space="0" w:color="auto"/>
            </w:tcBorders>
            <w:shd w:val="clear" w:color="auto" w:fill="FFFFFF" w:themeFill="background1"/>
            <w:noWrap/>
            <w:vAlign w:val="center"/>
            <w:hideMark/>
          </w:tcPr>
          <w:p w14:paraId="5FEF2913"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14"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15"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916"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917"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18"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19"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xml:space="preserve">Institucioni që krijon dhe monitoron indikatorin </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91A"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Institucionet Pjesëmarrëse</w:t>
            </w:r>
          </w:p>
        </w:tc>
        <w:tc>
          <w:tcPr>
            <w:tcW w:w="629" w:type="dxa"/>
            <w:tcBorders>
              <w:top w:val="nil"/>
              <w:left w:val="nil"/>
              <w:bottom w:val="single" w:sz="4" w:space="0" w:color="auto"/>
              <w:right w:val="single" w:sz="4" w:space="0" w:color="auto"/>
            </w:tcBorders>
            <w:shd w:val="clear" w:color="auto" w:fill="FFFFFF" w:themeFill="background1"/>
            <w:noWrap/>
            <w:vAlign w:val="center"/>
            <w:hideMark/>
          </w:tcPr>
          <w:p w14:paraId="5FEF291B"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1C"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325" w:type="dxa"/>
            <w:tcBorders>
              <w:top w:val="nil"/>
              <w:left w:val="nil"/>
              <w:bottom w:val="single" w:sz="4" w:space="0" w:color="auto"/>
              <w:right w:val="single" w:sz="4" w:space="0" w:color="auto"/>
            </w:tcBorders>
            <w:shd w:val="clear" w:color="auto" w:fill="FFFFFF" w:themeFill="background1"/>
            <w:noWrap/>
            <w:vAlign w:val="bottom"/>
            <w:hideMark/>
          </w:tcPr>
          <w:p w14:paraId="5FEF291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c>
          <w:tcPr>
            <w:tcW w:w="544" w:type="dxa"/>
            <w:tcBorders>
              <w:top w:val="nil"/>
              <w:left w:val="nil"/>
              <w:bottom w:val="single" w:sz="4" w:space="0" w:color="auto"/>
              <w:right w:val="single" w:sz="4" w:space="0" w:color="auto"/>
            </w:tcBorders>
            <w:shd w:val="clear" w:color="auto" w:fill="FFFFFF" w:themeFill="background1"/>
            <w:vAlign w:val="center"/>
            <w:hideMark/>
          </w:tcPr>
          <w:p w14:paraId="5FEF291E"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339" w:type="dxa"/>
            <w:tcBorders>
              <w:top w:val="nil"/>
              <w:left w:val="nil"/>
              <w:bottom w:val="single" w:sz="4" w:space="0" w:color="auto"/>
              <w:right w:val="single" w:sz="4" w:space="0" w:color="auto"/>
            </w:tcBorders>
            <w:shd w:val="clear" w:color="auto" w:fill="FFFFFF" w:themeFill="background1"/>
            <w:vAlign w:val="center"/>
            <w:hideMark/>
          </w:tcPr>
          <w:p w14:paraId="5FEF291F"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20"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21"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518" w:type="dxa"/>
            <w:tcBorders>
              <w:top w:val="nil"/>
              <w:left w:val="nil"/>
              <w:bottom w:val="single" w:sz="4" w:space="0" w:color="auto"/>
              <w:right w:val="single" w:sz="4" w:space="0" w:color="auto"/>
            </w:tcBorders>
            <w:shd w:val="clear" w:color="auto" w:fill="FFFFFF" w:themeFill="background1"/>
            <w:noWrap/>
            <w:vAlign w:val="bottom"/>
            <w:hideMark/>
          </w:tcPr>
          <w:p w14:paraId="5FEF292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c>
          <w:tcPr>
            <w:tcW w:w="276" w:type="dxa"/>
            <w:tcBorders>
              <w:top w:val="nil"/>
              <w:left w:val="nil"/>
              <w:bottom w:val="single" w:sz="4" w:space="0" w:color="auto"/>
              <w:right w:val="single" w:sz="4" w:space="0" w:color="auto"/>
            </w:tcBorders>
            <w:shd w:val="clear" w:color="auto" w:fill="FFFFFF" w:themeFill="background1"/>
            <w:noWrap/>
            <w:vAlign w:val="bottom"/>
            <w:hideMark/>
          </w:tcPr>
          <w:p w14:paraId="5FEF292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24"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5FEF292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Viti 2019</w:t>
            </w:r>
          </w:p>
        </w:tc>
        <w:tc>
          <w:tcPr>
            <w:tcW w:w="725" w:type="dxa"/>
            <w:tcBorders>
              <w:top w:val="nil"/>
              <w:left w:val="nil"/>
              <w:bottom w:val="single" w:sz="4" w:space="0" w:color="auto"/>
              <w:right w:val="single" w:sz="4" w:space="0" w:color="auto"/>
            </w:tcBorders>
            <w:shd w:val="clear" w:color="auto" w:fill="FFFFFF" w:themeFill="background1"/>
            <w:noWrap/>
            <w:vAlign w:val="center"/>
            <w:hideMark/>
          </w:tcPr>
          <w:p w14:paraId="5FEF292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ose viti 2020 </w:t>
            </w:r>
          </w:p>
        </w:tc>
        <w:tc>
          <w:tcPr>
            <w:tcW w:w="299" w:type="dxa"/>
            <w:tcBorders>
              <w:top w:val="nil"/>
              <w:left w:val="nil"/>
              <w:bottom w:val="single" w:sz="4" w:space="0" w:color="auto"/>
              <w:right w:val="single" w:sz="4" w:space="0" w:color="auto"/>
            </w:tcBorders>
            <w:shd w:val="clear" w:color="auto" w:fill="FFFFFF" w:themeFill="background1"/>
            <w:noWrap/>
            <w:vAlign w:val="center"/>
            <w:hideMark/>
          </w:tcPr>
          <w:p w14:paraId="5FEF2927"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2023</w:t>
            </w:r>
          </w:p>
        </w:tc>
        <w:tc>
          <w:tcPr>
            <w:tcW w:w="299" w:type="dxa"/>
            <w:tcBorders>
              <w:top w:val="nil"/>
              <w:left w:val="nil"/>
              <w:bottom w:val="single" w:sz="4" w:space="0" w:color="auto"/>
              <w:right w:val="single" w:sz="4" w:space="0" w:color="auto"/>
            </w:tcBorders>
            <w:shd w:val="clear" w:color="auto" w:fill="FFFFFF" w:themeFill="background1"/>
            <w:noWrap/>
            <w:vAlign w:val="center"/>
            <w:hideMark/>
          </w:tcPr>
          <w:p w14:paraId="5FEF2928"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2024</w:t>
            </w:r>
          </w:p>
        </w:tc>
        <w:tc>
          <w:tcPr>
            <w:tcW w:w="299" w:type="dxa"/>
            <w:tcBorders>
              <w:top w:val="nil"/>
              <w:left w:val="nil"/>
              <w:bottom w:val="single" w:sz="4" w:space="0" w:color="auto"/>
              <w:right w:val="single" w:sz="4" w:space="0" w:color="auto"/>
            </w:tcBorders>
            <w:shd w:val="clear" w:color="auto" w:fill="FFFFFF" w:themeFill="background1"/>
            <w:noWrap/>
            <w:vAlign w:val="center"/>
            <w:hideMark/>
          </w:tcPr>
          <w:p w14:paraId="5FEF2929"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2025</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2A"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92B"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2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2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r>
      <w:tr w:rsidR="00764695" w:rsidRPr="00795698" w14:paraId="5FEF2930" w14:textId="77777777" w:rsidTr="00764695">
        <w:trPr>
          <w:trHeight w:val="180"/>
          <w:jc w:val="center"/>
        </w:trPr>
        <w:tc>
          <w:tcPr>
            <w:tcW w:w="13083" w:type="dxa"/>
            <w:gridSpan w:val="2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EF292F"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8"/>
                <w:szCs w:val="4"/>
                <w:lang w:eastAsia="sq-AL"/>
              </w:rPr>
              <w:t xml:space="preserve">QASJA PARANDALUESE </w:t>
            </w:r>
          </w:p>
        </w:tc>
      </w:tr>
      <w:tr w:rsidR="00FF5F17" w:rsidRPr="00795698" w14:paraId="5FEF294D"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3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Impakti</w:t>
            </w:r>
            <w:r w:rsidRPr="00795698">
              <w:rPr>
                <w:rFonts w:ascii="Arial" w:hAnsi="Arial" w:cs="Arial"/>
                <w:sz w:val="4"/>
                <w:szCs w:val="4"/>
                <w:lang w:eastAsia="sq-AL"/>
              </w:rPr>
              <w:br/>
              <w:t>(qasja)</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3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kërcënimit terrorist në vend.</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3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3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935"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936"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3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Burim i brendshëm - Databaza e të dhënave të Drejtorisë së Antiterrorit dhe Sektorit të Statistikave në DPPSH; Burim i jashtëm-Raporti Europol Te-Sat. Vlerësimet e progres-raportit të KE, Raportet e FAFT, Raporti Europol Te-Sat. GTI- Indeksi global i impaktit të terrorizmit- Raport vjetor i Institutit për Ekonominë dhe Paqen, </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3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3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3A" w14:textId="0A2C25F8" w:rsidR="00764695" w:rsidRPr="00795698" w:rsidRDefault="00764695" w:rsidP="00C62D65">
            <w:pPr>
              <w:rPr>
                <w:rFonts w:ascii="Arial" w:hAnsi="Arial" w:cs="Arial"/>
                <w:sz w:val="4"/>
                <w:szCs w:val="4"/>
                <w:lang w:eastAsia="sq-AL"/>
              </w:rPr>
            </w:pPr>
            <w:r w:rsidRPr="00795698">
              <w:rPr>
                <w:rFonts w:ascii="Arial" w:hAnsi="Arial" w:cs="Arial"/>
                <w:sz w:val="4"/>
                <w:szCs w:val="4"/>
                <w:lang w:eastAsia="sq-AL"/>
              </w:rPr>
              <w:t>Matja e impaktit do të bëhet</w:t>
            </w:r>
            <w:r w:rsidR="007C064A" w:rsidRPr="00795698">
              <w:rPr>
                <w:rFonts w:ascii="Arial" w:hAnsi="Arial" w:cs="Arial"/>
                <w:sz w:val="4"/>
                <w:szCs w:val="4"/>
                <w:lang w:eastAsia="sq-AL"/>
              </w:rPr>
              <w:t xml:space="preserve"> </w:t>
            </w:r>
            <w:r w:rsidRPr="00795698">
              <w:rPr>
                <w:rFonts w:ascii="Arial" w:hAnsi="Arial" w:cs="Arial"/>
                <w:sz w:val="4"/>
                <w:szCs w:val="4"/>
                <w:lang w:eastAsia="sq-AL"/>
              </w:rPr>
              <w:t>mbi bazën e vlerësimeve të progres-raporteve të KE (BE) Europol dhe realizimi i rekomandimeve të FAFT dhe organizmave/instituteve studimore të pavarura.</w:t>
            </w:r>
            <w:r w:rsidR="007C064A" w:rsidRPr="00795698">
              <w:rPr>
                <w:rFonts w:ascii="Arial" w:hAnsi="Arial" w:cs="Arial"/>
                <w:sz w:val="4"/>
                <w:szCs w:val="4"/>
                <w:lang w:eastAsia="sq-AL"/>
              </w:rPr>
              <w:t xml:space="preserve"> </w:t>
            </w:r>
            <w:r w:rsidRPr="00795698">
              <w:rPr>
                <w:rFonts w:ascii="Arial" w:hAnsi="Arial" w:cs="Arial"/>
                <w:sz w:val="4"/>
                <w:szCs w:val="4"/>
                <w:lang w:eastAsia="sq-AL"/>
              </w:rPr>
              <w:t>Do të kryhet vlerësimi</w:t>
            </w:r>
            <w:r w:rsidR="007C064A" w:rsidRPr="00795698">
              <w:rPr>
                <w:rFonts w:ascii="Arial" w:hAnsi="Arial" w:cs="Arial"/>
                <w:sz w:val="4"/>
                <w:szCs w:val="4"/>
                <w:lang w:eastAsia="sq-AL"/>
              </w:rPr>
              <w:t xml:space="preserve"> </w:t>
            </w:r>
            <w:r w:rsidRPr="00795698">
              <w:rPr>
                <w:rFonts w:ascii="Arial" w:hAnsi="Arial" w:cs="Arial"/>
                <w:sz w:val="4"/>
                <w:szCs w:val="4"/>
                <w:lang w:eastAsia="sq-AL"/>
              </w:rPr>
              <w:t>i</w:t>
            </w:r>
            <w:r w:rsidR="007C064A" w:rsidRPr="00795698">
              <w:rPr>
                <w:rFonts w:ascii="Arial" w:hAnsi="Arial" w:cs="Arial"/>
                <w:sz w:val="4"/>
                <w:szCs w:val="4"/>
                <w:lang w:eastAsia="sq-AL"/>
              </w:rPr>
              <w:t xml:space="preserve"> </w:t>
            </w:r>
            <w:r w:rsidRPr="00795698">
              <w:rPr>
                <w:rFonts w:ascii="Arial" w:hAnsi="Arial" w:cs="Arial"/>
                <w:sz w:val="4"/>
                <w:szCs w:val="4"/>
                <w:lang w:eastAsia="sq-AL"/>
              </w:rPr>
              <w:t>informacioneve për kërcënime terroriste nga Drejtoria e Antiterrorit, të cilat regjistrohen</w:t>
            </w:r>
            <w:r w:rsidR="007C064A" w:rsidRPr="00795698">
              <w:rPr>
                <w:rFonts w:ascii="Arial" w:hAnsi="Arial" w:cs="Arial"/>
                <w:sz w:val="4"/>
                <w:szCs w:val="4"/>
                <w:lang w:eastAsia="sq-AL"/>
              </w:rPr>
              <w:t xml:space="preserve"> </w:t>
            </w:r>
            <w:r w:rsidRPr="00795698">
              <w:rPr>
                <w:rFonts w:ascii="Arial" w:hAnsi="Arial" w:cs="Arial"/>
                <w:sz w:val="4"/>
                <w:szCs w:val="4"/>
                <w:lang w:eastAsia="sq-AL"/>
              </w:rPr>
              <w:t>në statistikat vjetore zyrtare të DPPSH, si raste të referuara të cilat kanë cuar në parandalimin e akteve terroriste. Përcaktimi mbi bazën e totalit të rasteve t</w:t>
            </w:r>
            <w:r w:rsidR="00C62D65" w:rsidRPr="00795698">
              <w:rPr>
                <w:rFonts w:ascii="Arial" w:hAnsi="Arial" w:cs="Arial"/>
                <w:sz w:val="4"/>
                <w:szCs w:val="4"/>
                <w:lang w:eastAsia="sq-AL"/>
              </w:rPr>
              <w:t>ë referuara (ngjarje të</w:t>
            </w:r>
            <w:r w:rsidRPr="00795698">
              <w:rPr>
                <w:rFonts w:ascii="Arial" w:hAnsi="Arial" w:cs="Arial"/>
                <w:sz w:val="4"/>
                <w:szCs w:val="4"/>
                <w:lang w:eastAsia="sq-AL"/>
              </w:rPr>
              <w:t xml:space="preserve"> ndodhura dhe hetime proaktive) të shkallës të kërcënimit</w:t>
            </w:r>
            <w:r w:rsidR="00D10A07" w:rsidRPr="00795698">
              <w:rPr>
                <w:rFonts w:ascii="Arial" w:hAnsi="Arial" w:cs="Arial"/>
                <w:sz w:val="4"/>
                <w:szCs w:val="4"/>
                <w:lang w:eastAsia="sq-AL"/>
              </w:rPr>
              <w:t>:</w:t>
            </w:r>
            <w:r w:rsidRPr="00795698">
              <w:rPr>
                <w:rFonts w:ascii="Arial" w:hAnsi="Arial" w:cs="Arial"/>
                <w:sz w:val="4"/>
                <w:szCs w:val="4"/>
                <w:lang w:eastAsia="sq-AL"/>
              </w:rPr>
              <w:t xml:space="preserve"> "shumë i ulët", "I ulët", "I moderuar", "I lartë".</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3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3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vAlign w:val="center"/>
            <w:hideMark/>
          </w:tcPr>
          <w:p w14:paraId="5FEF293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Kumulativ</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3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3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Σrasteve të regjistruara të akteve terroriste të ndodhura &gt; 1</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4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4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4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4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Zbritës</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5FEF294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noWrap/>
            <w:vAlign w:val="center"/>
            <w:hideMark/>
          </w:tcPr>
          <w:p w14:paraId="5FEF294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4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&gt;2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4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&gt;1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4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&gt;1</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49" w14:textId="3F4455C5"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94A"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4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4C" w14:textId="770FA14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96A"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4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4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rasteve terroriste të parandaluara, përmes hetimeve proaktive</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5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5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95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MBAJTJA E KËRCËNIMIT TERRORIST NË NIVEL “TË ULËT”</w:t>
            </w:r>
          </w:p>
        </w:tc>
        <w:tc>
          <w:tcPr>
            <w:tcW w:w="6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95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PARANDALIMI I TERRORIZMIT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5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 dhe Sektorit të Statistikave në DPPSH.</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5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5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57" w14:textId="7C5D2D8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Drejtoria e Antiterrorit mbi bazën e informacioneve për aktivitetin e grupeve ose individëve të dyshuar për kryerjen e veprave të mundshme</w:t>
            </w:r>
            <w:r w:rsidR="007C064A" w:rsidRPr="00795698">
              <w:rPr>
                <w:rFonts w:ascii="Arial" w:hAnsi="Arial" w:cs="Arial"/>
                <w:sz w:val="4"/>
                <w:szCs w:val="4"/>
                <w:lang w:eastAsia="sq-AL"/>
              </w:rPr>
              <w:t xml:space="preserve"> </w:t>
            </w:r>
            <w:r w:rsidRPr="00795698">
              <w:rPr>
                <w:rFonts w:ascii="Arial" w:hAnsi="Arial" w:cs="Arial"/>
                <w:sz w:val="4"/>
                <w:szCs w:val="4"/>
                <w:lang w:eastAsia="sq-AL"/>
              </w:rPr>
              <w:t>terroriste nis një hetim proaktiv.</w:t>
            </w:r>
            <w:r w:rsidR="007C064A" w:rsidRPr="00795698">
              <w:rPr>
                <w:rFonts w:ascii="Arial" w:hAnsi="Arial" w:cs="Arial"/>
                <w:sz w:val="4"/>
                <w:szCs w:val="4"/>
                <w:lang w:eastAsia="sq-AL"/>
              </w:rPr>
              <w:t xml:space="preserve"> </w:t>
            </w:r>
            <w:r w:rsidRPr="00795698">
              <w:rPr>
                <w:rFonts w:ascii="Arial" w:hAnsi="Arial" w:cs="Arial"/>
                <w:sz w:val="4"/>
                <w:szCs w:val="4"/>
                <w:lang w:eastAsia="sq-AL"/>
              </w:rPr>
              <w:t>Nga momenti i regjistrimit dhe angazhimit të burimeve për fillimin e hetimit proaktiv, me marrjen e numrit unik të regjistrit nis hetimi. Për qëllime të matjes së këtij indikatori do të merren në konsideratë hetimet e realizuara që kanë sjellë parandalimin e një akti terrorist. Nëse masa e rritjes së treguesit është më e madhe ose e barabartë me vlerën e targetit të synuar atëherë objektivi konsiderohet i realizuar.</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5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5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95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5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5C" w14:textId="6628BCDB"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[Y2(nr. i referimeve që kanë çuar në parandalim të akteve terroriste</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aktual) /Y1 (nr. i referimeve që kanë çuar në parandalim të akteve terroriste</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5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5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5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6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96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96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Për vitin 2020 jane kryer 4 referime për vepra me qëllime terroriste.</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63"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64"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65"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50%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66" w14:textId="50CE1F5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96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6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69" w14:textId="21AC1D4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987"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6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6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kapaciteteve profesionale për përdorimin e metodave speciale të hetimit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6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6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6F" w14:textId="77777777" w:rsidR="00764695" w:rsidRPr="00795698" w:rsidRDefault="00764695" w:rsidP="00764695">
            <w:pPr>
              <w:rPr>
                <w:rFonts w:ascii="Arial" w:hAnsi="Arial" w:cs="Arial"/>
                <w:sz w:val="4"/>
                <w:szCs w:val="4"/>
                <w:lang w:eastAsia="sq-AL"/>
              </w:rPr>
            </w:pPr>
          </w:p>
        </w:tc>
        <w:tc>
          <w:tcPr>
            <w:tcW w:w="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70" w14:textId="77777777" w:rsidR="00764695" w:rsidRPr="00795698" w:rsidRDefault="00764695" w:rsidP="00764695">
            <w:pPr>
              <w:rPr>
                <w:rFonts w:ascii="Arial" w:hAnsi="Arial" w:cs="Arial"/>
                <w:sz w:val="4"/>
                <w:szCs w:val="4"/>
                <w:lang w:eastAsia="sq-AL"/>
              </w:rPr>
            </w:pP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7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 dhe Sektorit të Statistikave në DPPSH.</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7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7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7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numrit të trajnimeve, krahasuar me vitin bazë. Nëse masa e rritjes së treguesit është më e madhe ose e barabartë me vlerën e targetit të synuar atëherë objektivi konsiderohet i realizuar. Për këtë nga numri total i trajnimeve të regjistruara në DAT do të identifikohet numri i trajnimeve që lidhen me metodat speciale të hetimit dhe përdorimin e mjeteve apo teknologjive të reja në hetimin e terrorizmit për periudhën raportuese dhe atë bazë. Nëse masa e rritjes së treguesit është më e madhe ose e barabartë me vlerën e targetit të synuar atëherë objektivi konsiderohet i realizuar.</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7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7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97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7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7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[Y2(nr. i trajnimeve të kryera gjatë vitit raportues) /Y1 (numri i trajnimeve të kryera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7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7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7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7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97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97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Për vitin 2020 numri i trajnimeve të kryera nga DAT në total ka qenë 10.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80"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8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82"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2%</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83" w14:textId="6969CE7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98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8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86" w14:textId="5FB0FAF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9A4"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8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Rezultati </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89" w14:textId="4A53FFB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referimeve</w:t>
            </w:r>
            <w:r w:rsidR="007C064A" w:rsidRPr="00795698">
              <w:rPr>
                <w:rFonts w:ascii="Arial" w:hAnsi="Arial" w:cs="Arial"/>
                <w:sz w:val="4"/>
                <w:szCs w:val="4"/>
                <w:lang w:eastAsia="sq-AL"/>
              </w:rPr>
              <w:t xml:space="preserve"> </w:t>
            </w:r>
            <w:r w:rsidRPr="00795698">
              <w:rPr>
                <w:rFonts w:ascii="Arial" w:hAnsi="Arial" w:cs="Arial"/>
                <w:sz w:val="4"/>
                <w:szCs w:val="4"/>
                <w:lang w:eastAsia="sq-AL"/>
              </w:rPr>
              <w:t>për financim të terrorizmit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8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8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8C" w14:textId="77777777" w:rsidR="00764695" w:rsidRPr="00795698" w:rsidRDefault="00764695" w:rsidP="00764695">
            <w:pPr>
              <w:rPr>
                <w:rFonts w:ascii="Arial" w:hAnsi="Arial" w:cs="Arial"/>
                <w:sz w:val="4"/>
                <w:szCs w:val="4"/>
                <w:lang w:eastAsia="sq-AL"/>
              </w:rPr>
            </w:pPr>
          </w:p>
        </w:tc>
        <w:tc>
          <w:tcPr>
            <w:tcW w:w="6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98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PARANDALIMI I FINANCIMIT TË TERRORIZMIT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8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 dhe Sektorit të Statistikave në DPPSH.</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8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9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91" w14:textId="06FC725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Bashkëpunimi ndërinstitucional është tregues thelbësor në</w:t>
            </w:r>
            <w:r w:rsidR="007C064A" w:rsidRPr="00795698">
              <w:rPr>
                <w:rFonts w:ascii="Arial" w:hAnsi="Arial" w:cs="Arial"/>
                <w:sz w:val="4"/>
                <w:szCs w:val="4"/>
                <w:lang w:eastAsia="sq-AL"/>
              </w:rPr>
              <w:t xml:space="preserve"> </w:t>
            </w:r>
            <w:r w:rsidRPr="00795698">
              <w:rPr>
                <w:rFonts w:ascii="Arial" w:hAnsi="Arial" w:cs="Arial"/>
                <w:sz w:val="4"/>
                <w:szCs w:val="4"/>
                <w:lang w:eastAsia="sq-AL"/>
              </w:rPr>
              <w:t>parandalimin e financimit të terrorizmit</w:t>
            </w:r>
            <w:r w:rsidR="007C064A" w:rsidRPr="00795698">
              <w:rPr>
                <w:rFonts w:ascii="Arial" w:hAnsi="Arial" w:cs="Arial"/>
                <w:sz w:val="4"/>
                <w:szCs w:val="4"/>
                <w:lang w:eastAsia="sq-AL"/>
              </w:rPr>
              <w:t xml:space="preserve"> </w:t>
            </w:r>
            <w:r w:rsidRPr="00795698">
              <w:rPr>
                <w:rFonts w:ascii="Arial" w:hAnsi="Arial" w:cs="Arial"/>
                <w:sz w:val="4"/>
                <w:szCs w:val="4"/>
                <w:lang w:eastAsia="sq-AL"/>
              </w:rPr>
              <w:t>pasi ndihmon në hetimin efektiv të veprave penale që lidhen me terrorizmin dhe financimin e tij. Për rrjedhojë rritja e numrit të analizave të përbashkëta mes institucioneve ligjzbatuese është derivati kryesor i këtij objektivi e cila kryhet bazuar në Memorandumin e Bashkëpunimit të nëshkruar ndërmjet PP, MB dhe MF "Për hetimin efektiv të pastrimit të parave, financimit të terrorizmit, dhe krimeve financiare". Performanca do të matet me trendin rritës të numrit të referimeve për financim të terrorizmit të realizuara të cilat rezultojnë si pasojë e analizave të përbashkëta, krahasuar me ato të referuara në</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vitin bazë. Për këtë fillimisht duhet të llogaritet numri i analizave të </w:t>
            </w:r>
            <w:r w:rsidRPr="00795698">
              <w:rPr>
                <w:rFonts w:ascii="Arial" w:hAnsi="Arial" w:cs="Arial"/>
                <w:sz w:val="4"/>
                <w:szCs w:val="4"/>
                <w:lang w:eastAsia="sq-AL"/>
              </w:rPr>
              <w:lastRenderedPageBreak/>
              <w:t>përbashkëta mes DPPPP, PSH/DAT, DPT, DPD dhe më pas numri i atyre të cilave kanë pasur elemente të mjaftueshme për referimin e veprës penale të financimit të terrorizmit të regjistruara nga PSH. Nëse masa e rritjes së treguesit është më e madhe ose e barabartë me vlerën e targetit të synuar atëherë objektivi konsiderohet i realizuar.</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9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9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99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9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96" w14:textId="461E21B8"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[Y2(nr. i referimeve për financim të terrorizmit gjatë vitit aktual) /Y1 (nr. i referimeve që kanë çuar në parandalim të akteve terroriste</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9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9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9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9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99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99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Për vitin 2020 numri i referimeve për financim të terrorizmit ka qënë: 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9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9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9F"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150%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A0" w14:textId="6319F94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9A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A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A3" w14:textId="2C5BC44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9C1"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A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Rezultati </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A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kapaciteteve profesionale për të detektuar dhe hetuar financimin e terrorizmit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A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A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A9" w14:textId="77777777" w:rsidR="00764695" w:rsidRPr="00795698" w:rsidRDefault="00764695" w:rsidP="00764695">
            <w:pPr>
              <w:rPr>
                <w:rFonts w:ascii="Arial" w:hAnsi="Arial" w:cs="Arial"/>
                <w:sz w:val="4"/>
                <w:szCs w:val="4"/>
                <w:lang w:eastAsia="sq-AL"/>
              </w:rPr>
            </w:pPr>
          </w:p>
        </w:tc>
        <w:tc>
          <w:tcPr>
            <w:tcW w:w="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AA" w14:textId="77777777" w:rsidR="00764695" w:rsidRPr="00795698" w:rsidRDefault="00764695" w:rsidP="00764695">
            <w:pPr>
              <w:rPr>
                <w:rFonts w:ascii="Arial" w:hAnsi="Arial" w:cs="Arial"/>
                <w:sz w:val="4"/>
                <w:szCs w:val="4"/>
                <w:lang w:eastAsia="sq-AL"/>
              </w:rPr>
            </w:pP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A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 dhe Sektorit të Statistikave në DPPSH.</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A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A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A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Rritja e kapaciteteve profesionale të Njësisë për Hetimin e Financimit të Terrorizmit por edhe të specialistëve të njësive rajonale antiterrorizëm, për të kuptuar rëndësine e financimit të terrorizmit dhe hetimin efektiv të saj rrjedhimisht do të cojë në parandalimin, hetimin dhe goditjen e financimit të terrorizmit dhe akteve terroriste. Performanca do të matet me trendin rritës krahasuar me vitin parardhës. Për këtë fillimisht do të përcaktohet numri i trajnimeve në fushën e terrorizmit të DAT dhe më pas numri i trajnimeve specifikisht për financimin e terrorizmit pë periudhën raportuese dhe atë të vitit bazë. Nëse masa e rritjes së treguesit është më e madhe ose e barabartë me vlerën e targetit të synuar atëherë objektivi konsiderohet i realizuar.</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A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B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9B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B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B3" w14:textId="6A65318C"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(nr. i trajnimeve të specializuara në fushën e hetimit të financimit të terrorizmit</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aktual/Y1 (numri i të specializuara në fushëm e hetimit të financimit të terrorizmit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B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B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B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B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9B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9B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Gjatë vitit 2020 janë zhvilluar 3 trajnime specifike vetëm për financimin e terrorizmit.</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B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B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BC"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150%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BD" w14:textId="4D8973A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9B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B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C0" w14:textId="1772266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9DE"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C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Rezultati </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C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hetimeve të përbashkëta të strukturave të antiterrorit me homologet dhe partnerët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C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C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C6" w14:textId="77777777" w:rsidR="00764695" w:rsidRPr="00795698" w:rsidRDefault="00764695" w:rsidP="00764695">
            <w:pPr>
              <w:rPr>
                <w:rFonts w:ascii="Arial" w:hAnsi="Arial" w:cs="Arial"/>
                <w:sz w:val="4"/>
                <w:szCs w:val="4"/>
                <w:lang w:eastAsia="sq-AL"/>
              </w:rPr>
            </w:pPr>
          </w:p>
        </w:tc>
        <w:tc>
          <w:tcPr>
            <w:tcW w:w="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C7" w14:textId="77777777" w:rsidR="00764695" w:rsidRPr="00795698" w:rsidRDefault="00764695" w:rsidP="00764695">
            <w:pPr>
              <w:rPr>
                <w:rFonts w:ascii="Arial" w:hAnsi="Arial" w:cs="Arial"/>
                <w:sz w:val="4"/>
                <w:szCs w:val="4"/>
                <w:lang w:eastAsia="sq-AL"/>
              </w:rPr>
            </w:pP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C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 dhe Sektorit të Statistikave në DPPSH.</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C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C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C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Bashkëpunimi ndërkombëtar është objektiv kryesor për hetimin e veprave penale me natyrë terroriste ndërkombëtare dhe hetimet e përbashkëta me homologët dhe partnerët konsiderohen forma më e avancuar e këtij bashkëpunimi. Zhvillimi i operacioneve të përbashkëta kryhet bazuar në marrëveshjet dy ose shumëpalëshe të nënshkuara me homologët ose organizatat policore (Europol, Selec, Interpol). Operacionet e përbashkëta konsistojnë kryesisht në shkëmbimin në kohe reale të informacionit dhe takimeve operacionale të cilat regjistrohen të ndara për çdo organizatë homologe të të huaj ndaj fillimisht përcaktohet shuma e tyre për vitin aktual dhe bazë. Performanca do të matet me trendin rritës krahasuar me vitin bazë. Nëse masa e rritjes së treguesit është më e madhe ose e barabartë me vlerën e targetit të synuar atëherë objektivi konsiderohet i realizuar.</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C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C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9C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C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D0" w14:textId="3EA7E675"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[Y2(nr. i operacioneve të përbashkëta me partnerë ndërkombëtarë të kryera gjatë vitit aktual) /Y1 (nr. i operacioneve të përbashkëta me partnerë ndërkombëtarë të kryera</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D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D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D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D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9D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9D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Gjatë vitit 2020 janë zhvilluar 3 operacione të përbashkëta për identifikimin dhe kapjen e personave në kërkim ndërkombëtar.</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D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D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D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33%</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DA" w14:textId="36238AB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9D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D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DD" w14:textId="224C62A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9FB"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D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Rezultati </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E0" w14:textId="7FBEFB6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ndërveprimit midis PSH/DAT,</w:t>
            </w:r>
            <w:r w:rsidR="007C064A" w:rsidRPr="00795698">
              <w:rPr>
                <w:rFonts w:ascii="Arial" w:hAnsi="Arial" w:cs="Arial"/>
                <w:sz w:val="4"/>
                <w:szCs w:val="4"/>
                <w:lang w:eastAsia="sq-AL"/>
              </w:rPr>
              <w:t xml:space="preserve"> </w:t>
            </w:r>
            <w:r w:rsidRPr="00795698">
              <w:rPr>
                <w:rFonts w:ascii="Arial" w:hAnsi="Arial" w:cs="Arial"/>
                <w:sz w:val="4"/>
                <w:szCs w:val="4"/>
                <w:lang w:eastAsia="sq-AL"/>
              </w:rPr>
              <w:t>DPT, DPD, DPPPP dhe institucioneve të tjera të sigurisë me institucionet e tjera ligjzbatuese në vend për</w:t>
            </w:r>
            <w:r w:rsidR="007C064A" w:rsidRPr="00795698">
              <w:rPr>
                <w:rFonts w:ascii="Arial" w:hAnsi="Arial" w:cs="Arial"/>
                <w:sz w:val="4"/>
                <w:szCs w:val="4"/>
                <w:lang w:eastAsia="sq-AL"/>
              </w:rPr>
              <w:t xml:space="preserve"> </w:t>
            </w:r>
            <w:r w:rsidRPr="00795698">
              <w:rPr>
                <w:rFonts w:ascii="Arial" w:hAnsi="Arial" w:cs="Arial"/>
                <w:sz w:val="4"/>
                <w:szCs w:val="4"/>
                <w:lang w:eastAsia="sq-AL"/>
              </w:rPr>
              <w:t>financimin e terrorizmit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E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E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E3" w14:textId="77777777" w:rsidR="00764695" w:rsidRPr="00795698" w:rsidRDefault="00764695" w:rsidP="00764695">
            <w:pPr>
              <w:rPr>
                <w:rFonts w:ascii="Arial" w:hAnsi="Arial" w:cs="Arial"/>
                <w:sz w:val="4"/>
                <w:szCs w:val="4"/>
                <w:lang w:eastAsia="sq-AL"/>
              </w:rPr>
            </w:pPr>
          </w:p>
        </w:tc>
        <w:tc>
          <w:tcPr>
            <w:tcW w:w="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9E4" w14:textId="77777777" w:rsidR="00764695" w:rsidRPr="00795698" w:rsidRDefault="00764695" w:rsidP="00764695">
            <w:pPr>
              <w:rPr>
                <w:rFonts w:ascii="Arial" w:hAnsi="Arial" w:cs="Arial"/>
                <w:sz w:val="4"/>
                <w:szCs w:val="4"/>
                <w:lang w:eastAsia="sq-AL"/>
              </w:rPr>
            </w:pP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9E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Databaza e të dhënave të Drejtorisë së Antiterrorit dhe </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9E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9E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9E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Bashkëpunimi ndërinstitucional është objektiv kryesor i DAT pasi ndihmon në hetimin efektiv të veprave penale që lidhen me terrorizmin dhe financimin e tij. Për rrjedhojë rritja e numrit të informacioneve të shkëmbyera është derivati kryesor i këtij objektivi. Performanca do të matet me trendin rritës të numrit të Informacioneve të shkëmbyera, krahasuar me vitin bazë. Nëse masa e rritjes së treguesit është më e madhe ose e barabartë me vlerën e targetit të synuar atëherë objektivi konsiderohet i realizuar.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E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9E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9E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9E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I përbërë</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9E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[Y2(Σinformacioneve të shkëmbyera me DPPP; DPT, DPD gjatë vitit aktual) /Y1 (Σinformacioneve të shkëmbyera me DPPP; DPT, DPD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E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9E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9F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9F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9F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9F3" w14:textId="1209DE81"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Për vitin 2020 numri i informacioneve të shkëmbyera me DPPPP-</w:t>
            </w:r>
            <w:r w:rsidR="007C064A" w:rsidRPr="00795698">
              <w:rPr>
                <w:rFonts w:ascii="Arial" w:hAnsi="Arial" w:cs="Arial"/>
                <w:sz w:val="4"/>
                <w:szCs w:val="4"/>
                <w:lang w:eastAsia="sq-AL"/>
              </w:rPr>
              <w:t xml:space="preserve"> </w:t>
            </w:r>
            <w:r w:rsidRPr="00795698">
              <w:rPr>
                <w:rFonts w:ascii="Arial" w:hAnsi="Arial" w:cs="Arial"/>
                <w:sz w:val="4"/>
                <w:szCs w:val="4"/>
                <w:lang w:eastAsia="sq-AL"/>
              </w:rPr>
              <w:t>170</w:t>
            </w:r>
            <w:r w:rsidR="00D10A07" w:rsidRPr="00795698">
              <w:rPr>
                <w:rFonts w:ascii="Arial" w:hAnsi="Arial" w:cs="Arial"/>
                <w:sz w:val="4"/>
                <w:szCs w:val="4"/>
                <w:lang w:eastAsia="sq-AL"/>
              </w:rPr>
              <w:t>,</w:t>
            </w:r>
            <w:r w:rsidRPr="00795698">
              <w:rPr>
                <w:rFonts w:ascii="Arial" w:hAnsi="Arial" w:cs="Arial"/>
                <w:sz w:val="4"/>
                <w:szCs w:val="4"/>
                <w:lang w:eastAsia="sq-AL"/>
              </w:rPr>
              <w:t xml:space="preserve"> DPT- 197 dhe DPD ka qenë</w:t>
            </w:r>
            <w:r w:rsidR="007C064A" w:rsidRPr="00795698">
              <w:rPr>
                <w:rFonts w:ascii="Arial" w:hAnsi="Arial" w:cs="Arial"/>
                <w:sz w:val="4"/>
                <w:szCs w:val="4"/>
                <w:lang w:eastAsia="sq-AL"/>
              </w:rPr>
              <w:t xml:space="preserve"> </w:t>
            </w:r>
            <w:r w:rsidRPr="00795698">
              <w:rPr>
                <w:rFonts w:ascii="Arial" w:hAnsi="Arial" w:cs="Arial"/>
                <w:sz w:val="4"/>
                <w:szCs w:val="4"/>
                <w:lang w:eastAsia="sq-AL"/>
              </w:rPr>
              <w:t>109.</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F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F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9F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9F7" w14:textId="6EBD2F2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9F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9F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9FA" w14:textId="5B59FEE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18"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9F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9FD" w14:textId="4C420D2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nivelit të parandalimit të kërcënimeve terroriste nga LTH, si rrjedhojë</w:t>
            </w:r>
            <w:r w:rsidR="007C064A" w:rsidRPr="00795698">
              <w:rPr>
                <w:rFonts w:ascii="Arial" w:hAnsi="Arial" w:cs="Arial"/>
                <w:sz w:val="4"/>
                <w:szCs w:val="4"/>
                <w:lang w:eastAsia="sq-AL"/>
              </w:rPr>
              <w:t xml:space="preserve"> </w:t>
            </w:r>
            <w:r w:rsidRPr="00795698">
              <w:rPr>
                <w:rFonts w:ascii="Arial" w:hAnsi="Arial" w:cs="Arial"/>
                <w:sz w:val="4"/>
                <w:szCs w:val="4"/>
                <w:lang w:eastAsia="sq-AL"/>
              </w:rPr>
              <w:t>e monitorimit të situatës së personave të kthyer nga zonat e konfliktit.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9F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9F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A00"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01" w14:textId="339CBBD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INTENSIFIKIMI I MASAVE PËR NDJEKJEN DHE MONITORIMIN E SITUATËS LIDHUR ME</w:t>
            </w:r>
            <w:r w:rsidR="007C064A" w:rsidRPr="00795698">
              <w:rPr>
                <w:rFonts w:ascii="Arial" w:hAnsi="Arial" w:cs="Arial"/>
                <w:sz w:val="4"/>
                <w:szCs w:val="4"/>
                <w:lang w:eastAsia="sq-AL"/>
              </w:rPr>
              <w:t xml:space="preserve"> </w:t>
            </w:r>
            <w:r w:rsidRPr="00795698">
              <w:rPr>
                <w:rFonts w:ascii="Arial" w:hAnsi="Arial" w:cs="Arial"/>
                <w:sz w:val="4"/>
                <w:szCs w:val="4"/>
                <w:lang w:eastAsia="sq-AL"/>
              </w:rPr>
              <w:t>SHTETASIT</w:t>
            </w:r>
            <w:r w:rsidR="007C064A" w:rsidRPr="00795698">
              <w:rPr>
                <w:rFonts w:ascii="Arial" w:hAnsi="Arial" w:cs="Arial"/>
                <w:sz w:val="4"/>
                <w:szCs w:val="4"/>
                <w:lang w:eastAsia="sq-AL"/>
              </w:rPr>
              <w:t xml:space="preserve"> </w:t>
            </w:r>
            <w:r w:rsidRPr="00795698">
              <w:rPr>
                <w:rFonts w:ascii="Arial" w:hAnsi="Arial" w:cs="Arial"/>
                <w:sz w:val="4"/>
                <w:szCs w:val="4"/>
                <w:lang w:eastAsia="sq-AL"/>
              </w:rPr>
              <w:t>SHQIPTARË LHT QË MUND TË KTHEHEN NGA ZONAT E KONFLIKTIT SIRI/IRAK, SI DHE ÇDO INDIVIDI TË DYSHUAR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0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 dhe Sektorit të Statistikave në DPPSH.</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0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A0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05" w14:textId="7E95A1E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 kryen monitorimin e të gjithë shtetasve shqiptarë dhe të huaj për të cilët ka informacione se kanë udhëtuar për në zonat e konfliktit Siri/Irak (LHT). Aktualisht në Shqipëri ka shtetas të cilët kanë udhëtuar në zonat e konfliktit dhe janë kthyer para ndryshimeve ligjore në Kodin Penal, Luftëtarëve të Huaj Terroristë dhe familjarëve të tyre është një aktivitet shumë i rëndësishëm për parandalimin e propagandës apo riaktivizimit të tyre dhe kryrjen e ndonjë akti terrorist në vend. Monitorimi si pasojë e intensifikimit të masave për ndjekjen dhe mbajtjen nën vëzhgim të vazhdueshëm të LTH do të synohet ulja e numrit të kërcënimeve terroriste nga LTH.</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Informacionet për aktivitet me qëllime terroriste nga LTH disponohen të ndara nga individë të tjerë në vend të cilët dyshohen për propagandë apo përfshirje në grupe apo akte terroriste duke bërë të mundur edhe evidentimin nga totali i rasteve të parandaluara të atyre </w:t>
            </w:r>
            <w:r w:rsidRPr="00795698">
              <w:rPr>
                <w:rFonts w:ascii="Arial" w:hAnsi="Arial" w:cs="Arial"/>
                <w:sz w:val="4"/>
                <w:szCs w:val="4"/>
                <w:lang w:eastAsia="sq-AL"/>
              </w:rPr>
              <w:lastRenderedPageBreak/>
              <w:t xml:space="preserve">ku është përfshirë të paktën një LTH. Performanca do të matet me trendin rritës të numrit të rasteve të parandaluara ku është përfshirë të paktën një LTH, krahasuar me vitin paraardhës. Nëse masa e rritjes së treguesit është më e madhe ose e barabartë me vlerën e targetit të synuar atëherë objektivi konsiderohet i realizuar.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0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0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0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0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0A" w14:textId="1F7436AC"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[Y2(nr. i referimeve që kanë çuar në parandalim të akteve terroriste nga LTH</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aktual) /Y1 (nr. i referimeve që kanë çuar në parandalim të akteve terroriste</w:t>
            </w:r>
            <w:r w:rsidR="007C064A" w:rsidRPr="00795698">
              <w:rPr>
                <w:rFonts w:ascii="Arial" w:hAnsi="Arial" w:cs="Arial"/>
                <w:sz w:val="4"/>
                <w:szCs w:val="4"/>
                <w:lang w:eastAsia="sq-AL"/>
              </w:rPr>
              <w:t xml:space="preserve"> </w:t>
            </w:r>
            <w:r w:rsidRPr="00795698">
              <w:rPr>
                <w:rFonts w:ascii="Arial" w:hAnsi="Arial" w:cs="Arial"/>
                <w:sz w:val="4"/>
                <w:szCs w:val="4"/>
                <w:lang w:eastAsia="sq-AL"/>
              </w:rPr>
              <w:t>nga LTH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0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0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0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0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0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1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1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1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1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1.5%</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14" w14:textId="7704611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A1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1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17" w14:textId="091887F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35"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1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1A" w14:textId="3C28C03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w:t>
            </w:r>
            <w:r w:rsidR="007C064A" w:rsidRPr="00795698">
              <w:rPr>
                <w:rFonts w:ascii="Arial" w:hAnsi="Arial" w:cs="Arial"/>
                <w:sz w:val="4"/>
                <w:szCs w:val="4"/>
                <w:lang w:eastAsia="sq-AL"/>
              </w:rPr>
              <w:t xml:space="preserve"> </w:t>
            </w:r>
            <w:r w:rsidRPr="00795698">
              <w:rPr>
                <w:rFonts w:ascii="Arial" w:hAnsi="Arial" w:cs="Arial"/>
                <w:sz w:val="4"/>
                <w:szCs w:val="4"/>
                <w:lang w:eastAsia="sq-AL"/>
              </w:rPr>
              <w:t>i efektivitetit të informacioneve të shkëmbyera midis institucioneve brenda vendit si dhe me shërbimet partnere.</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1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1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A1D"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1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FORCIMI I BASHKËPUNIMIT DHE KOORDINIMIT BRENDA STRUKTURAVE TË POLICISË SË SHTETIT, AGJENCIVE INTELIGJENTE DHE LIGJZBATUESE NË VEND QË KANË DETYRIME NË LUFTËN KUNDËR TERRORIZMIT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1F" w14:textId="0539740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Databaza e të dhënave të Drejtorisë së Antiterrorit</w:t>
            </w:r>
            <w:r w:rsidR="00D10A07" w:rsidRPr="00795698">
              <w:rPr>
                <w:rFonts w:ascii="Arial" w:hAnsi="Arial" w:cs="Arial"/>
                <w:sz w:val="4"/>
                <w:szCs w:val="4"/>
                <w:lang w:eastAsia="sq-AL"/>
              </w:rPr>
              <w:t>.</w:t>
            </w:r>
            <w:r w:rsidRPr="00795698">
              <w:rPr>
                <w:rFonts w:ascii="Arial" w:hAnsi="Arial" w:cs="Arial"/>
                <w:sz w:val="4"/>
                <w:szCs w:val="4"/>
                <w:lang w:eastAsia="sq-AL"/>
              </w:rPr>
              <w:t xml:space="preserve"> SIENA (Europol)</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2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A2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22" w14:textId="72F8EE0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 DAT kryen monitorimin e të gjithë shtetasve shqiptarë dhe të huaj për të cilët ka informacione se kanë udhëtuar për në zonat e konfliktit Siri/Irak (LHT).</w:t>
            </w:r>
            <w:r w:rsidR="007C064A" w:rsidRPr="00795698">
              <w:rPr>
                <w:rFonts w:ascii="Arial" w:hAnsi="Arial" w:cs="Arial"/>
                <w:sz w:val="4"/>
                <w:szCs w:val="4"/>
                <w:lang w:eastAsia="sq-AL"/>
              </w:rPr>
              <w:t xml:space="preserve"> </w:t>
            </w:r>
            <w:r w:rsidRPr="00795698">
              <w:rPr>
                <w:rFonts w:ascii="Arial" w:hAnsi="Arial" w:cs="Arial"/>
                <w:sz w:val="4"/>
                <w:szCs w:val="4"/>
                <w:lang w:eastAsia="sq-AL"/>
              </w:rPr>
              <w:t>Me intensifikimin të masave për ndjekjen dhe mbajtjen nën vëzhgim të vazhdueshëm të LTH (Plane masash vjetore) synohet ulja e numrit të kërcënimeve terroriste nga LTH.</w:t>
            </w:r>
            <w:r w:rsidR="007C064A" w:rsidRPr="00795698">
              <w:rPr>
                <w:rFonts w:ascii="Arial" w:hAnsi="Arial" w:cs="Arial"/>
                <w:sz w:val="4"/>
                <w:szCs w:val="4"/>
                <w:lang w:eastAsia="sq-AL"/>
              </w:rPr>
              <w:t xml:space="preserve"> </w:t>
            </w:r>
            <w:r w:rsidRPr="00795698">
              <w:rPr>
                <w:rFonts w:ascii="Arial" w:hAnsi="Arial" w:cs="Arial"/>
                <w:sz w:val="4"/>
                <w:szCs w:val="4"/>
                <w:lang w:eastAsia="sq-AL"/>
              </w:rPr>
              <w:t>Monitorimi kryhet dhe në bashkepunim me Interpol e cila ka dhe bazën më të madhe të dhënave për LHT-të. Performanca do të matet me trendin rritës të numrit të rasteve të parandaluara ku është përfshirë të paktën një LTH, krahasuar me vitin bazë.</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Nëse masa e rritjes së treguesit është më e madhe ose e barabartë me vlerën e targetit të synuar atëherë objektivi konsiderohet i realizuar.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2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2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2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2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I përbërë</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2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[Y2(nr. i informacioneve të shkëmbyera me partnerë ndërkombëtarë gjatë vitit aktual) /Y1 (nr. i i informacioneve të shkëmbyera me partnerë ndërkombëtarë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2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Y2(Σinformacioneve të shkëmbyera me Europol; Interpol, ON dhe TSC gjatë vitit aktual)</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29" w14:textId="5063CE4F"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Y1(Σinformacioneve të shkëmbyera me Europol; Interpol, ON dhe TSC</w:t>
            </w:r>
            <w:r w:rsidR="007C064A" w:rsidRPr="00795698">
              <w:rPr>
                <w:rFonts w:ascii="Arial" w:hAnsi="Arial" w:cs="Arial"/>
                <w:sz w:val="4"/>
                <w:szCs w:val="4"/>
                <w:lang w:eastAsia="sq-AL"/>
              </w:rPr>
              <w:t xml:space="preserve"> </w:t>
            </w:r>
            <w:r w:rsidRPr="00795698">
              <w:rPr>
                <w:rFonts w:ascii="Arial" w:hAnsi="Arial" w:cs="Arial"/>
                <w:sz w:val="4"/>
                <w:szCs w:val="4"/>
                <w:lang w:eastAsia="sq-AL"/>
              </w:rPr>
              <w:t>gjatë vitit bazë) - 1]*100%</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2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2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2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2D" w14:textId="3EDFD6A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Për vitin 2020 numri i informacioneve të shkëmbyera është:</w:t>
            </w:r>
            <w:r w:rsidRPr="00795698">
              <w:rPr>
                <w:rFonts w:ascii="Arial" w:hAnsi="Arial" w:cs="Arial"/>
                <w:sz w:val="4"/>
                <w:szCs w:val="4"/>
                <w:lang w:eastAsia="sq-AL"/>
              </w:rPr>
              <w:br/>
              <w:t>-Europol</w:t>
            </w:r>
            <w:r w:rsidR="007C064A" w:rsidRPr="00795698">
              <w:rPr>
                <w:rFonts w:ascii="Arial" w:hAnsi="Arial" w:cs="Arial"/>
                <w:sz w:val="4"/>
                <w:szCs w:val="4"/>
                <w:lang w:eastAsia="sq-AL"/>
              </w:rPr>
              <w:t xml:space="preserve"> </w:t>
            </w:r>
            <w:r w:rsidRPr="00795698">
              <w:rPr>
                <w:rFonts w:ascii="Arial" w:hAnsi="Arial" w:cs="Arial"/>
                <w:sz w:val="4"/>
                <w:szCs w:val="4"/>
                <w:lang w:eastAsia="sq-AL"/>
              </w:rPr>
              <w:t>490,</w:t>
            </w:r>
            <w:r w:rsidRPr="00795698">
              <w:rPr>
                <w:rFonts w:ascii="Arial" w:hAnsi="Arial" w:cs="Arial"/>
                <w:sz w:val="4"/>
                <w:szCs w:val="4"/>
                <w:lang w:eastAsia="sq-AL"/>
              </w:rPr>
              <w:br/>
              <w:t>-Interpol 167</w:t>
            </w:r>
            <w:r w:rsidR="007C064A" w:rsidRPr="00795698">
              <w:rPr>
                <w:rFonts w:ascii="Arial" w:hAnsi="Arial" w:cs="Arial"/>
                <w:sz w:val="4"/>
                <w:szCs w:val="4"/>
                <w:lang w:eastAsia="sq-AL"/>
              </w:rPr>
              <w:t xml:space="preserve"> </w:t>
            </w:r>
            <w:r w:rsidRPr="00795698">
              <w:rPr>
                <w:rFonts w:ascii="Arial" w:hAnsi="Arial" w:cs="Arial"/>
                <w:sz w:val="4"/>
                <w:szCs w:val="4"/>
                <w:lang w:eastAsia="sq-AL"/>
              </w:rPr>
              <w:br/>
              <w:t>-Oficerët ndërlidhës</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62 praktika, </w:t>
            </w:r>
            <w:r w:rsidRPr="00795698">
              <w:rPr>
                <w:rFonts w:ascii="Arial" w:hAnsi="Arial" w:cs="Arial"/>
                <w:sz w:val="4"/>
                <w:szCs w:val="4"/>
                <w:lang w:eastAsia="sq-AL"/>
              </w:rPr>
              <w:br/>
              <w:t>-TSC (SHBA) 12102 emaile.</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2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1.8%</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2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30"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2.5%</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31" w14:textId="5CD7360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A3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3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34" w14:textId="7920479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52"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3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3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uljes së ekspozimit të grupmoshave të reja në site dhe faqe online të cilat me përmbajtje propagandiste.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3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3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3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NDËRPRERJA E AKTIVITETEVE TË FAQEVE DHE PLATFORMAVE DIXHITALE SI DHE INDIVIDËVE QË TËRHEQIN NJERËZ NË TERRORIZËM</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3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PARANDALIMI I RADIKALIZIMIT NËPËRMJET INTERNETIT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3C" w14:textId="506063B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3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QKEDH</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A3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AKCESK/DPPSH/ 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3F" w14:textId="4B4754A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Ngritja e sistemit</w:t>
            </w:r>
            <w:r w:rsidR="007C064A" w:rsidRPr="00795698">
              <w:rPr>
                <w:rFonts w:ascii="Arial" w:hAnsi="Arial" w:cs="Arial"/>
                <w:sz w:val="4"/>
                <w:szCs w:val="4"/>
                <w:lang w:eastAsia="sq-AL"/>
              </w:rPr>
              <w:t xml:space="preserve"> </w:t>
            </w:r>
            <w:r w:rsidRPr="00795698">
              <w:rPr>
                <w:rFonts w:ascii="Arial" w:hAnsi="Arial" w:cs="Arial"/>
                <w:sz w:val="4"/>
                <w:szCs w:val="4"/>
                <w:lang w:eastAsia="sq-AL"/>
              </w:rPr>
              <w:t>të aksesit të kontrolluar për grupmoshat e reja në site dhe faqe online të cilat mund të kenë përmbajtje propagandiste do të kalojë disa faza si analiza e situatës mbi faqet që kanë këtë përmbajtje me propagandë terroriste dhe frekuentimi i tyre sipas grupmoshave</w:t>
            </w:r>
            <w:r w:rsidR="00D10A07" w:rsidRPr="00795698">
              <w:rPr>
                <w:rFonts w:ascii="Arial" w:hAnsi="Arial" w:cs="Arial"/>
                <w:sz w:val="4"/>
                <w:szCs w:val="4"/>
                <w:lang w:eastAsia="sq-AL"/>
              </w:rPr>
              <w:t>,</w:t>
            </w:r>
            <w:r w:rsidRPr="00795698">
              <w:rPr>
                <w:rFonts w:ascii="Arial" w:hAnsi="Arial" w:cs="Arial"/>
                <w:sz w:val="4"/>
                <w:szCs w:val="4"/>
                <w:lang w:eastAsia="sq-AL"/>
              </w:rPr>
              <w:t xml:space="preserve"> do të zhvillohet projekt-ideja, prokurimi, funksionalizimi i sistemit. Dy vitet e para nuk do të ketë impakt deri në funksionalizimin e sistemit. Në vitin e tretë performanca do të matet me ndryshimin në % të uljes së numrit të referimeve për vepra terroriste të individëve të grupmoshës 18-25 vjeç,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4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4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4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4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4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[Y2(referimeve për vepra terroriste të individëve të grupmoshës 18-25 vjeç gjatë vitit aktual) /Y1 (nr. ireferimeve për vepra terroriste të individëve të grupmoshës 18-25 vjeç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4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4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4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4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Zbritës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4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4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Analiza e situatës</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4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4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4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14%</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4E" w14:textId="2C8A6AF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A4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5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51" w14:textId="0D801D8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6F"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5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54" w14:textId="306461B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identifikimit të profileve me përmbajtje terroriste</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përmes monitorimit të burimeve të hapura.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5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5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A57"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5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RRITJA E PREZENCËS SË STRUKTURAVE TË ANTITERRORIT NË MJEDISIN VIRTUAL PËRMES KONTROLLIT DHE MONITORIMIT TË HAPËSIRAVE VIRTUALE PËRFSHIRË DARKNET-IN</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59" w14:textId="521A4306"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5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A5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5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Rritja profesionale për monitorimin e vazhdueshëm të burimeve të hapura dhe rrjeteve sociale me qëllim identifikimin e profileve me përmbatje terroriste, radikaliste dhe ekstremiste është konsideruar si një mjet për të luftuar format dhe metodat e përdorura nga individë dhe grupe radikale/ekstremiste e terroriste. Performanca do të matet me trendin rritës të numrit të profileve të subjekteve të hetimit,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5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5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5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6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6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[Y2(numri i profileve të subjekteve të hetimit gjatë vitit aktual) /Y1 (numri i profileve të subjekteve të hetimit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6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6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6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6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6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67" w14:textId="50710EB0"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Për vitin 2020 numri i profileve të monitoruara nga Njësia për Verifikimin e terrorizmit dhe Sigurinë ka qenë</w:t>
            </w:r>
            <w:r w:rsidR="007C064A" w:rsidRPr="00795698">
              <w:rPr>
                <w:rFonts w:ascii="Arial" w:hAnsi="Arial" w:cs="Arial"/>
                <w:sz w:val="4"/>
                <w:szCs w:val="4"/>
                <w:lang w:eastAsia="sq-AL"/>
              </w:rPr>
              <w:t xml:space="preserve"> </w:t>
            </w:r>
            <w:r w:rsidRPr="00795698">
              <w:rPr>
                <w:rFonts w:ascii="Arial" w:hAnsi="Arial" w:cs="Arial"/>
                <w:sz w:val="4"/>
                <w:szCs w:val="4"/>
                <w:lang w:eastAsia="sq-AL"/>
              </w:rPr>
              <w:t>363.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6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6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6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4%</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6B" w14:textId="5BE9434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A6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6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6E" w14:textId="39D4202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8C"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7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7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rritjes së nivelit të bashkëpunimit bilateral, rajonal dhe ndërkombëtar brenda fushës</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7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7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A74"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7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PARANDALIMI I RADIKALIZIMIT DHE REKRUTIMEVE TERRORISTE DUKE RRITUR BASHKËPUNIMIN BILATERAL, RAJONAL DHE NDËRKOMBËTAR DHE ME PRODHUESIT E APLIKACIONEVE ONLINE</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76" w14:textId="6F94F60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7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A7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79" w14:textId="771915F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Takimet bilaterale, rajonale dhe ndërkombëtare të zhvilluara nga DAT dhe lidhja e marrëveshjeve</w:t>
            </w:r>
            <w:r w:rsidR="007C064A" w:rsidRPr="00795698">
              <w:rPr>
                <w:rFonts w:ascii="Arial" w:hAnsi="Arial" w:cs="Arial"/>
                <w:sz w:val="4"/>
                <w:szCs w:val="4"/>
                <w:lang w:eastAsia="sq-AL"/>
              </w:rPr>
              <w:t xml:space="preserve"> </w:t>
            </w:r>
            <w:r w:rsidRPr="00795698">
              <w:rPr>
                <w:rFonts w:ascii="Arial" w:hAnsi="Arial" w:cs="Arial"/>
                <w:sz w:val="4"/>
                <w:szCs w:val="4"/>
                <w:lang w:eastAsia="sq-AL"/>
              </w:rPr>
              <w:t>ndikojnë drejtëpërdrejtë në rritjen e bashkëpunimit, shkëmbimit të informacioneve, operacioneve të përbashkëta etj. Medodologjia e matjes së këtij indikatori do të jetë</w:t>
            </w:r>
            <w:r w:rsidR="007C064A" w:rsidRPr="00795698">
              <w:rPr>
                <w:rFonts w:ascii="Arial" w:hAnsi="Arial" w:cs="Arial"/>
                <w:sz w:val="4"/>
                <w:szCs w:val="4"/>
                <w:lang w:eastAsia="sq-AL"/>
              </w:rPr>
              <w:t xml:space="preserve"> </w:t>
            </w:r>
            <w:r w:rsidRPr="00795698">
              <w:rPr>
                <w:rFonts w:ascii="Arial" w:hAnsi="Arial" w:cs="Arial"/>
                <w:sz w:val="4"/>
                <w:szCs w:val="4"/>
                <w:lang w:eastAsia="sq-AL"/>
              </w:rPr>
              <w:t>monitorimi i realizimit të planit vjetor të punës së sektorit të marrëveshjeve</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në DPPSH bazuar në nevojat e DAT për takime dhe marrëveshje bashkëpunimi. Performanca do të matet me trendin rritës të numrit të takimeve të zhvilluara, krahasuar me vitin bazë. </w:t>
            </w:r>
            <w:r w:rsidRPr="00795698">
              <w:rPr>
                <w:rFonts w:ascii="Arial" w:hAnsi="Arial" w:cs="Arial"/>
                <w:sz w:val="4"/>
                <w:szCs w:val="4"/>
                <w:lang w:eastAsia="sq-AL"/>
              </w:rPr>
              <w:br/>
              <w:t xml:space="preserv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7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7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7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7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7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[Y2(numri i takimeve, nënshkrimit të marrëveshjeve, memorandumeve gjatë vitit aktual) /Y1 (numri i takimeve, nënshkrimit të marrëveshjeve, memorandumeve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7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8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8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8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8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84" w14:textId="489BAC6C"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Për vitin 2020 numri i takimeve të zhvilluara ka qenë</w:t>
            </w:r>
            <w:r w:rsidR="007C064A" w:rsidRPr="00795698">
              <w:rPr>
                <w:rFonts w:ascii="Arial" w:hAnsi="Arial" w:cs="Arial"/>
                <w:sz w:val="4"/>
                <w:szCs w:val="4"/>
                <w:lang w:eastAsia="sq-AL"/>
              </w:rPr>
              <w:t xml:space="preserve"> </w:t>
            </w:r>
            <w:r w:rsidRPr="00795698">
              <w:rPr>
                <w:rFonts w:ascii="Arial" w:hAnsi="Arial" w:cs="Arial"/>
                <w:sz w:val="4"/>
                <w:szCs w:val="4"/>
                <w:lang w:eastAsia="sq-AL"/>
              </w:rPr>
              <w:t>3.Për vitin 2020 numri i marreveshjeve/memorandumeve të zhvilluara ka qenë</w:t>
            </w:r>
            <w:r w:rsidR="007C064A" w:rsidRPr="00795698">
              <w:rPr>
                <w:rFonts w:ascii="Arial" w:hAnsi="Arial" w:cs="Arial"/>
                <w:sz w:val="4"/>
                <w:szCs w:val="4"/>
                <w:lang w:eastAsia="sq-AL"/>
              </w:rPr>
              <w:t xml:space="preserve"> </w:t>
            </w: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8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8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8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88" w14:textId="0A83A06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A8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8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8B" w14:textId="1AADBDB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A9"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8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8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rritjes së nivelit analitik dhe të përpunimit të informacionit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8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9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A9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NJOHJA E KËRCËNIMEVE TË TERRORIZMIT NË VENDIN TONË PËRMES IDENTIFIKIMIT TË HERSHËM TË GRUPEVE TË SYNUARA DHE METODAVE RADIKALE</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9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SPEFICIK: VLERËSIMI DHE ANALIZIMI I FAKTORËVE QË ÇOJNË NË RADIKALIZIM DHE EKSTREMIZËM TË DHUNSHËM</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93" w14:textId="061A6F3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9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QKEDH</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A9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MB</w:t>
            </w:r>
            <w:r w:rsidRPr="00795698">
              <w:rPr>
                <w:rFonts w:ascii="Arial" w:hAnsi="Arial" w:cs="Arial"/>
                <w:sz w:val="4"/>
                <w:szCs w:val="4"/>
                <w:lang w:eastAsia="sq-AL"/>
              </w:rPr>
              <w:br/>
              <w:t xml:space="preserve">MM/MFE/MEPJ/ </w:t>
            </w:r>
            <w:r w:rsidRPr="00795698">
              <w:rPr>
                <w:rFonts w:ascii="Arial" w:hAnsi="Arial" w:cs="Arial"/>
                <w:sz w:val="4"/>
                <w:szCs w:val="4"/>
                <w:lang w:eastAsia="sq-AL"/>
              </w:rPr>
              <w:br/>
              <w:t>MD/SHISH/QKEDH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9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Me qëllim të koordinimit më efikas ndërinstitucional, do të hartohen protokolle të mirëfillta për grumbullimin, sistemimin dhe shpërndarjen e informacionit pranë institucioneve kompetente, me qëllim normimin e </w:t>
            </w:r>
            <w:r w:rsidRPr="00795698">
              <w:rPr>
                <w:rFonts w:ascii="Arial" w:hAnsi="Arial" w:cs="Arial"/>
                <w:sz w:val="4"/>
                <w:szCs w:val="4"/>
                <w:lang w:eastAsia="sq-AL"/>
              </w:rPr>
              <w:lastRenderedPageBreak/>
              <w:t xml:space="preserve">procesit për shpërndarjen e informacionit dhe rritjen e efikasitetit të tij. </w:t>
            </w:r>
            <w:r w:rsidRPr="00795698">
              <w:rPr>
                <w:rFonts w:ascii="Arial" w:hAnsi="Arial" w:cs="Arial"/>
                <w:sz w:val="4"/>
                <w:szCs w:val="4"/>
                <w:lang w:eastAsia="sq-AL"/>
              </w:rPr>
              <w:br/>
              <w:t xml:space="preserve">Performanca do të matet me numrin e protokolleve të hartuara për secilin institucion me qëllim shkëmbimin e informacionit me CVE dhe instucionet relevante.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9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9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9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9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9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[Y2(numri i protokolleve të hartuara gjatë vitit aktual) /Y1 (numri I protokolleve të hartuara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9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9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9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9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A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A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A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A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A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A5" w14:textId="3CF7D89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lastRenderedPageBreak/>
              <w:t xml:space="preserve">terrorizmi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AA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A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16. Promovimi i shoqërive paqësore dhe gjithëpërfshirëse për zhvillim të qëndrueshëm, ofrimi i qasjes në drejtësi për të gjithë dhe </w:t>
            </w:r>
            <w:r w:rsidRPr="00795698">
              <w:rPr>
                <w:rFonts w:ascii="Arial" w:hAnsi="Arial" w:cs="Arial"/>
                <w:sz w:val="4"/>
                <w:szCs w:val="4"/>
                <w:lang w:eastAsia="sq-AL"/>
              </w:rPr>
              <w:lastRenderedPageBreak/>
              <w:t>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A8" w14:textId="723331F6"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lastRenderedPageBreak/>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Ndalimi i abuzimit, shfrytëzimit, </w:t>
            </w:r>
            <w:r w:rsidRPr="00795698">
              <w:rPr>
                <w:rFonts w:ascii="Arial" w:hAnsi="Arial" w:cs="Arial"/>
                <w:sz w:val="4"/>
                <w:szCs w:val="4"/>
                <w:lang w:eastAsia="sq-AL"/>
              </w:rPr>
              <w:lastRenderedPageBreak/>
              <w:t>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C6"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A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A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kapaciteteve për vlerësimin e riskut nga radikalizimi</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A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A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AAE" w14:textId="65EB461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 ZGJERIMI I</w:t>
            </w:r>
            <w:r w:rsidR="007C064A" w:rsidRPr="00795698">
              <w:rPr>
                <w:rFonts w:ascii="Arial" w:hAnsi="Arial" w:cs="Arial"/>
                <w:sz w:val="4"/>
                <w:szCs w:val="4"/>
                <w:lang w:eastAsia="sq-AL"/>
              </w:rPr>
              <w:t xml:space="preserve"> </w:t>
            </w:r>
            <w:r w:rsidRPr="00795698">
              <w:rPr>
                <w:rFonts w:ascii="Arial" w:hAnsi="Arial" w:cs="Arial"/>
                <w:sz w:val="4"/>
                <w:szCs w:val="4"/>
                <w:lang w:eastAsia="sq-AL"/>
              </w:rPr>
              <w:t>KAPACITETEVE OPERACIONALE TË POLICISË DHE KAPACITETEVE TË INTELIGJENCËS</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A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PËRMIRËSIMI I PARANDALIMIT NËPËRMJET ZHVILLIMIT TË VLERËSIMEVE TË RISKUT, ANALIZAVE DHE KËRKIMEVE PËR RADIKALIZIMIN DHE TERRORIZMIN</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B0" w14:textId="736D0F2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B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AB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SHISH/AISM/DPPPP</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B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Analizat për raste të dyshuara dhe nën hetim për vepra terroriste si dhe vlerësimet e riskut bëhen sipas nivelit të kërcënimit terrorist në vend bazuar në informacione. Performanca do të matet me trendin rritës të numrit të analizave, profileve për subjekte dhe vlerësime risku,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B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B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B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B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B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[Y2(Σanalizave, profileve për subjekte dhe vlerësime risku gjatë vitit aktual) /Y1 (Σanalizave, profileve për subjekte dhe vlerësime risku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B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B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B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B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B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B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Për vitin 2020 numri i analizave të kryera nga DAT në total ka qenë 4.</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BF"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C0"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C1"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50%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C2" w14:textId="2962E83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noWrap/>
            <w:vAlign w:val="center"/>
            <w:hideMark/>
          </w:tcPr>
          <w:p w14:paraId="5FEF2AC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C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C5" w14:textId="2CDFDAC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AE3"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AC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AC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rritjes së përvojës dhe ekspertizës në fushën e terrorizmit dhe radikalizmit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AC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AC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C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ZHVILLIMI I KOMUNIKIMIT STRATEGJIK</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AC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SHKËMBIMI I PËRVOJËS DHE EKSPERTIZËS ME VENDET E RAJONIT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ACD" w14:textId="0FC9F94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AC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QKEDH</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AC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AD0" w14:textId="18449AA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Në kuadër të rritjes së kapaciteteve të zyrtarëve të institucioneve qendrore apo dhe profesionistëve të vijës së parë do të organizohen takime, webinare dhe konferenca për të shkëmbyer eksperiencat dhe përvojat e vendeve të rajonit por edhe më gjerë me qëllim përfitimin e shëmbujve të suksesit</w:t>
            </w:r>
            <w:r w:rsidR="007C064A" w:rsidRPr="00795698">
              <w:rPr>
                <w:rFonts w:ascii="Arial" w:hAnsi="Arial" w:cs="Arial"/>
                <w:sz w:val="4"/>
                <w:szCs w:val="4"/>
                <w:lang w:eastAsia="sq-AL"/>
              </w:rPr>
              <w:t xml:space="preserve"> </w:t>
            </w:r>
            <w:r w:rsidRPr="00795698">
              <w:rPr>
                <w:rFonts w:ascii="Arial" w:hAnsi="Arial" w:cs="Arial"/>
                <w:sz w:val="4"/>
                <w:szCs w:val="4"/>
                <w:lang w:eastAsia="sq-AL"/>
              </w:rPr>
              <w:t>dhe implementimin e tyre në vendin tonë. Performanca do të matet me rritjen në %</w:t>
            </w:r>
            <w:r w:rsidR="007C064A" w:rsidRPr="00795698">
              <w:rPr>
                <w:rFonts w:ascii="Arial" w:hAnsi="Arial" w:cs="Arial"/>
                <w:sz w:val="4"/>
                <w:szCs w:val="4"/>
                <w:lang w:eastAsia="sq-AL"/>
              </w:rPr>
              <w:t xml:space="preserve"> </w:t>
            </w:r>
            <w:r w:rsidRPr="00795698">
              <w:rPr>
                <w:rFonts w:ascii="Arial" w:hAnsi="Arial" w:cs="Arial"/>
                <w:sz w:val="4"/>
                <w:szCs w:val="4"/>
                <w:lang w:eastAsia="sq-AL"/>
              </w:rPr>
              <w:t>të realizimit të kalendarit të planifikuar bazuar në nevojat e strukturave të antiterrorit.</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D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AD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AD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AD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AD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[Y2(numri i takimeve/sesioneve informuese, me palë të treta, konferencave rajonale, tryezave të përbashkëta, trajnimeve në nivel qendror dhe vendor, trajnimeve për rritjen e kapaciteteve për profesionistët e vijës së parë gjatë vitit aktual) /Y1 (numri i takimeve/sesioneve informuese, me palë të treta, konferencave rajonale, tryezave të përbashkëta, trajnimeve në nivel qendror dhe vendor, trajnimeve për rritjen e kapaciteteve për profesionistët e vijës së parë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D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AD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AD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AD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AD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AD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D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D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66%</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AD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66%</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ADF" w14:textId="396B126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AE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AE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AE2" w14:textId="46DC61A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B00" w14:textId="77777777" w:rsidTr="00764695">
        <w:trPr>
          <w:trHeight w:val="517"/>
          <w:jc w:val="center"/>
        </w:trPr>
        <w:tc>
          <w:tcPr>
            <w:tcW w:w="37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5" w14:textId="3E70EB8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w:t>
            </w:r>
            <w:r w:rsidR="007C064A" w:rsidRPr="00795698">
              <w:rPr>
                <w:rFonts w:ascii="Arial" w:hAnsi="Arial" w:cs="Arial"/>
                <w:sz w:val="4"/>
                <w:szCs w:val="4"/>
                <w:lang w:eastAsia="sq-AL"/>
              </w:rPr>
              <w:t xml:space="preserve"> </w:t>
            </w:r>
            <w:r w:rsidRPr="00795698">
              <w:rPr>
                <w:rFonts w:ascii="Arial" w:hAnsi="Arial" w:cs="Arial"/>
                <w:sz w:val="4"/>
                <w:szCs w:val="4"/>
                <w:lang w:eastAsia="sq-AL"/>
              </w:rPr>
              <w:t>shkallës së informimit dhe ndërgjegjësimit</w:t>
            </w:r>
            <w:r w:rsidR="007C064A" w:rsidRPr="00795698">
              <w:rPr>
                <w:rFonts w:ascii="Arial" w:hAnsi="Arial" w:cs="Arial"/>
                <w:sz w:val="4"/>
                <w:szCs w:val="4"/>
                <w:lang w:eastAsia="sq-AL"/>
              </w:rPr>
              <w:t xml:space="preserve"> </w:t>
            </w:r>
            <w:r w:rsidRPr="00795698">
              <w:rPr>
                <w:rFonts w:ascii="Arial" w:hAnsi="Arial" w:cs="Arial"/>
                <w:sz w:val="4"/>
                <w:szCs w:val="4"/>
                <w:lang w:eastAsia="sq-AL"/>
              </w:rPr>
              <w:t>të shtresave vulerabël për ekspozim ndaj radikalizimit që çon në terrorizëm</w:t>
            </w:r>
          </w:p>
        </w:tc>
        <w:tc>
          <w:tcPr>
            <w:tcW w:w="42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AE8" w14:textId="77777777" w:rsidR="00764695" w:rsidRPr="00795698" w:rsidRDefault="00764695" w:rsidP="00764695">
            <w:pPr>
              <w:rPr>
                <w:rFonts w:ascii="Arial" w:hAnsi="Arial" w:cs="Arial"/>
                <w:sz w:val="4"/>
                <w:szCs w:val="4"/>
                <w:lang w:eastAsia="sq-AL"/>
              </w:rPr>
            </w:pPr>
          </w:p>
        </w:tc>
        <w:tc>
          <w:tcPr>
            <w:tcW w:w="6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9" w14:textId="00C025E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KRIJIMI I NJË RRJETI KOMUNIKIMI TË VAZHDUESHËM PËR</w:t>
            </w:r>
            <w:r w:rsidR="007C064A" w:rsidRPr="00795698">
              <w:rPr>
                <w:rFonts w:ascii="Arial" w:hAnsi="Arial" w:cs="Arial"/>
                <w:sz w:val="4"/>
                <w:szCs w:val="4"/>
                <w:lang w:eastAsia="sq-AL"/>
              </w:rPr>
              <w:t xml:space="preserve"> </w:t>
            </w:r>
            <w:r w:rsidRPr="00795698">
              <w:rPr>
                <w:rFonts w:ascii="Arial" w:hAnsi="Arial" w:cs="Arial"/>
                <w:sz w:val="4"/>
                <w:szCs w:val="4"/>
                <w:lang w:eastAsia="sq-AL"/>
              </w:rPr>
              <w:t>SHKËMBIMIN E INFORMACIONEVE MES INSTITUCIONEVE DHE STRUKTURAVE TË</w:t>
            </w:r>
            <w:r w:rsidR="007C064A" w:rsidRPr="00795698">
              <w:rPr>
                <w:rFonts w:ascii="Arial" w:hAnsi="Arial" w:cs="Arial"/>
                <w:sz w:val="4"/>
                <w:szCs w:val="4"/>
                <w:lang w:eastAsia="sq-AL"/>
              </w:rPr>
              <w:t xml:space="preserve"> </w:t>
            </w:r>
            <w:r w:rsidRPr="00795698">
              <w:rPr>
                <w:rFonts w:ascii="Arial" w:hAnsi="Arial" w:cs="Arial"/>
                <w:sz w:val="4"/>
                <w:szCs w:val="4"/>
                <w:lang w:eastAsia="sq-AL"/>
              </w:rPr>
              <w:t>PËRFSHIRA ME QËLLIM KRIJIMIN E PROGRAMEVE DHE MANUALEVE PËR NDËRGJEGJËSIMIN MBITERRORIZMIN DHE EKSTREMIZMIN E</w:t>
            </w:r>
            <w:r w:rsidR="007C064A" w:rsidRPr="00795698">
              <w:rPr>
                <w:rFonts w:ascii="Arial" w:hAnsi="Arial" w:cs="Arial"/>
                <w:sz w:val="4"/>
                <w:szCs w:val="4"/>
                <w:lang w:eastAsia="sq-AL"/>
              </w:rPr>
              <w:t xml:space="preserve"> </w:t>
            </w:r>
            <w:r w:rsidRPr="00795698">
              <w:rPr>
                <w:rFonts w:ascii="Arial" w:hAnsi="Arial" w:cs="Arial"/>
                <w:sz w:val="4"/>
                <w:szCs w:val="4"/>
                <w:lang w:eastAsia="sq-AL"/>
              </w:rPr>
              <w:t>DHUNSHËM</w:t>
            </w:r>
          </w:p>
        </w:tc>
        <w:tc>
          <w:tcPr>
            <w:tcW w:w="431"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A" w14:textId="336EA503"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MAS</w:t>
            </w:r>
          </w:p>
        </w:tc>
        <w:tc>
          <w:tcPr>
            <w:tcW w:w="874"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FEF2AE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QKEDH</w:t>
            </w:r>
          </w:p>
        </w:tc>
        <w:tc>
          <w:tcPr>
            <w:tcW w:w="62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D" w14:textId="4DD698D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w:t>
            </w:r>
            <w:r w:rsidR="007C064A" w:rsidRPr="00795698">
              <w:rPr>
                <w:rFonts w:ascii="Arial" w:hAnsi="Arial" w:cs="Arial"/>
                <w:sz w:val="4"/>
                <w:szCs w:val="4"/>
                <w:lang w:eastAsia="sq-AL"/>
              </w:rPr>
              <w:t xml:space="preserve"> </w:t>
            </w:r>
            <w:r w:rsidRPr="00795698">
              <w:rPr>
                <w:rFonts w:ascii="Arial" w:hAnsi="Arial" w:cs="Arial"/>
                <w:sz w:val="4"/>
                <w:szCs w:val="4"/>
                <w:lang w:eastAsia="sq-AL"/>
              </w:rPr>
              <w:t>numrit</w:t>
            </w:r>
            <w:r w:rsidR="007C064A" w:rsidRPr="00795698">
              <w:rPr>
                <w:rFonts w:ascii="Arial" w:hAnsi="Arial" w:cs="Arial"/>
                <w:sz w:val="4"/>
                <w:szCs w:val="4"/>
                <w:lang w:eastAsia="sq-AL"/>
              </w:rPr>
              <w:t xml:space="preserve"> </w:t>
            </w:r>
            <w:r w:rsidRPr="00795698">
              <w:rPr>
                <w:rFonts w:ascii="Arial" w:hAnsi="Arial" w:cs="Arial"/>
                <w:sz w:val="4"/>
                <w:szCs w:val="4"/>
                <w:lang w:eastAsia="sq-AL"/>
              </w:rPr>
              <w:t>të programeve dhe manualeve të realizuara për ndërgjegjësimin mbi terrorizmin</w:t>
            </w:r>
            <w:r w:rsidR="007C064A" w:rsidRPr="00795698">
              <w:rPr>
                <w:rFonts w:ascii="Arial" w:hAnsi="Arial" w:cs="Arial"/>
                <w:sz w:val="4"/>
                <w:szCs w:val="4"/>
                <w:lang w:eastAsia="sq-AL"/>
              </w:rPr>
              <w:t xml:space="preserve"> </w:t>
            </w:r>
            <w:r w:rsidRPr="00795698">
              <w:rPr>
                <w:rFonts w:ascii="Arial" w:hAnsi="Arial" w:cs="Arial"/>
                <w:sz w:val="4"/>
                <w:szCs w:val="4"/>
                <w:lang w:eastAsia="sq-AL"/>
              </w:rPr>
              <w:t>dhe</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sesioneve informuese me mësues dhe nxënës, krahasuar me vitin bazë. </w:t>
            </w:r>
          </w:p>
        </w:tc>
        <w:tc>
          <w:tcPr>
            <w:tcW w:w="325"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E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FEF2AF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FEF2AF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[Y2(Σ manualeve dhe programeve ndërgjegjësuese +Σsesioneve informuese g jatë vitit aktual) /Y1 (Σ manualeve dhe programeve ndërgjegjësuese +Σsesioneve informuese gjatë vitit bazë) - 1]*100%</w:t>
            </w:r>
          </w:p>
        </w:tc>
        <w:tc>
          <w:tcPr>
            <w:tcW w:w="51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w:t>
            </w:r>
          </w:p>
        </w:tc>
        <w:tc>
          <w:tcPr>
            <w:tcW w:w="29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20%</w:t>
            </w:r>
          </w:p>
        </w:tc>
        <w:tc>
          <w:tcPr>
            <w:tcW w:w="29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20%</w:t>
            </w:r>
          </w:p>
        </w:tc>
        <w:tc>
          <w:tcPr>
            <w:tcW w:w="29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22%</w:t>
            </w:r>
          </w:p>
        </w:tc>
        <w:tc>
          <w:tcPr>
            <w:tcW w:w="445"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C" w14:textId="30B74C2F"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AFF" w14:textId="0EBD57BB"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B1D" w14:textId="77777777" w:rsidTr="00764695">
        <w:trPr>
          <w:trHeight w:val="517"/>
          <w:jc w:val="center"/>
        </w:trPr>
        <w:tc>
          <w:tcPr>
            <w:tcW w:w="37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1" w14:textId="77777777" w:rsidR="00764695" w:rsidRPr="00795698" w:rsidRDefault="00764695" w:rsidP="00764695">
            <w:pPr>
              <w:rPr>
                <w:rFonts w:ascii="Arial" w:hAnsi="Arial" w:cs="Arial"/>
                <w:sz w:val="4"/>
                <w:szCs w:val="4"/>
                <w:lang w:eastAsia="sq-AL"/>
              </w:rPr>
            </w:pPr>
          </w:p>
        </w:tc>
        <w:tc>
          <w:tcPr>
            <w:tcW w:w="491"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2" w14:textId="77777777" w:rsidR="00764695" w:rsidRPr="00795698" w:rsidRDefault="00764695" w:rsidP="00764695">
            <w:pPr>
              <w:rPr>
                <w:rFonts w:ascii="Arial" w:hAnsi="Arial" w:cs="Arial"/>
                <w:sz w:val="4"/>
                <w:szCs w:val="4"/>
                <w:lang w:eastAsia="sq-AL"/>
              </w:rPr>
            </w:pPr>
          </w:p>
        </w:tc>
        <w:tc>
          <w:tcPr>
            <w:tcW w:w="42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3" w14:textId="77777777" w:rsidR="00764695" w:rsidRPr="00795698" w:rsidRDefault="00764695" w:rsidP="00764695">
            <w:pPr>
              <w:rPr>
                <w:rFonts w:ascii="Arial" w:hAnsi="Arial" w:cs="Arial"/>
                <w:sz w:val="4"/>
                <w:szCs w:val="4"/>
                <w:lang w:eastAsia="sq-AL"/>
              </w:rPr>
            </w:pPr>
          </w:p>
        </w:tc>
        <w:tc>
          <w:tcPr>
            <w:tcW w:w="48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4" w14:textId="77777777" w:rsidR="00764695" w:rsidRPr="00795698" w:rsidRDefault="00764695" w:rsidP="00764695">
            <w:pPr>
              <w:rPr>
                <w:rFonts w:ascii="Arial" w:hAnsi="Arial" w:cs="Arial"/>
                <w:sz w:val="4"/>
                <w:szCs w:val="4"/>
                <w:lang w:eastAsia="sq-AL"/>
              </w:rPr>
            </w:pP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5" w14:textId="77777777" w:rsidR="00764695" w:rsidRPr="00795698" w:rsidRDefault="00764695" w:rsidP="00764695">
            <w:pPr>
              <w:rPr>
                <w:rFonts w:ascii="Arial" w:hAnsi="Arial" w:cs="Arial"/>
                <w:sz w:val="4"/>
                <w:szCs w:val="4"/>
                <w:lang w:eastAsia="sq-AL"/>
              </w:rPr>
            </w:pPr>
          </w:p>
        </w:tc>
        <w:tc>
          <w:tcPr>
            <w:tcW w:w="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6" w14:textId="77777777" w:rsidR="00764695" w:rsidRPr="00795698" w:rsidRDefault="00764695" w:rsidP="00764695">
            <w:pPr>
              <w:rPr>
                <w:rFonts w:ascii="Arial" w:hAnsi="Arial" w:cs="Arial"/>
                <w:sz w:val="4"/>
                <w:szCs w:val="4"/>
                <w:lang w:eastAsia="sq-AL"/>
              </w:rPr>
            </w:pPr>
          </w:p>
        </w:tc>
        <w:tc>
          <w:tcPr>
            <w:tcW w:w="431"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7" w14:textId="77777777" w:rsidR="00764695" w:rsidRPr="00795698" w:rsidRDefault="00764695" w:rsidP="00764695">
            <w:pPr>
              <w:rPr>
                <w:rFonts w:ascii="Arial" w:hAnsi="Arial" w:cs="Arial"/>
                <w:sz w:val="4"/>
                <w:szCs w:val="4"/>
                <w:lang w:eastAsia="sq-AL"/>
              </w:rPr>
            </w:pPr>
          </w:p>
        </w:tc>
        <w:tc>
          <w:tcPr>
            <w:tcW w:w="4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8" w14:textId="77777777" w:rsidR="00764695" w:rsidRPr="00795698" w:rsidRDefault="00764695" w:rsidP="00764695">
            <w:pPr>
              <w:rPr>
                <w:rFonts w:ascii="Arial" w:hAnsi="Arial" w:cs="Arial"/>
                <w:sz w:val="4"/>
                <w:szCs w:val="4"/>
                <w:lang w:eastAsia="sq-AL"/>
              </w:rPr>
            </w:pPr>
          </w:p>
        </w:tc>
        <w:tc>
          <w:tcPr>
            <w:tcW w:w="874"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9" w14:textId="77777777" w:rsidR="00764695" w:rsidRPr="00795698" w:rsidRDefault="00764695" w:rsidP="00764695">
            <w:pPr>
              <w:rPr>
                <w:rFonts w:ascii="Arial" w:hAnsi="Arial" w:cs="Arial"/>
                <w:sz w:val="4"/>
                <w:szCs w:val="4"/>
                <w:lang w:eastAsia="sq-AL"/>
              </w:rPr>
            </w:pPr>
          </w:p>
        </w:tc>
        <w:tc>
          <w:tcPr>
            <w:tcW w:w="62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A" w14:textId="77777777" w:rsidR="00764695" w:rsidRPr="00795698" w:rsidRDefault="00764695" w:rsidP="00764695">
            <w:pPr>
              <w:rPr>
                <w:rFonts w:ascii="Arial" w:hAnsi="Arial" w:cs="Arial"/>
                <w:sz w:val="4"/>
                <w:szCs w:val="4"/>
                <w:lang w:eastAsia="sq-AL"/>
              </w:rPr>
            </w:pPr>
          </w:p>
        </w:tc>
        <w:tc>
          <w:tcPr>
            <w:tcW w:w="32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B" w14:textId="77777777" w:rsidR="00764695" w:rsidRPr="00795698" w:rsidRDefault="00764695" w:rsidP="00764695">
            <w:pPr>
              <w:rPr>
                <w:rFonts w:ascii="Arial" w:hAnsi="Arial" w:cs="Arial"/>
                <w:sz w:val="4"/>
                <w:szCs w:val="4"/>
                <w:lang w:eastAsia="sq-AL"/>
              </w:rPr>
            </w:pPr>
          </w:p>
        </w:tc>
        <w:tc>
          <w:tcPr>
            <w:tcW w:w="32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C" w14:textId="77777777" w:rsidR="00764695" w:rsidRPr="00795698" w:rsidRDefault="00764695" w:rsidP="00764695">
            <w:pPr>
              <w:rPr>
                <w:rFonts w:ascii="Arial" w:hAnsi="Arial" w:cs="Arial"/>
                <w:sz w:val="4"/>
                <w:szCs w:val="4"/>
                <w:lang w:eastAsia="sq-AL"/>
              </w:rPr>
            </w:pPr>
          </w:p>
        </w:tc>
        <w:tc>
          <w:tcPr>
            <w:tcW w:w="544"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D" w14:textId="77777777" w:rsidR="00764695" w:rsidRPr="00795698" w:rsidRDefault="00764695" w:rsidP="00764695">
            <w:pPr>
              <w:rPr>
                <w:rFonts w:ascii="Arial" w:hAnsi="Arial" w:cs="Arial"/>
                <w:sz w:val="4"/>
                <w:szCs w:val="4"/>
                <w:lang w:eastAsia="sq-AL"/>
              </w:rPr>
            </w:pPr>
          </w:p>
        </w:tc>
        <w:tc>
          <w:tcPr>
            <w:tcW w:w="33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E" w14:textId="77777777" w:rsidR="00764695" w:rsidRPr="00795698" w:rsidRDefault="00764695" w:rsidP="00764695">
            <w:pPr>
              <w:rPr>
                <w:rFonts w:ascii="Arial" w:hAnsi="Arial" w:cs="Arial"/>
                <w:sz w:val="4"/>
                <w:szCs w:val="4"/>
                <w:lang w:eastAsia="sq-AL"/>
              </w:rPr>
            </w:pPr>
          </w:p>
        </w:tc>
        <w:tc>
          <w:tcPr>
            <w:tcW w:w="59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0F" w14:textId="77777777" w:rsidR="00764695" w:rsidRPr="00795698" w:rsidRDefault="00764695" w:rsidP="00764695">
            <w:pPr>
              <w:rPr>
                <w:rFonts w:ascii="Arial" w:hAnsi="Arial" w:cs="Arial"/>
                <w:sz w:val="4"/>
                <w:szCs w:val="4"/>
                <w:lang w:eastAsia="sq-AL"/>
              </w:rPr>
            </w:pPr>
          </w:p>
        </w:tc>
        <w:tc>
          <w:tcPr>
            <w:tcW w:w="51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0" w14:textId="77777777" w:rsidR="00764695" w:rsidRPr="00795698" w:rsidRDefault="00764695" w:rsidP="00764695">
            <w:pPr>
              <w:rPr>
                <w:rFonts w:ascii="Arial" w:hAnsi="Arial" w:cs="Arial"/>
                <w:sz w:val="4"/>
                <w:szCs w:val="4"/>
                <w:lang w:eastAsia="sq-AL"/>
              </w:rPr>
            </w:pPr>
          </w:p>
        </w:tc>
        <w:tc>
          <w:tcPr>
            <w:tcW w:w="51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1" w14:textId="77777777" w:rsidR="00764695" w:rsidRPr="00795698" w:rsidRDefault="00764695" w:rsidP="00764695">
            <w:pPr>
              <w:rPr>
                <w:rFonts w:ascii="Arial" w:hAnsi="Arial" w:cs="Arial"/>
                <w:sz w:val="4"/>
                <w:szCs w:val="4"/>
                <w:lang w:eastAsia="sq-AL"/>
              </w:rPr>
            </w:pPr>
          </w:p>
        </w:tc>
        <w:tc>
          <w:tcPr>
            <w:tcW w:w="27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2" w14:textId="77777777" w:rsidR="00764695" w:rsidRPr="00795698" w:rsidRDefault="00764695" w:rsidP="00764695">
            <w:pPr>
              <w:rPr>
                <w:rFonts w:ascii="Arial" w:hAnsi="Arial" w:cs="Arial"/>
                <w:sz w:val="4"/>
                <w:szCs w:val="4"/>
                <w:lang w:eastAsia="sq-AL"/>
              </w:rPr>
            </w:pPr>
          </w:p>
        </w:tc>
        <w:tc>
          <w:tcPr>
            <w:tcW w:w="38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3" w14:textId="77777777" w:rsidR="00764695" w:rsidRPr="00795698" w:rsidRDefault="00764695" w:rsidP="00764695">
            <w:pPr>
              <w:rPr>
                <w:rFonts w:ascii="Arial" w:hAnsi="Arial" w:cs="Arial"/>
                <w:sz w:val="4"/>
                <w:szCs w:val="4"/>
                <w:lang w:eastAsia="sq-AL"/>
              </w:rPr>
            </w:pPr>
          </w:p>
        </w:tc>
        <w:tc>
          <w:tcPr>
            <w:tcW w:w="2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4" w14:textId="77777777" w:rsidR="00764695" w:rsidRPr="00795698" w:rsidRDefault="00764695" w:rsidP="00764695">
            <w:pPr>
              <w:rPr>
                <w:rFonts w:ascii="Arial" w:hAnsi="Arial" w:cs="Arial"/>
                <w:sz w:val="4"/>
                <w:szCs w:val="4"/>
                <w:lang w:eastAsia="sq-AL"/>
              </w:rPr>
            </w:pPr>
          </w:p>
        </w:tc>
        <w:tc>
          <w:tcPr>
            <w:tcW w:w="72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5" w14:textId="77777777" w:rsidR="00764695" w:rsidRPr="00795698" w:rsidRDefault="00764695" w:rsidP="00764695">
            <w:pPr>
              <w:rPr>
                <w:rFonts w:ascii="Arial" w:hAnsi="Arial" w:cs="Arial"/>
                <w:sz w:val="4"/>
                <w:szCs w:val="4"/>
                <w:lang w:eastAsia="sq-AL"/>
              </w:rPr>
            </w:pPr>
          </w:p>
        </w:tc>
        <w:tc>
          <w:tcPr>
            <w:tcW w:w="29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6" w14:textId="77777777" w:rsidR="00764695" w:rsidRPr="00795698" w:rsidRDefault="00764695" w:rsidP="00764695">
            <w:pPr>
              <w:rPr>
                <w:rFonts w:ascii="Arial" w:hAnsi="Arial" w:cs="Arial"/>
                <w:sz w:val="4"/>
                <w:szCs w:val="4"/>
                <w:lang w:eastAsia="sq-AL"/>
              </w:rPr>
            </w:pPr>
          </w:p>
        </w:tc>
        <w:tc>
          <w:tcPr>
            <w:tcW w:w="29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7" w14:textId="77777777" w:rsidR="00764695" w:rsidRPr="00795698" w:rsidRDefault="00764695" w:rsidP="00764695">
            <w:pPr>
              <w:rPr>
                <w:rFonts w:ascii="Arial" w:hAnsi="Arial" w:cs="Arial"/>
                <w:sz w:val="4"/>
                <w:szCs w:val="4"/>
                <w:lang w:eastAsia="sq-AL"/>
              </w:rPr>
            </w:pPr>
          </w:p>
        </w:tc>
        <w:tc>
          <w:tcPr>
            <w:tcW w:w="29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8" w14:textId="77777777" w:rsidR="00764695" w:rsidRPr="00795698" w:rsidRDefault="00764695" w:rsidP="00764695">
            <w:pPr>
              <w:rPr>
                <w:rFonts w:ascii="Arial" w:hAnsi="Arial" w:cs="Arial"/>
                <w:sz w:val="4"/>
                <w:szCs w:val="4"/>
                <w:lang w:eastAsia="sq-AL"/>
              </w:rPr>
            </w:pPr>
          </w:p>
        </w:tc>
        <w:tc>
          <w:tcPr>
            <w:tcW w:w="44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9" w14:textId="77777777" w:rsidR="00764695" w:rsidRPr="00795698" w:rsidRDefault="00764695" w:rsidP="00764695">
            <w:pPr>
              <w:rPr>
                <w:rFonts w:ascii="Arial" w:hAnsi="Arial" w:cs="Arial"/>
                <w:sz w:val="4"/>
                <w:szCs w:val="4"/>
                <w:lang w:eastAsia="sq-AL"/>
              </w:rPr>
            </w:pPr>
          </w:p>
        </w:tc>
        <w:tc>
          <w:tcPr>
            <w:tcW w:w="34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A" w14:textId="77777777" w:rsidR="00764695" w:rsidRPr="00795698" w:rsidRDefault="00764695" w:rsidP="00764695">
            <w:pPr>
              <w:rPr>
                <w:rFonts w:ascii="Arial" w:hAnsi="Arial" w:cs="Arial"/>
                <w:sz w:val="4"/>
                <w:szCs w:val="4"/>
                <w:lang w:eastAsia="sq-AL"/>
              </w:rPr>
            </w:pPr>
          </w:p>
        </w:tc>
        <w:tc>
          <w:tcPr>
            <w:tcW w:w="471"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B" w14:textId="77777777" w:rsidR="00764695" w:rsidRPr="00795698" w:rsidRDefault="00764695" w:rsidP="00764695">
            <w:pPr>
              <w:rPr>
                <w:rFonts w:ascii="Arial" w:hAnsi="Arial" w:cs="Arial"/>
                <w:sz w:val="4"/>
                <w:szCs w:val="4"/>
                <w:lang w:eastAsia="sq-AL"/>
              </w:rPr>
            </w:pPr>
          </w:p>
        </w:tc>
        <w:tc>
          <w:tcPr>
            <w:tcW w:w="44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1C" w14:textId="77777777" w:rsidR="00764695" w:rsidRPr="00795698" w:rsidRDefault="00764695" w:rsidP="00764695">
            <w:pPr>
              <w:rPr>
                <w:rFonts w:ascii="Arial" w:hAnsi="Arial" w:cs="Arial"/>
                <w:sz w:val="4"/>
                <w:szCs w:val="4"/>
                <w:lang w:eastAsia="sq-AL"/>
              </w:rPr>
            </w:pPr>
          </w:p>
        </w:tc>
      </w:tr>
      <w:tr w:rsidR="00764695" w:rsidRPr="00795698" w14:paraId="5FEF2B1F" w14:textId="77777777" w:rsidTr="00764695">
        <w:trPr>
          <w:trHeight w:val="180"/>
          <w:jc w:val="center"/>
        </w:trPr>
        <w:tc>
          <w:tcPr>
            <w:tcW w:w="13083" w:type="dxa"/>
            <w:gridSpan w:val="2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EF2B1E"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xml:space="preserve">QASJA HETUESE </w:t>
            </w:r>
          </w:p>
        </w:tc>
      </w:tr>
      <w:tr w:rsidR="00FF5F17" w:rsidRPr="00795698" w14:paraId="5FEF2B3C"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2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Impakti</w:t>
            </w:r>
            <w:r w:rsidRPr="00795698">
              <w:rPr>
                <w:rFonts w:ascii="Arial" w:hAnsi="Arial" w:cs="Arial"/>
                <w:sz w:val="4"/>
                <w:szCs w:val="4"/>
                <w:lang w:eastAsia="sq-AL"/>
              </w:rPr>
              <w:br/>
              <w:t>(qasja)</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2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eficiencës së hetimeve në fushën e terrorizmit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2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2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B24" w14:textId="77777777" w:rsidR="00764695" w:rsidRPr="00795698" w:rsidRDefault="00764695" w:rsidP="00764695">
            <w:pPr>
              <w:rPr>
                <w:rFonts w:ascii="Arial" w:hAnsi="Arial" w:cs="Arial"/>
                <w:b/>
                <w:bCs/>
                <w:sz w:val="4"/>
                <w:szCs w:val="4"/>
                <w:lang w:eastAsia="sq-AL"/>
              </w:rPr>
            </w:pPr>
            <w:r w:rsidRPr="00795698">
              <w:rPr>
                <w:rFonts w:ascii="Arial" w:hAnsi="Arial" w:cs="Arial"/>
                <w:b/>
                <w:bCs/>
                <w:sz w:val="4"/>
                <w:szCs w:val="4"/>
                <w:lang w:eastAsia="sq-AL"/>
              </w:rPr>
              <w:t> </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B2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2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Progres Raporti i KE, Statistikat e MD </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2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SPAK</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B2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MD/DPPSH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29" w14:textId="332B2CE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raportit të çështjeve të gjykuara me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si pasojë e referimeve nga</w:t>
            </w:r>
            <w:r w:rsidR="007C064A" w:rsidRPr="00795698">
              <w:rPr>
                <w:rFonts w:ascii="Arial" w:hAnsi="Arial" w:cs="Arial"/>
                <w:sz w:val="4"/>
                <w:szCs w:val="4"/>
                <w:lang w:eastAsia="sq-AL"/>
              </w:rPr>
              <w:t xml:space="preserve"> </w:t>
            </w:r>
            <w:r w:rsidRPr="00795698">
              <w:rPr>
                <w:rFonts w:ascii="Arial" w:hAnsi="Arial" w:cs="Arial"/>
                <w:sz w:val="4"/>
                <w:szCs w:val="4"/>
                <w:lang w:eastAsia="sq-AL"/>
              </w:rPr>
              <w:t>analizat/hetimet e përbashkëta midis institucioneve të gjurmimit, hetimit, krahasuar me vitin bazë.</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2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2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2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B2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I përbërë</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2E" w14:textId="2DA67E8A"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 Y2 ( raste të gjykuara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 / Y1 (</w:t>
            </w:r>
            <w:r w:rsidR="007C064A" w:rsidRPr="00795698">
              <w:rPr>
                <w:rFonts w:ascii="Arial" w:hAnsi="Arial" w:cs="Arial"/>
                <w:sz w:val="4"/>
                <w:szCs w:val="4"/>
                <w:lang w:eastAsia="sq-AL"/>
              </w:rPr>
              <w:t xml:space="preserve"> </w:t>
            </w:r>
            <w:r w:rsidRPr="00795698">
              <w:rPr>
                <w:rFonts w:ascii="Arial" w:hAnsi="Arial" w:cs="Arial"/>
                <w:sz w:val="4"/>
                <w:szCs w:val="4"/>
                <w:lang w:eastAsia="sq-AL"/>
              </w:rPr>
              <w:t>raste të gjykuara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w:t>
            </w:r>
            <w:r w:rsidR="007C064A" w:rsidRPr="00795698">
              <w:rPr>
                <w:rFonts w:ascii="Arial" w:hAnsi="Arial" w:cs="Arial"/>
                <w:sz w:val="4"/>
                <w:szCs w:val="4"/>
                <w:lang w:eastAsia="sq-AL"/>
              </w:rPr>
              <w:t xml:space="preserve"> </w:t>
            </w:r>
            <w:r w:rsidRPr="00795698">
              <w:rPr>
                <w:rFonts w:ascii="Arial" w:hAnsi="Arial" w:cs="Arial"/>
                <w:sz w:val="4"/>
                <w:szCs w:val="4"/>
                <w:lang w:eastAsia="sq-AL"/>
              </w:rPr>
              <w:t>*100%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2F" w14:textId="346B63AA"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 raste të gjykuara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30" w14:textId="46C4C0C6"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Y1 (</w:t>
            </w:r>
            <w:r w:rsidR="007C064A" w:rsidRPr="00795698">
              <w:rPr>
                <w:rFonts w:ascii="Arial" w:hAnsi="Arial" w:cs="Arial"/>
                <w:sz w:val="4"/>
                <w:szCs w:val="4"/>
                <w:lang w:eastAsia="sq-AL"/>
              </w:rPr>
              <w:t xml:space="preserve"> </w:t>
            </w:r>
            <w:r w:rsidRPr="00795698">
              <w:rPr>
                <w:rFonts w:ascii="Arial" w:hAnsi="Arial" w:cs="Arial"/>
                <w:sz w:val="4"/>
                <w:szCs w:val="4"/>
                <w:lang w:eastAsia="sq-AL"/>
              </w:rPr>
              <w:t>raste të gjykuara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3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3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3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3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3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3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3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38" w14:textId="5C673EC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3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3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3B" w14:textId="593F2C8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 xml:space="preserve">16.a Forcimi i institucioneve kombëtare relevante, duke përfshirë bashkëpunimin ndërkombëtar, për ndërtimin e kapaciteteve në të gjitha nivelet, veçanërisht në vendet në zhvillim, për të </w:t>
            </w:r>
            <w:r w:rsidRPr="00795698">
              <w:rPr>
                <w:rFonts w:ascii="Arial" w:hAnsi="Arial" w:cs="Arial"/>
                <w:sz w:val="4"/>
                <w:szCs w:val="4"/>
                <w:lang w:eastAsia="sq-AL"/>
              </w:rPr>
              <w:lastRenderedPageBreak/>
              <w:t>parandaluar dhunën dhe për të luftuar terrorizmin dhe krimin</w:t>
            </w:r>
          </w:p>
        </w:tc>
      </w:tr>
      <w:tr w:rsidR="00FF5F17" w:rsidRPr="00795698" w14:paraId="5FEF2B59"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3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3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përputhshmërisë së legjislacionit të brendshëm me legjislacionin e BE për luftën kundër terrorizmit në kuadër të kapitullit 24</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3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4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B41" w14:textId="3FFCBB0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IDENTIFIKIMI, HETIMI, ZBULIMI</w:t>
            </w:r>
            <w:r w:rsidR="007C064A" w:rsidRPr="00795698">
              <w:rPr>
                <w:rFonts w:ascii="Arial" w:hAnsi="Arial" w:cs="Arial"/>
                <w:sz w:val="4"/>
                <w:szCs w:val="4"/>
                <w:lang w:eastAsia="sq-AL"/>
              </w:rPr>
              <w:t xml:space="preserve"> </w:t>
            </w:r>
            <w:r w:rsidRPr="00795698">
              <w:rPr>
                <w:rFonts w:ascii="Arial" w:hAnsi="Arial" w:cs="Arial"/>
                <w:sz w:val="4"/>
                <w:szCs w:val="4"/>
                <w:lang w:eastAsia="sq-AL"/>
              </w:rPr>
              <w:t>E VEPRAVE PENALE NË FUSHËN E TERRORIZMIT DHE FINANCIMIT TË TIJ DHE GODITJA E INDIVIDËVE GRUPEVE TERRORISTE</w:t>
            </w:r>
          </w:p>
        </w:tc>
        <w:tc>
          <w:tcPr>
            <w:tcW w:w="640"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5FEF2B4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HETIMI I TERRORIZMIT DHE BURIMEVE TË TIJ</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43" w14:textId="732CC6D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4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PSH/MM</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B4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MD/MFE</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4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 e realizimit të planit vjetor për përafrimin me legjislacionin e BE në fushën e terrorizmit.</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4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4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4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B4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4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[Y2(Σ% të përputhshmërisë së akteve të përafruara gjatë vitit aktual) /Y1 (Σ% të përputhshmërisë së akteve të përafruara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4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4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4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4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5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5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5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5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5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≥18%</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55" w14:textId="6CD7150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5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5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58" w14:textId="3CCB3FA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B76"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5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Rezultati </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5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hetimit për financimin e terrorizmit paralel me hetimin për krime në fushën e pastrimit të parave</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5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5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5E" w14:textId="77777777" w:rsidR="00764695" w:rsidRPr="00795698" w:rsidRDefault="00764695" w:rsidP="00764695">
            <w:pPr>
              <w:rPr>
                <w:rFonts w:ascii="Arial" w:hAnsi="Arial" w:cs="Arial"/>
                <w:sz w:val="4"/>
                <w:szCs w:val="4"/>
                <w:lang w:eastAsia="sq-AL"/>
              </w:rPr>
            </w:pPr>
          </w:p>
        </w:tc>
        <w:tc>
          <w:tcPr>
            <w:tcW w:w="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FEF2B5F" w14:textId="77777777" w:rsidR="00764695" w:rsidRPr="00795698" w:rsidRDefault="00764695" w:rsidP="00764695">
            <w:pPr>
              <w:rPr>
                <w:rFonts w:ascii="Arial" w:hAnsi="Arial" w:cs="Arial"/>
                <w:sz w:val="4"/>
                <w:szCs w:val="4"/>
                <w:lang w:eastAsia="sq-AL"/>
              </w:rPr>
            </w:pP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60" w14:textId="02EC7FC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6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SPAK</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B6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MFE/DPPP/DPPSH/DAT/SHISH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63" w14:textId="5694A1A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së kryerjes së hetimeve paralele</w:t>
            </w:r>
            <w:r w:rsidR="007C064A" w:rsidRPr="00795698">
              <w:rPr>
                <w:rFonts w:ascii="Arial" w:hAnsi="Arial" w:cs="Arial"/>
                <w:sz w:val="4"/>
                <w:szCs w:val="4"/>
                <w:lang w:eastAsia="sq-AL"/>
              </w:rPr>
              <w:t xml:space="preserve"> </w:t>
            </w:r>
            <w:r w:rsidRPr="00795698">
              <w:rPr>
                <w:rFonts w:ascii="Arial" w:hAnsi="Arial" w:cs="Arial"/>
                <w:sz w:val="4"/>
                <w:szCs w:val="4"/>
                <w:lang w:eastAsia="sq-AL"/>
              </w:rPr>
              <w:t>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sipas përmbushjes së rekomandimit të FAFT/ICRG dhe Moneyval për çdo rast referimi</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në fushën e pastrimit të parave,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6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6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6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B6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6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[Y2(numri i hetimeve paralele/numrin e hetimeve për krime në fushën e pastrimit të parave gjatë vitit aktual) /Y1 (numrin e hetimeve paralele/numrin e hetimeve për krime në fushën e pastrimit të parave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6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6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6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6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6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6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6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95%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7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7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72" w14:textId="46B2A00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7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7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75" w14:textId="6AC4D5A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B93"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7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7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efektivitetit të hetimit, gjurmimit lidhur me grupe kriminale të hetuara e gjykuara për terrorizëm</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7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7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7B"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B7C" w14:textId="7D4F14C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BASHKËPUNIMI DHE</w:t>
            </w:r>
            <w:r w:rsidR="007C064A" w:rsidRPr="00795698">
              <w:rPr>
                <w:rFonts w:ascii="Arial" w:hAnsi="Arial" w:cs="Arial"/>
                <w:sz w:val="4"/>
                <w:szCs w:val="4"/>
                <w:lang w:eastAsia="sq-AL"/>
              </w:rPr>
              <w:t xml:space="preserve"> </w:t>
            </w:r>
            <w:r w:rsidRPr="00795698">
              <w:rPr>
                <w:rFonts w:ascii="Arial" w:hAnsi="Arial" w:cs="Arial"/>
                <w:sz w:val="4"/>
                <w:szCs w:val="4"/>
                <w:lang w:eastAsia="sq-AL"/>
              </w:rPr>
              <w:t>KOORDINIMI ME AGJENCITË INTELIGJENTE E LIGJZBATUESE</w:t>
            </w:r>
            <w:r w:rsidR="007C064A" w:rsidRPr="00795698">
              <w:rPr>
                <w:rFonts w:ascii="Arial" w:hAnsi="Arial" w:cs="Arial"/>
                <w:sz w:val="4"/>
                <w:szCs w:val="4"/>
                <w:lang w:eastAsia="sq-AL"/>
              </w:rPr>
              <w:t xml:space="preserve"> </w:t>
            </w:r>
            <w:r w:rsidRPr="00795698">
              <w:rPr>
                <w:rFonts w:ascii="Arial" w:hAnsi="Arial" w:cs="Arial"/>
                <w:sz w:val="4"/>
                <w:szCs w:val="4"/>
                <w:lang w:eastAsia="sq-AL"/>
              </w:rPr>
              <w:t>SHISH, AISM, PROKURORINË, DPPPP, DP BURGJEVE, DHE QKEDH SI DHE INSTITUCIONE QË KANË DETYRIME NË LUFTËN KUNDËR TERRORIZMIT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7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Vjetari statistikor i Ministrisë së Drejtësisë dhe statistikat e SPAK </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7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SPAK </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B7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MD/MFE/DPPP/PSH/DAT/SHISH/MM/AISM</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80" w14:textId="0D77DC8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raportit të dënimeve me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si pasojë e referimeve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analizat/hetimet e përbashkëta midis institucioneve të gjurmimit, hetimit,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8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8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8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vAlign w:val="center"/>
            <w:hideMark/>
          </w:tcPr>
          <w:p w14:paraId="5FEF2B8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I përbërë</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85" w14:textId="70003F1E"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 të dënuar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 / Y1 ( të dënuar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w:t>
            </w:r>
            <w:r w:rsidR="007C064A" w:rsidRPr="00795698">
              <w:rPr>
                <w:rFonts w:ascii="Arial" w:hAnsi="Arial" w:cs="Arial"/>
                <w:sz w:val="4"/>
                <w:szCs w:val="4"/>
                <w:lang w:eastAsia="sq-AL"/>
              </w:rPr>
              <w:t xml:space="preserve"> </w:t>
            </w:r>
            <w:r w:rsidRPr="00795698">
              <w:rPr>
                <w:rFonts w:ascii="Arial" w:hAnsi="Arial" w:cs="Arial"/>
                <w:sz w:val="4"/>
                <w:szCs w:val="4"/>
                <w:lang w:eastAsia="sq-AL"/>
              </w:rPr>
              <w:t>*100%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86" w14:textId="294ACD93"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 të dënuar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87" w14:textId="376AA5AD"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Y1 ( të dënuar për vepra në fushën e terrorizmit / çështjet e referuara për vepra me</w:t>
            </w:r>
            <w:r w:rsidR="007C064A" w:rsidRPr="00795698">
              <w:rPr>
                <w:rFonts w:ascii="Arial" w:hAnsi="Arial" w:cs="Arial"/>
                <w:sz w:val="4"/>
                <w:szCs w:val="4"/>
                <w:lang w:eastAsia="sq-AL"/>
              </w:rPr>
              <w:t xml:space="preserve"> </w:t>
            </w:r>
            <w:r w:rsidRPr="00795698">
              <w:rPr>
                <w:rFonts w:ascii="Arial" w:hAnsi="Arial" w:cs="Arial"/>
                <w:sz w:val="4"/>
                <w:szCs w:val="4"/>
                <w:lang w:eastAsia="sq-AL"/>
              </w:rPr>
              <w:t>qëllime terroriste në vitin aktual)</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8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8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8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8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33%</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8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8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8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8F" w14:textId="139807D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9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9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92" w14:textId="750CEE7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BB0"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9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95" w14:textId="1EFC8D26"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sigurisë së transmetimit</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informacionit ndërmjet strukturave të përfshira në luftën kundër terrorizmit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9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9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B9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PËRMIRËSIMI I SISTEMEVE TË MBLEDHJES, RUAJTJES, ANALIZIMIT DHE SHPËRNDARJES SË INFORMACIONIT</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B9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KRIJIMI I NJË RRJETI KOMUNIKIMI TË VAZHDUESHËM PËR SHKËMBIMIN E INFORMACIONEVE MES INSTITUCIONEVE DHE STRUKTURAVE TË PËRFSHIRA.</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9A" w14:textId="2C43E6F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9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AISM</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B9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9D" w14:textId="7C8E1F4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shkallës së përputhshmërisë me protokollet e sigurisë së shkëmbimit të informacionit të përmirësuara në raport me shkallën e përputhshmërisë në vitit bazë.</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Nëse masa e rritjes së treguesit është më e madhe ose e barabartë me vlerën e targetit të synuar atëherë objektivi konsiderohet i realizuar.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9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9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A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vAlign w:val="center"/>
            <w:hideMark/>
          </w:tcPr>
          <w:p w14:paraId="5FEF2BA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A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(numri i rrjeteve të sigurta të transmetimit të informacionit gjatë vitit aktual) /Y1 (numri i rrjeteve të sigurta të transmetimit të informacionit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A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A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A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A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A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A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70%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A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A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A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85%</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AC" w14:textId="36AF483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A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A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AF" w14:textId="1DFD88D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BCD"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B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B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rritjes së cilësisë së analizimit të informacionit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B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B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B5"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BB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VLERËSIMI PERIODIK I NIVELIT TË RREZIKUT /KËRCËNIMIT TË FAKTORËVE DHE FENOMENEVE QË PRODHOJNË RADIKALIZËM APO EKSTREMIZËM, SI DERIVATE TË TERRORIZMIT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B7" w14:textId="480D36B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B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AISM</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BB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MD/AKSHI/PSH/SHISH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BA" w14:textId="6E9856E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raportit të numrit të rasteve të parandaluara me informacionet e dërguara</w:t>
            </w:r>
            <w:r w:rsidR="007C064A" w:rsidRPr="00795698">
              <w:rPr>
                <w:rFonts w:ascii="Arial" w:hAnsi="Arial" w:cs="Arial"/>
                <w:sz w:val="4"/>
                <w:szCs w:val="4"/>
                <w:lang w:eastAsia="sq-AL"/>
              </w:rPr>
              <w:t xml:space="preserve"> </w:t>
            </w:r>
            <w:r w:rsidRPr="00795698">
              <w:rPr>
                <w:rFonts w:ascii="Arial" w:hAnsi="Arial" w:cs="Arial"/>
                <w:sz w:val="4"/>
                <w:szCs w:val="4"/>
                <w:lang w:eastAsia="sq-AL"/>
              </w:rPr>
              <w:t>në vitin aktual krahasuar me këtë raport vitin bazë.</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Nëse masa e rritjes së treguesit është më e madhe ose e barabartë me vlerën e targetit të synuar atëherë objektivi konsiderohet i realizuar.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B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B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B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BB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B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(numri i vlerësimeve të rrezikut të faktorëve dhe fenomeneve që prodhojnë radikalizëm apo ekstremizëm gjatë vitit aktual) /Y1 (numrin e vlerësimeve të rrezikut të faktorëve dhe fenomeneve që prodhojnë radikalizëm apo ekstremizëm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C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C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C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C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C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C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C6"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1.5%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C7"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1.5%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C8" w14:textId="77777777" w:rsidR="00764695" w:rsidRPr="00795698" w:rsidRDefault="00764695" w:rsidP="00191621">
            <w:pPr>
              <w:ind w:firstLineChars="100" w:firstLine="40"/>
              <w:rPr>
                <w:rFonts w:ascii="Arial" w:hAnsi="Arial" w:cs="Arial"/>
                <w:sz w:val="4"/>
                <w:szCs w:val="4"/>
                <w:lang w:eastAsia="sq-AL"/>
              </w:rPr>
            </w:pPr>
            <w:r w:rsidRPr="00795698">
              <w:rPr>
                <w:rFonts w:ascii="Arial" w:hAnsi="Arial" w:cs="Arial"/>
                <w:sz w:val="4"/>
                <w:szCs w:val="4"/>
                <w:lang w:eastAsia="sq-AL"/>
              </w:rPr>
              <w:t>1.5%</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C9" w14:textId="618F6EB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C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C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CC" w14:textId="39AB9B5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 xml:space="preserve">16.a Forcimi i institucioneve kombëtare relevante, duke </w:t>
            </w:r>
            <w:r w:rsidRPr="00795698">
              <w:rPr>
                <w:rFonts w:ascii="Arial" w:hAnsi="Arial" w:cs="Arial"/>
                <w:sz w:val="4"/>
                <w:szCs w:val="4"/>
                <w:lang w:eastAsia="sq-AL"/>
              </w:rPr>
              <w:lastRenderedPageBreak/>
              <w:t>përfshirë bashkëpunimin ndërkombëtar, për ndërtimin e kapaciteteve në të gjitha nivelet, veçanërisht në vendet në zhvillim, për të parandaluar dhunën dhe për të luftuar terrorizmin dhe krimin</w:t>
            </w:r>
          </w:p>
        </w:tc>
      </w:tr>
      <w:tr w:rsidR="00FF5F17" w:rsidRPr="00795698" w14:paraId="5FEF2BEA"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C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C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aksesit në raporte/vlerësime burimeve dhe programe të organizatave</w:t>
            </w:r>
            <w:r w:rsidRPr="00795698">
              <w:rPr>
                <w:rFonts w:ascii="Arial" w:hAnsi="Arial" w:cs="Arial"/>
                <w:sz w:val="4"/>
                <w:szCs w:val="4"/>
                <w:lang w:eastAsia="sq-AL"/>
              </w:rPr>
              <w:br/>
              <w:t>ndërkombëtare ose të vendeve të rajonit apo ndërkombëtare për modus operandi të kërcënimit terrorist ndërkombëtar</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D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D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D2"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bottom"/>
            <w:hideMark/>
          </w:tcPr>
          <w:p w14:paraId="5FEF2BD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BASHKËPUNIMI DHE SHKËMBIMI I INFORMACIONIT ME AGJENCITË INTELIGJENTE DHE LIGJZBATUESE NË VEND DHE ATO TË HUAJA ME PËRGJEGJËSI NË LUFTËN KUNDËR TERRORIZMIT PËR PËRCAKTIMIN E NIVELIT TË KËRCËNIMIT TERRORIST NË RRAFSHIN NDËRKOMBËTAR MODUS OPERANDI DHE NDIKIMIT TË TIJ NË SHQIPËRI</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D4" w14:textId="0D37946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D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DAT/DPPSH</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BD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MD/AKSHI/PSH/SHISH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D7" w14:textId="0307FED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aksesit në databaza dhe sisteme/programe</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të vendeve të huaja ose të rajonit mbi bazën e marrëveshjeve të bashkëpunimit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D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D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D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BD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D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(numri i raporteve/vlerësimeve të burimeve dhe programeve të organizatave ndërkombëtare/rajonale në cilat është marrë akses gjatë vitit aktual) /Y1 (numrin e raporteve/vlerësimeve të burimeve dhe programeve të organizatave ndërkombëtare/rajonale e aksesueshme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D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D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D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E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E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E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E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E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BE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BE6" w14:textId="0A355B0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BE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BE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BE9" w14:textId="06FD95A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C07"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BE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BE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rritjes së shpejtësisë së shkëmbimit të informacionit me efekte vendimarrëse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BE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BE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BEF"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bottom"/>
            <w:hideMark/>
          </w:tcPr>
          <w:p w14:paraId="5FEF2BF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SIGURIMI I INFORMACIONIT PËR TERRORIZMIN, EKSTREMIZMIN E DHUNSHËM DHE RADIKALIZIMIN, SABOTAZHIN DHE ARMËT E DËMTIMIT NË MASË DHE INFORMIMI I INSTITUCIONEVE VENDIMARRËSE, POLITIKËBËRËSE, INSTITUCIONEVE DHE STRUKTURAVE TË TJERA KOMPETENTE/PËRGJEGJËSE SHTETËRORE DHE TË ZBATIMIT TË LIGJIT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BF1" w14:textId="4C6D0B8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BF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MM/AISM</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BF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PSH/DAT/SHISH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BF4" w14:textId="5BE68AD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numrit të platformave të përbashkëta ndërinstitucionale të shkëmbimit të informacionit informuese/rekomanduese</w:t>
            </w:r>
            <w:r w:rsidR="007C064A" w:rsidRPr="00795698">
              <w:rPr>
                <w:rFonts w:ascii="Arial" w:hAnsi="Arial" w:cs="Arial"/>
                <w:sz w:val="4"/>
                <w:szCs w:val="4"/>
                <w:lang w:eastAsia="sq-AL"/>
              </w:rPr>
              <w:t xml:space="preserve"> </w:t>
            </w:r>
            <w:r w:rsidRPr="00795698">
              <w:rPr>
                <w:rFonts w:ascii="Arial" w:hAnsi="Arial" w:cs="Arial"/>
                <w:sz w:val="4"/>
                <w:szCs w:val="4"/>
                <w:lang w:eastAsia="sq-AL"/>
              </w:rPr>
              <w:t>për strukturat vendimarrëse</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mbi problematikat e raporteve të riskut ose zhvillimeve aktuale/të pritshme kombëtare ose të huaja në fushën e terrorizmit.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F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BF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BF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BF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BF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(shpejtësia e shkëmbimit të informacionit gjatë vitit aktual)/Y1 (shpejtësinë e shkëmbimit të informacionit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F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BF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BF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BF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BF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BF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0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0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0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03" w14:textId="05C5575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0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0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06" w14:textId="302C47A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764695" w:rsidRPr="00795698" w14:paraId="5FEF2C09" w14:textId="77777777" w:rsidTr="004478B9">
        <w:trPr>
          <w:trHeight w:val="56"/>
          <w:jc w:val="center"/>
        </w:trPr>
        <w:tc>
          <w:tcPr>
            <w:tcW w:w="13083" w:type="dxa"/>
            <w:gridSpan w:val="2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EF2C08"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t xml:space="preserve">QASJA REAGUESE </w:t>
            </w:r>
          </w:p>
        </w:tc>
      </w:tr>
      <w:tr w:rsidR="00FF5F17" w:rsidRPr="00795698" w14:paraId="5FEF2C26"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0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0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rritjes së kapaciteteve të reaguese ndaj sulmeve të mundshme terroriste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0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0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C0E" w14:textId="6CD3A39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REAGIM NËPËRMJET FORCIMIT TË KAPACITETEVE TË INSTITUCIONEVE PËRKATËSE PËR T</w:t>
            </w:r>
            <w:r w:rsidR="0041767D" w:rsidRPr="00795698">
              <w:rPr>
                <w:rFonts w:ascii="Arial" w:hAnsi="Arial" w:cs="Arial"/>
                <w:sz w:val="4"/>
                <w:szCs w:val="4"/>
                <w:lang w:eastAsia="sq-AL"/>
              </w:rPr>
              <w:t>’</w:t>
            </w:r>
            <w:r w:rsidRPr="00795698">
              <w:rPr>
                <w:rFonts w:ascii="Arial" w:hAnsi="Arial" w:cs="Arial"/>
                <w:sz w:val="4"/>
                <w:szCs w:val="4"/>
                <w:lang w:eastAsia="sq-AL"/>
              </w:rPr>
              <w:t>IU PËRGJIGJUR SULMEVE TERRORISTE.</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0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KONSOLIDIMI I KAPACITETEVE TË INSTITUCIONEVE ME QËLLIM ULJEN E IMPAKTIT TË SULMEVE TERRORISTE, NË MËNYRË QË TË ZBUTEN HUMBJET NJERËZORE EKONOMIKE TË SHKAKTUARA NGA KËTO SULME</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10" w14:textId="1AD7554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1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MM/FA</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C1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1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Performanca do të matet trendin rritës të numrit të stërvitjeve të përbashkëta të Forcave Speciale për reagimin ndaj sulmeve të mundshme terroriste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1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1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1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1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1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(reagueshmëria ndaj një sulmi terrorist mbi bazën e instruksioneve dhe strukturave të posaçme gjatë vitit aktual)/Y1 (reagueshmërinë ndaj një sulmi terrorist mbi bazën e instruksioneve dhe strukturave të posaçme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1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1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1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C1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1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1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1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2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2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22" w14:textId="3EE70CF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2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2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25" w14:textId="211AEFA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C43"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2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28" w14:textId="1F15D39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mekanizmave</w:t>
            </w:r>
            <w:r w:rsidR="007C064A" w:rsidRPr="00795698">
              <w:rPr>
                <w:rFonts w:ascii="Arial" w:hAnsi="Arial" w:cs="Arial"/>
                <w:sz w:val="4"/>
                <w:szCs w:val="4"/>
                <w:lang w:eastAsia="sq-AL"/>
              </w:rPr>
              <w:t xml:space="preserve"> </w:t>
            </w:r>
            <w:r w:rsidRPr="00795698">
              <w:rPr>
                <w:rFonts w:ascii="Arial" w:hAnsi="Arial" w:cs="Arial"/>
                <w:sz w:val="4"/>
                <w:szCs w:val="4"/>
                <w:lang w:eastAsia="sq-AL"/>
              </w:rPr>
              <w:t>koordinues ndërinstitucional në menaxhimin e krizave pas një akti terrorist</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2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2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C2B"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REAGIM NËPËRMJET REDUKTIMIT DHE LEHTËSIMIT TË PASOJAVE TË FENOMENEVE TË RADIKALIZMIT, EKSTREMIZMIT TË DHUNSHËM DHE TERRORIZMIT</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2C" w14:textId="6B67AC0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OBJEKTIVI SPECIFIK: NGRITJA E KAPACITETEVE </w:t>
            </w:r>
            <w:r w:rsidRPr="00795698">
              <w:rPr>
                <w:rFonts w:ascii="Arial" w:hAnsi="Arial" w:cs="Arial"/>
                <w:sz w:val="4"/>
                <w:szCs w:val="4"/>
                <w:lang w:eastAsia="sq-AL"/>
              </w:rPr>
              <w:br/>
              <w:t>PËR MENAXHIMIN E</w:t>
            </w:r>
            <w:r w:rsidR="007C064A" w:rsidRPr="00795698">
              <w:rPr>
                <w:rFonts w:ascii="Arial" w:hAnsi="Arial" w:cs="Arial"/>
                <w:sz w:val="4"/>
                <w:szCs w:val="4"/>
                <w:lang w:eastAsia="sq-AL"/>
              </w:rPr>
              <w:t xml:space="preserve"> </w:t>
            </w:r>
            <w:r w:rsidRPr="00795698">
              <w:rPr>
                <w:rFonts w:ascii="Arial" w:hAnsi="Arial" w:cs="Arial"/>
                <w:sz w:val="4"/>
                <w:szCs w:val="4"/>
                <w:lang w:eastAsia="sq-AL"/>
              </w:rPr>
              <w:t>DHËNIES SË NDIHMËS VIKTIMAVE TË</w:t>
            </w:r>
            <w:r w:rsidR="007C064A" w:rsidRPr="00795698">
              <w:rPr>
                <w:rFonts w:ascii="Arial" w:hAnsi="Arial" w:cs="Arial"/>
                <w:sz w:val="4"/>
                <w:szCs w:val="4"/>
                <w:lang w:eastAsia="sq-AL"/>
              </w:rPr>
              <w:t xml:space="preserve"> </w:t>
            </w:r>
            <w:r w:rsidRPr="00795698">
              <w:rPr>
                <w:rFonts w:ascii="Arial" w:hAnsi="Arial" w:cs="Arial"/>
                <w:sz w:val="4"/>
                <w:szCs w:val="4"/>
                <w:lang w:eastAsia="sq-AL"/>
              </w:rPr>
              <w:t>TERRORIZMIT SIPAS KONVENTËS</w:t>
            </w:r>
            <w:r w:rsidR="007C064A" w:rsidRPr="00795698">
              <w:rPr>
                <w:rFonts w:ascii="Arial" w:hAnsi="Arial" w:cs="Arial"/>
                <w:sz w:val="4"/>
                <w:szCs w:val="4"/>
                <w:lang w:eastAsia="sq-AL"/>
              </w:rPr>
              <w:t xml:space="preserve"> </w:t>
            </w:r>
            <w:r w:rsidRPr="00795698">
              <w:rPr>
                <w:rFonts w:ascii="Arial" w:hAnsi="Arial" w:cs="Arial"/>
                <w:sz w:val="4"/>
                <w:szCs w:val="4"/>
                <w:lang w:eastAsia="sq-AL"/>
              </w:rPr>
              <w:t>EVROPIANE</w:t>
            </w:r>
            <w:r w:rsidR="007C064A" w:rsidRPr="00795698">
              <w:rPr>
                <w:rFonts w:ascii="Arial" w:hAnsi="Arial" w:cs="Arial"/>
                <w:sz w:val="4"/>
                <w:szCs w:val="4"/>
                <w:lang w:eastAsia="sq-AL"/>
              </w:rPr>
              <w:t xml:space="preserve"> </w:t>
            </w:r>
            <w:r w:rsidRPr="00795698">
              <w:rPr>
                <w:rFonts w:ascii="Arial" w:hAnsi="Arial" w:cs="Arial"/>
                <w:sz w:val="4"/>
                <w:szCs w:val="4"/>
                <w:lang w:eastAsia="sq-AL"/>
              </w:rPr>
              <w:t>PËR KOMPENSIMIN E VIKTIMAVE TË TERRORIZMIT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2D" w14:textId="1088991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2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DPPSH/DAT</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C2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PSH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30" w14:textId="61735124" w:rsidR="00764695" w:rsidRPr="00795698" w:rsidRDefault="00764695" w:rsidP="000C5583">
            <w:pPr>
              <w:rPr>
                <w:rFonts w:ascii="Arial" w:hAnsi="Arial" w:cs="Arial"/>
                <w:sz w:val="4"/>
                <w:szCs w:val="4"/>
                <w:lang w:eastAsia="sq-AL"/>
              </w:rPr>
            </w:pPr>
            <w:r w:rsidRPr="00795698">
              <w:rPr>
                <w:rFonts w:ascii="Arial" w:hAnsi="Arial" w:cs="Arial"/>
                <w:sz w:val="4"/>
                <w:szCs w:val="4"/>
                <w:lang w:eastAsia="sq-AL"/>
              </w:rPr>
              <w:t>Performanca do të matet me % e realizimit të planifikimit për</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rishikimin e planeve për koordinimin ndërinstitucional të menaxhimit të krizave pas një akti terrorist. Aktualisht është planifikuar 1 rishikim plani për koordinimin ndërinstitucional të menaxhimit të krizave pas një akti terrorist në katërmujorin III 2021.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3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3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3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3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3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(numri i mekanizmave koordinues ndërinstitucional në menaxhimin e krizave pas një akti terrorist gjatë vitit aktual)/Y1 (numrin e mekanizmave koordinues ndërinstitucional në menaxhimin e krizave pas një akti terrorist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3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3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3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C3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3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3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3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3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3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3F" w14:textId="15C451B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4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4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42" w14:textId="267E728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C60"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4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4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Indeksi i uljes së kohës së shkëmbimit të informacionit në rastet e emergjencës ku përfshihen materialet kimike, biologjike, </w:t>
            </w:r>
            <w:r w:rsidRPr="00795698">
              <w:rPr>
                <w:rFonts w:ascii="Arial" w:hAnsi="Arial" w:cs="Arial"/>
                <w:sz w:val="4"/>
                <w:szCs w:val="4"/>
                <w:lang w:eastAsia="sq-AL"/>
              </w:rPr>
              <w:lastRenderedPageBreak/>
              <w:t xml:space="preserve">radiologjike, bërthamore dhe eksplozive (CBRN)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4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lastRenderedPageBreak/>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4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C48"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PËRGATITJA PËR MENAXHIMIN E INCIDENTEVE TERRORISTE QË PËRFSHIJNË PËRDORIMIN E MATERIALEVE KIMIKE, BIOLOGJIKE, RADIOLOGJIKE, BËRTHAMORE DHE EKSPLOZIVE (CBRNE) </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4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OBJEKTIVI SPECIFIK: REAGIMI I SHPEJTË SIPAS PROTOKOLLEVE NDËRKOMBËTARE NDAJ INCIDENTEVE TERRORISTE QË PËRFSHIJNË PËRDORIMIN E MATERIALEVE KIMIKE, BIOLOGJIKE, </w:t>
            </w:r>
            <w:r w:rsidRPr="00795698">
              <w:rPr>
                <w:rFonts w:ascii="Arial" w:hAnsi="Arial" w:cs="Arial"/>
                <w:sz w:val="4"/>
                <w:szCs w:val="4"/>
                <w:lang w:eastAsia="sq-AL"/>
              </w:rPr>
              <w:lastRenderedPageBreak/>
              <w:t xml:space="preserve">RADIOLOGJIKE, BËRTHAMORE DHE EKSPLOZIVE (CBRN) </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4A" w14:textId="6933236A"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lastRenderedPageBreak/>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4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MM/AISM</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C4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MSHMS KMR /ZMR/FB /DPD</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4D" w14:textId="34F90F3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Performanca do të matet me nivelin e operacionalitetit të njësive CBRN në situata të emergjencës ku përfshihen CBRN krahasuar me vitin bazë bazuar në zhvillimin e trajnimeve </w:t>
            </w:r>
            <w:r w:rsidRPr="00795698">
              <w:rPr>
                <w:rFonts w:ascii="Arial" w:hAnsi="Arial" w:cs="Arial"/>
                <w:sz w:val="4"/>
                <w:szCs w:val="4"/>
                <w:lang w:eastAsia="sq-AL"/>
              </w:rPr>
              <w:lastRenderedPageBreak/>
              <w:t>dhe infrastrukturës përkatëse.</w:t>
            </w:r>
            <w:r w:rsidR="007C064A" w:rsidRPr="00795698">
              <w:rPr>
                <w:rFonts w:ascii="Arial" w:hAnsi="Arial" w:cs="Arial"/>
                <w:sz w:val="4"/>
                <w:szCs w:val="4"/>
                <w:lang w:eastAsia="sq-AL"/>
              </w:rPr>
              <w:t xml:space="preserve"> </w:t>
            </w:r>
            <w:r w:rsidRPr="00795698">
              <w:rPr>
                <w:rFonts w:ascii="Arial" w:hAnsi="Arial" w:cs="Arial"/>
                <w:sz w:val="4"/>
                <w:szCs w:val="4"/>
                <w:lang w:eastAsia="sq-AL"/>
              </w:rPr>
              <w:t>Me nivelin aktual të trajnimit dhe infrastrukturës logjistike ky nivel operacionaliteti është jo më i vogël se 70%.</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4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4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5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Zbritës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5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5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[Y2 (numri i stërvitjeve të posaçme për reagueshmërinë /shkëmbimin e informacionit pas sulmeve terroriste duke përdorur CBRN gjatë vitit aktual)/Y1 (numri i </w:t>
            </w:r>
            <w:r w:rsidRPr="00795698">
              <w:rPr>
                <w:rFonts w:ascii="Arial" w:hAnsi="Arial" w:cs="Arial"/>
                <w:sz w:val="4"/>
                <w:szCs w:val="4"/>
                <w:lang w:eastAsia="sq-AL"/>
              </w:rPr>
              <w:lastRenderedPageBreak/>
              <w:t>stërvitjeve të posaçme për reagueshmërinë /shkëmbimin e informacionit pas sulmeve terroriste duke përdorur CBRN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5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5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5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C5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Zbritës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5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5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70%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5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5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50%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5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45%</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5C" w14:textId="6A08784D"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Rishikimi i pasaportës së indikatorëve mund të bëhet çdo vit në bazë të dinamikës së ndryshimit të </w:t>
            </w:r>
            <w:r w:rsidRPr="00795698">
              <w:rPr>
                <w:rFonts w:ascii="Arial" w:hAnsi="Arial" w:cs="Arial"/>
                <w:sz w:val="4"/>
                <w:szCs w:val="4"/>
                <w:lang w:eastAsia="sq-AL"/>
              </w:rPr>
              <w:lastRenderedPageBreak/>
              <w:t>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5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5E"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16. Promovimi i shoqërive paqësore dhe gjithëpërfshirëse për zhvillim të qëndrueshëm, ofrimi i qasjes në </w:t>
            </w:r>
            <w:r w:rsidRPr="00795698">
              <w:rPr>
                <w:rFonts w:ascii="Arial" w:hAnsi="Arial" w:cs="Arial"/>
                <w:sz w:val="4"/>
                <w:szCs w:val="4"/>
                <w:lang w:eastAsia="sq-AL"/>
              </w:rPr>
              <w:lastRenderedPageBreak/>
              <w:t>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5F" w14:textId="65CC1DC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lastRenderedPageBreak/>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Ndalimi </w:t>
            </w:r>
            <w:r w:rsidRPr="00795698">
              <w:rPr>
                <w:rFonts w:ascii="Arial" w:hAnsi="Arial" w:cs="Arial"/>
                <w:sz w:val="4"/>
                <w:szCs w:val="4"/>
                <w:lang w:eastAsia="sq-AL"/>
              </w:rPr>
              <w:lastRenderedPageBreak/>
              <w:t>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764695" w:rsidRPr="00795698" w14:paraId="5FEF2C62" w14:textId="77777777" w:rsidTr="00764695">
        <w:trPr>
          <w:trHeight w:val="180"/>
          <w:jc w:val="center"/>
        </w:trPr>
        <w:tc>
          <w:tcPr>
            <w:tcW w:w="13083" w:type="dxa"/>
            <w:gridSpan w:val="2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EF2C61" w14:textId="77777777" w:rsidR="00764695" w:rsidRPr="00795698" w:rsidRDefault="00764695" w:rsidP="00764695">
            <w:pPr>
              <w:jc w:val="center"/>
              <w:rPr>
                <w:rFonts w:ascii="Arial" w:hAnsi="Arial" w:cs="Arial"/>
                <w:b/>
                <w:bCs/>
                <w:sz w:val="4"/>
                <w:szCs w:val="4"/>
                <w:lang w:eastAsia="sq-AL"/>
              </w:rPr>
            </w:pPr>
            <w:r w:rsidRPr="00795698">
              <w:rPr>
                <w:rFonts w:ascii="Arial" w:hAnsi="Arial" w:cs="Arial"/>
                <w:b/>
                <w:bCs/>
                <w:sz w:val="4"/>
                <w:szCs w:val="4"/>
                <w:lang w:eastAsia="sq-AL"/>
              </w:rPr>
              <w:lastRenderedPageBreak/>
              <w:t>QASJA MBROJTËSE</w:t>
            </w:r>
          </w:p>
        </w:tc>
      </w:tr>
      <w:tr w:rsidR="00FF5F17" w:rsidRPr="00795698" w14:paraId="5FEF2C7F"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6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6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zbulueshmërisë materialeve</w:t>
            </w:r>
            <w:r w:rsidRPr="00795698">
              <w:rPr>
                <w:rFonts w:ascii="Arial" w:hAnsi="Arial" w:cs="Arial"/>
                <w:sz w:val="4"/>
                <w:szCs w:val="4"/>
                <w:lang w:eastAsia="sq-AL"/>
              </w:rPr>
              <w:br/>
              <w:t>të përshtatshme dhe jashtë kontrollit, për prodhimin apo përdorimin e</w:t>
            </w:r>
            <w:r w:rsidRPr="00795698">
              <w:rPr>
                <w:rFonts w:ascii="Arial" w:hAnsi="Arial" w:cs="Arial"/>
                <w:sz w:val="4"/>
                <w:szCs w:val="4"/>
                <w:lang w:eastAsia="sq-AL"/>
              </w:rPr>
              <w:br/>
              <w:t>Armëve të zjarrit, lëndëve shpërthyese, Armëve të Dëmtimit në Masë</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6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66"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C6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RRITJA E NIVELIT TË SIGURISË NË FUSHËN E TRANSPORTIT, TREGTISË, SHKËMBIMIT TË MALLRAVE DHE SHËRBIMEVE</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68" w14:textId="2D09458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REDUKTIMI I</w:t>
            </w:r>
            <w:r w:rsidR="007C064A" w:rsidRPr="00795698">
              <w:rPr>
                <w:rFonts w:ascii="Arial" w:hAnsi="Arial" w:cs="Arial"/>
                <w:sz w:val="4"/>
                <w:szCs w:val="4"/>
                <w:lang w:eastAsia="sq-AL"/>
              </w:rPr>
              <w:t xml:space="preserve"> </w:t>
            </w:r>
            <w:r w:rsidRPr="00795698">
              <w:rPr>
                <w:rFonts w:ascii="Arial" w:hAnsi="Arial" w:cs="Arial"/>
                <w:sz w:val="4"/>
                <w:szCs w:val="4"/>
                <w:lang w:eastAsia="sq-AL"/>
              </w:rPr>
              <w:t>RREZIQEVE QË RRJEDHIN NGA TRANSFERIMET E NDALUARA TË MJETEVE DHE MATERIALEVE QË MUND TË PËRDOREN PËR TË KRYER NJË SULM APO AKT TERRORIST</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69" w14:textId="752263A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6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C6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6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Performanca do të matet me rritjen e zbulueshmërisë në vitin aktual krahasuar me vitin bazë.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6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6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6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7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7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7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7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7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noWrap/>
            <w:vAlign w:val="center"/>
            <w:hideMark/>
          </w:tcPr>
          <w:p w14:paraId="5FEF2C7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7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7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7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7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7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2%</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7B" w14:textId="2A50F0FF"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7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7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7E" w14:textId="2171BEC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C9C"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8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8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përmbushjes së detyrimeve në traktatet ndërkombëtare që synojnë parandalimin e përdorimit të këtyre mallrave të ndaluara për qëllime ushtarake.</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8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83"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C84"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85"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RRITJA E AFTËSIVE PËR TË ZBULUAR AKTIVITETIN TERRORIST DUKE PËRFSHIRË KONTROLLIN DHE MBROJTJEN E MATERIALEVE KIMIKE, BIOLOGJIKE, RADIOLOGJIKE, BËRTHAMORE DHE EKSPLOZIVE (CBRNE)</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86" w14:textId="2D82FB09"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8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C8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8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Performanca do të matet me % e përmbushjes së standardeve të përcaktuara në traktatet ndërkombëtare që synojnë parandalimin e përdorimit të këtyre mallrave të ndaluara për qëllime ushtarake.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8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8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8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8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8E" w14:textId="017E7423"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(numri i raportimeve të detyrueshme të kryera gjatë periudhës raportuese/vitit raportues)/Y1 (numrin i raportimeve të detyrueshme për t</w:t>
            </w:r>
            <w:r w:rsidR="00C62D65" w:rsidRPr="00795698">
              <w:rPr>
                <w:rFonts w:ascii="Arial" w:hAnsi="Arial" w:cs="Arial"/>
                <w:sz w:val="4"/>
                <w:szCs w:val="4"/>
                <w:lang w:eastAsia="sq-AL"/>
              </w:rPr>
              <w:t>’</w:t>
            </w:r>
            <w:r w:rsidRPr="00795698">
              <w:rPr>
                <w:rFonts w:ascii="Arial" w:hAnsi="Arial" w:cs="Arial"/>
                <w:sz w:val="4"/>
                <w:szCs w:val="4"/>
                <w:lang w:eastAsia="sq-AL"/>
              </w:rPr>
              <w:t>u kryer gjatë periudhës raportuese/vitit raportues)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8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9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9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C9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9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9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60%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9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95%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9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98%</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9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98" w14:textId="3A4B936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9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9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9B" w14:textId="5F6C340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CB9"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9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9E" w14:textId="357DA28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rritjes së bashkëpunimit ndërinstitucional për parandalimin e akteve terroriste që rrezikojnë infrastrukturën kritike në vend.</w:t>
            </w:r>
            <w:r w:rsidR="007C064A" w:rsidRPr="00795698">
              <w:rPr>
                <w:rFonts w:ascii="Arial" w:hAnsi="Arial" w:cs="Arial"/>
                <w:sz w:val="4"/>
                <w:szCs w:val="4"/>
                <w:lang w:eastAsia="sq-AL"/>
              </w:rPr>
              <w:t xml:space="preserve"> </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9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A0"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tcBorders>
              <w:top w:val="nil"/>
              <w:left w:val="nil"/>
              <w:bottom w:val="single" w:sz="4" w:space="0" w:color="auto"/>
              <w:right w:val="single" w:sz="4" w:space="0" w:color="auto"/>
            </w:tcBorders>
            <w:shd w:val="clear" w:color="auto" w:fill="FFFFFF" w:themeFill="background1"/>
            <w:vAlign w:val="center"/>
            <w:hideMark/>
          </w:tcPr>
          <w:p w14:paraId="5FEF2CA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RRITJA E NIVELIT TË RUAJTJES DHE MBROJTJES SË INFRASTRUKTURËS KRITIKE.</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A2"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 xml:space="preserve">OBJEKTIVI SPECIFIK: HARTIMI I PLANEVE TË BASHKËPUNIMIT MIDIS STRUKTURAVE LIGJZBATUESE DHE INSTITUCIONEVE PËRGJEGJËSE QË KANË NË ADMINISTRIM INFRASTRUKTURËN KRITIKE TË VENDIT PËR PARANDALIMIN E AKTEVE TË MUNDSHME TERRORISTE </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A3" w14:textId="17C0B66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A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MM/AKMC</w:t>
            </w:r>
          </w:p>
        </w:tc>
        <w:tc>
          <w:tcPr>
            <w:tcW w:w="874" w:type="dxa"/>
            <w:tcBorders>
              <w:top w:val="nil"/>
              <w:left w:val="nil"/>
              <w:bottom w:val="single" w:sz="4" w:space="0" w:color="auto"/>
              <w:right w:val="single" w:sz="4" w:space="0" w:color="auto"/>
            </w:tcBorders>
            <w:shd w:val="clear" w:color="auto" w:fill="FFFFFF" w:themeFill="background1"/>
            <w:vAlign w:val="center"/>
            <w:hideMark/>
          </w:tcPr>
          <w:p w14:paraId="5FEF2CA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DPPSH/FA/AISM/SHISH</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A6" w14:textId="357F71B5"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 e realizimit të rishikimit periodik</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të planeve të emergjencave civile të rishikuara nga institucionet përgjegjëse të kësaj strategjie.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A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A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A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A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A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(numri i takimeve dhe marrëveshjeve të bashkëpunimit të strukturave ligjzbatuese për mbrojtjen e infrastrukturës kritike/numrin e takimeve dhe marrëveshjeve të bashkëpunimit të strukturave ligjzbatuese gjatë vitit aktual)/Y1 (numri i takimeve dhe marrëveshjeve të bashkëpunimit të strukturave ligjzbatuese për mbrojtjen e infrastrukturës kritike/numrin e takimeve dhe marrëveshjeve të bashkëpunimit të strukturave ligjzbatuese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A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A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A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CA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B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B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B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B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B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B5" w14:textId="49F436B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B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B7"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B8" w14:textId="706EFC56"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r w:rsidR="00FF5F17" w:rsidRPr="00795698" w14:paraId="5FEF2CD6"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B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BB" w14:textId="0713B26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përputhshmërisë</w:t>
            </w:r>
            <w:r w:rsidR="007C064A" w:rsidRPr="00795698">
              <w:rPr>
                <w:rFonts w:ascii="Arial" w:hAnsi="Arial" w:cs="Arial"/>
                <w:sz w:val="4"/>
                <w:szCs w:val="4"/>
                <w:lang w:eastAsia="sq-AL"/>
              </w:rPr>
              <w:t xml:space="preserve"> </w:t>
            </w:r>
            <w:r w:rsidRPr="00795698">
              <w:rPr>
                <w:rFonts w:ascii="Arial" w:hAnsi="Arial" w:cs="Arial"/>
                <w:sz w:val="4"/>
                <w:szCs w:val="4"/>
                <w:lang w:eastAsia="sq-AL"/>
              </w:rPr>
              <w:t>me standardet evropiane të mbrojtjes së venddislokimeve, infrastrukturës kritike, sistemeve dhe paisjeve kritike të strukturave të mbrojtjes kombëtare</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B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BD"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FEF2CBE" w14:textId="504F014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MBROJTJA NGA KËRCËNIMET TERRORISTE QË</w:t>
            </w:r>
            <w:r w:rsidR="005E41AA" w:rsidRPr="00795698">
              <w:rPr>
                <w:rFonts w:ascii="Arial" w:hAnsi="Arial" w:cs="Arial"/>
                <w:sz w:val="4"/>
                <w:szCs w:val="4"/>
                <w:lang w:eastAsia="sq-AL"/>
              </w:rPr>
              <w:t xml:space="preserve"> cenoj</w:t>
            </w:r>
            <w:r w:rsidRPr="00795698">
              <w:rPr>
                <w:rFonts w:ascii="Arial" w:hAnsi="Arial" w:cs="Arial"/>
                <w:sz w:val="4"/>
                <w:szCs w:val="4"/>
                <w:lang w:eastAsia="sq-AL"/>
              </w:rPr>
              <w:t>NË VENDDISLOKIMET/INFRASTRUKTURËN, PAJISJET KRITIKE DHE SISTEMET E MBROJTJES DHE FARSH-SË.</w:t>
            </w: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BF"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IDENTIFIKIMI I NEVOJAVE DHE STANDARDEVE TË MBROJTJES NGA KËRCËNIMET TERRORISTE</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C0" w14:textId="0C818EC2"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C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MM/SHPFA</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CC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C3" w14:textId="1652AF81"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trendin rritës të nivelit të sigurisë fizike sipas standardeve evropiane të vendvenddislokimeve, infrastrukturës kritike, sistemeve dhe pajisjeve kritike të strukturave të mbrojtjes kombëtare, krahasuar me nivelin aktual të sigurisë së tyre fizike.</w:t>
            </w:r>
            <w:r w:rsidR="007C064A" w:rsidRPr="00795698">
              <w:rPr>
                <w:rFonts w:ascii="Arial" w:hAnsi="Arial" w:cs="Arial"/>
                <w:sz w:val="4"/>
                <w:szCs w:val="4"/>
                <w:lang w:eastAsia="sq-AL"/>
              </w:rPr>
              <w:t xml:space="preserv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C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C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C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C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C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[Y2 (% e zbulueshmërisë materialeve të përshtatshme dhe jashtë kontrollit për prodhimin e armëve dhe lëndëve plasëse gjatë vitit aktual)/Y1 (% e zbulueshmërisë materialeve të përshtatshme dhe jashtë kontrollit për prodhimin e armëve dhe lëndëve plasëse gjatë vitit bazë) - 1]*100%.</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C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C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C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vAlign w:val="center"/>
            <w:hideMark/>
          </w:tcPr>
          <w:p w14:paraId="5FEF2CC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C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C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80%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C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D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D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D2" w14:textId="5CD40A34"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D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D4"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D5" w14:textId="333219C0"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 xml:space="preserve">16.a Forcimi i institucioneve kombëtare relevante, duke përfshirë bashkëpunimin ndërkombëtar, për ndërtimin e kapaciteteve në të gjitha nivelet, veçanërisht në vendet </w:t>
            </w:r>
            <w:r w:rsidRPr="00795698">
              <w:rPr>
                <w:rFonts w:ascii="Arial" w:hAnsi="Arial" w:cs="Arial"/>
                <w:sz w:val="4"/>
                <w:szCs w:val="4"/>
                <w:lang w:eastAsia="sq-AL"/>
              </w:rPr>
              <w:lastRenderedPageBreak/>
              <w:t>në zhvillim, për të parandaluar dhunën dhe për të luftuar terrorizmin dhe krimin</w:t>
            </w:r>
          </w:p>
        </w:tc>
      </w:tr>
      <w:tr w:rsidR="00FF5F17" w:rsidRPr="00795698" w14:paraId="5FEF2CF3" w14:textId="77777777" w:rsidTr="00764695">
        <w:trPr>
          <w:trHeight w:val="180"/>
          <w:jc w:val="center"/>
        </w:trPr>
        <w:tc>
          <w:tcPr>
            <w:tcW w:w="37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F2CD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lastRenderedPageBreak/>
              <w:t>Rezultati</w:t>
            </w:r>
          </w:p>
        </w:tc>
        <w:tc>
          <w:tcPr>
            <w:tcW w:w="491" w:type="dxa"/>
            <w:tcBorders>
              <w:top w:val="nil"/>
              <w:left w:val="nil"/>
              <w:bottom w:val="single" w:sz="4" w:space="0" w:color="auto"/>
              <w:right w:val="single" w:sz="4" w:space="0" w:color="auto"/>
            </w:tcBorders>
            <w:shd w:val="clear" w:color="auto" w:fill="FFFFFF" w:themeFill="background1"/>
            <w:vAlign w:val="center"/>
            <w:hideMark/>
          </w:tcPr>
          <w:p w14:paraId="5FEF2CD8" w14:textId="7D47CF48"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Indeksi I konsolidimit të kapaciteteve informative dhe operacionale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strukturave të mbrojtjes kombëtare</w:t>
            </w:r>
          </w:p>
        </w:tc>
        <w:tc>
          <w:tcPr>
            <w:tcW w:w="426" w:type="dxa"/>
            <w:tcBorders>
              <w:top w:val="nil"/>
              <w:left w:val="nil"/>
              <w:bottom w:val="single" w:sz="4" w:space="0" w:color="auto"/>
              <w:right w:val="single" w:sz="4" w:space="0" w:color="auto"/>
            </w:tcBorders>
            <w:shd w:val="clear" w:color="auto" w:fill="FFFFFF" w:themeFill="background1"/>
            <w:vAlign w:val="center"/>
            <w:hideMark/>
          </w:tcPr>
          <w:p w14:paraId="5FEF2CD9"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QEVERISJA E MIRË, DEMOKRACIA DHE SHTETI I SË DREJTËS</w:t>
            </w:r>
          </w:p>
        </w:tc>
        <w:tc>
          <w:tcPr>
            <w:tcW w:w="483" w:type="dxa"/>
            <w:tcBorders>
              <w:top w:val="nil"/>
              <w:left w:val="nil"/>
              <w:bottom w:val="single" w:sz="4" w:space="0" w:color="auto"/>
              <w:right w:val="single" w:sz="4" w:space="0" w:color="auto"/>
            </w:tcBorders>
            <w:shd w:val="clear" w:color="auto" w:fill="FFFFFF" w:themeFill="background1"/>
            <w:vAlign w:val="center"/>
            <w:hideMark/>
          </w:tcPr>
          <w:p w14:paraId="5FEF2CDA"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LUFTA KUNDËR KRIMIT TË ORGANIZUAR, TERRORIZMIT DHE TRAFIKIMIT</w:t>
            </w:r>
          </w:p>
        </w:tc>
        <w:tc>
          <w:tcPr>
            <w:tcW w:w="80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EF2CDB" w14:textId="77777777" w:rsidR="00764695" w:rsidRPr="00795698" w:rsidRDefault="00764695" w:rsidP="00764695">
            <w:pPr>
              <w:rPr>
                <w:rFonts w:ascii="Arial" w:hAnsi="Arial" w:cs="Arial"/>
                <w:sz w:val="4"/>
                <w:szCs w:val="4"/>
                <w:lang w:eastAsia="sq-AL"/>
              </w:rPr>
            </w:pPr>
          </w:p>
        </w:tc>
        <w:tc>
          <w:tcPr>
            <w:tcW w:w="640" w:type="dxa"/>
            <w:tcBorders>
              <w:top w:val="nil"/>
              <w:left w:val="nil"/>
              <w:bottom w:val="single" w:sz="4" w:space="0" w:color="auto"/>
              <w:right w:val="single" w:sz="4" w:space="0" w:color="auto"/>
            </w:tcBorders>
            <w:shd w:val="clear" w:color="auto" w:fill="FFFFFF" w:themeFill="background1"/>
            <w:vAlign w:val="center"/>
            <w:hideMark/>
          </w:tcPr>
          <w:p w14:paraId="5FEF2CDC"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OBJEKTIVI SPECIFIK: KONSOLIDIMI I KAPACITETEVE INFORMATIVE DHE PROFESIONALE-OPERACIONALE</w:t>
            </w:r>
          </w:p>
        </w:tc>
        <w:tc>
          <w:tcPr>
            <w:tcW w:w="431" w:type="dxa"/>
            <w:tcBorders>
              <w:top w:val="nil"/>
              <w:left w:val="nil"/>
              <w:bottom w:val="single" w:sz="4" w:space="0" w:color="auto"/>
              <w:right w:val="single" w:sz="4" w:space="0" w:color="auto"/>
            </w:tcBorders>
            <w:shd w:val="clear" w:color="auto" w:fill="FFFFFF" w:themeFill="background1"/>
            <w:vAlign w:val="center"/>
            <w:hideMark/>
          </w:tcPr>
          <w:p w14:paraId="5FEF2CDD" w14:textId="4CC745FB"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Raportet 6-mujore</w:t>
            </w:r>
            <w:r w:rsidR="007C064A" w:rsidRPr="00795698">
              <w:rPr>
                <w:rFonts w:ascii="Arial" w:hAnsi="Arial" w:cs="Arial"/>
                <w:sz w:val="4"/>
                <w:szCs w:val="4"/>
                <w:lang w:eastAsia="sq-AL"/>
              </w:rPr>
              <w:t xml:space="preserve"> </w:t>
            </w:r>
            <w:r w:rsidRPr="00795698">
              <w:rPr>
                <w:rFonts w:ascii="Arial" w:hAnsi="Arial" w:cs="Arial"/>
                <w:sz w:val="4"/>
                <w:szCs w:val="4"/>
                <w:lang w:eastAsia="sq-AL"/>
              </w:rPr>
              <w:t>të institucioneve dhe strukturave përgjegjëse në sistemin IPSIS.</w:t>
            </w:r>
          </w:p>
        </w:tc>
        <w:tc>
          <w:tcPr>
            <w:tcW w:w="486" w:type="dxa"/>
            <w:tcBorders>
              <w:top w:val="nil"/>
              <w:left w:val="nil"/>
              <w:bottom w:val="single" w:sz="4" w:space="0" w:color="auto"/>
              <w:right w:val="single" w:sz="4" w:space="0" w:color="auto"/>
            </w:tcBorders>
            <w:shd w:val="clear" w:color="auto" w:fill="FFFFFF" w:themeFill="background1"/>
            <w:vAlign w:val="center"/>
            <w:hideMark/>
          </w:tcPr>
          <w:p w14:paraId="5FEF2CD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MM/SHPFA/AISM</w:t>
            </w:r>
          </w:p>
        </w:tc>
        <w:tc>
          <w:tcPr>
            <w:tcW w:w="874" w:type="dxa"/>
            <w:tcBorders>
              <w:top w:val="nil"/>
              <w:left w:val="nil"/>
              <w:bottom w:val="single" w:sz="4" w:space="0" w:color="auto"/>
              <w:right w:val="single" w:sz="4" w:space="0" w:color="auto"/>
            </w:tcBorders>
            <w:shd w:val="clear" w:color="auto" w:fill="FFFFFF" w:themeFill="background1"/>
            <w:noWrap/>
            <w:vAlign w:val="center"/>
            <w:hideMark/>
          </w:tcPr>
          <w:p w14:paraId="5FEF2CDF"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629" w:type="dxa"/>
            <w:tcBorders>
              <w:top w:val="nil"/>
              <w:left w:val="nil"/>
              <w:bottom w:val="single" w:sz="4" w:space="0" w:color="auto"/>
              <w:right w:val="single" w:sz="4" w:space="0" w:color="auto"/>
            </w:tcBorders>
            <w:shd w:val="clear" w:color="auto" w:fill="FFFFFF" w:themeFill="background1"/>
            <w:vAlign w:val="center"/>
            <w:hideMark/>
          </w:tcPr>
          <w:p w14:paraId="5FEF2CE0" w14:textId="59931573"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Performanca do të matet me % e realizimit të trajnimeve</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planifikuara me ato të zhvilluara me partnerët për strukturat parandaluese, reaguese dhe atyre pjesëmarrëse në misione paqeruajtëse të FA, në luftën kundër terrorizmit sipas planit të dislokimeve.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E1"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xml:space="preserve">6-mujore </w:t>
            </w:r>
          </w:p>
        </w:tc>
        <w:tc>
          <w:tcPr>
            <w:tcW w:w="325" w:type="dxa"/>
            <w:tcBorders>
              <w:top w:val="nil"/>
              <w:left w:val="nil"/>
              <w:bottom w:val="single" w:sz="4" w:space="0" w:color="auto"/>
              <w:right w:val="single" w:sz="4" w:space="0" w:color="auto"/>
            </w:tcBorders>
            <w:shd w:val="clear" w:color="auto" w:fill="FFFFFF" w:themeFill="background1"/>
            <w:vAlign w:val="center"/>
            <w:hideMark/>
          </w:tcPr>
          <w:p w14:paraId="5FEF2CE2"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1-vjeçare</w:t>
            </w:r>
          </w:p>
        </w:tc>
        <w:tc>
          <w:tcPr>
            <w:tcW w:w="544" w:type="dxa"/>
            <w:tcBorders>
              <w:top w:val="nil"/>
              <w:left w:val="nil"/>
              <w:bottom w:val="single" w:sz="4" w:space="0" w:color="auto"/>
              <w:right w:val="single" w:sz="4" w:space="0" w:color="auto"/>
            </w:tcBorders>
            <w:shd w:val="clear" w:color="auto" w:fill="FFFFFF" w:themeFill="background1"/>
            <w:noWrap/>
            <w:vAlign w:val="center"/>
            <w:hideMark/>
          </w:tcPr>
          <w:p w14:paraId="5FEF2CE3"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339" w:type="dxa"/>
            <w:tcBorders>
              <w:top w:val="nil"/>
              <w:left w:val="nil"/>
              <w:bottom w:val="single" w:sz="4" w:space="0" w:color="auto"/>
              <w:right w:val="single" w:sz="4" w:space="0" w:color="auto"/>
            </w:tcBorders>
            <w:shd w:val="clear" w:color="auto" w:fill="FFFFFF" w:themeFill="background1"/>
            <w:noWrap/>
            <w:vAlign w:val="center"/>
            <w:hideMark/>
          </w:tcPr>
          <w:p w14:paraId="5FEF2CE4"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Direkt</w:t>
            </w:r>
          </w:p>
        </w:tc>
        <w:tc>
          <w:tcPr>
            <w:tcW w:w="590" w:type="dxa"/>
            <w:tcBorders>
              <w:top w:val="nil"/>
              <w:left w:val="nil"/>
              <w:bottom w:val="single" w:sz="4" w:space="0" w:color="auto"/>
              <w:right w:val="single" w:sz="4" w:space="0" w:color="auto"/>
            </w:tcBorders>
            <w:shd w:val="clear" w:color="auto" w:fill="FFFFFF" w:themeFill="background1"/>
            <w:vAlign w:val="center"/>
            <w:hideMark/>
          </w:tcPr>
          <w:p w14:paraId="5FEF2CE5"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E6"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518" w:type="dxa"/>
            <w:tcBorders>
              <w:top w:val="nil"/>
              <w:left w:val="nil"/>
              <w:bottom w:val="single" w:sz="4" w:space="0" w:color="auto"/>
              <w:right w:val="single" w:sz="4" w:space="0" w:color="auto"/>
            </w:tcBorders>
            <w:shd w:val="clear" w:color="auto" w:fill="FFFFFF" w:themeFill="background1"/>
            <w:vAlign w:val="center"/>
            <w:hideMark/>
          </w:tcPr>
          <w:p w14:paraId="5FEF2CE7"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276" w:type="dxa"/>
            <w:tcBorders>
              <w:top w:val="nil"/>
              <w:left w:val="nil"/>
              <w:bottom w:val="single" w:sz="4" w:space="0" w:color="auto"/>
              <w:right w:val="single" w:sz="4" w:space="0" w:color="auto"/>
            </w:tcBorders>
            <w:shd w:val="clear" w:color="auto" w:fill="FFFFFF" w:themeFill="background1"/>
            <w:vAlign w:val="center"/>
            <w:hideMark/>
          </w:tcPr>
          <w:p w14:paraId="5FEF2CE8"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N/A</w:t>
            </w:r>
          </w:p>
        </w:tc>
        <w:tc>
          <w:tcPr>
            <w:tcW w:w="383" w:type="dxa"/>
            <w:tcBorders>
              <w:top w:val="nil"/>
              <w:left w:val="nil"/>
              <w:bottom w:val="single" w:sz="4" w:space="0" w:color="auto"/>
              <w:right w:val="single" w:sz="4" w:space="0" w:color="auto"/>
            </w:tcBorders>
            <w:shd w:val="clear" w:color="auto" w:fill="FFFFFF" w:themeFill="background1"/>
            <w:noWrap/>
            <w:vAlign w:val="center"/>
            <w:hideMark/>
          </w:tcPr>
          <w:p w14:paraId="5FEF2CE9"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Rritës</w:t>
            </w:r>
          </w:p>
        </w:tc>
        <w:tc>
          <w:tcPr>
            <w:tcW w:w="292" w:type="dxa"/>
            <w:tcBorders>
              <w:top w:val="nil"/>
              <w:left w:val="nil"/>
              <w:bottom w:val="single" w:sz="4" w:space="0" w:color="auto"/>
              <w:right w:val="single" w:sz="4" w:space="0" w:color="auto"/>
            </w:tcBorders>
            <w:shd w:val="clear" w:color="auto" w:fill="FFFFFF" w:themeFill="background1"/>
            <w:vAlign w:val="center"/>
            <w:hideMark/>
          </w:tcPr>
          <w:p w14:paraId="5FEF2CEA"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725" w:type="dxa"/>
            <w:tcBorders>
              <w:top w:val="nil"/>
              <w:left w:val="nil"/>
              <w:bottom w:val="single" w:sz="4" w:space="0" w:color="auto"/>
              <w:right w:val="single" w:sz="4" w:space="0" w:color="auto"/>
            </w:tcBorders>
            <w:shd w:val="clear" w:color="auto" w:fill="FFFFFF" w:themeFill="background1"/>
            <w:vAlign w:val="center"/>
            <w:hideMark/>
          </w:tcPr>
          <w:p w14:paraId="5FEF2CEB"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66%</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EC"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90%</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ED"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95%</w:t>
            </w:r>
          </w:p>
        </w:tc>
        <w:tc>
          <w:tcPr>
            <w:tcW w:w="299" w:type="dxa"/>
            <w:tcBorders>
              <w:top w:val="nil"/>
              <w:left w:val="nil"/>
              <w:bottom w:val="single" w:sz="4" w:space="0" w:color="auto"/>
              <w:right w:val="single" w:sz="4" w:space="0" w:color="auto"/>
            </w:tcBorders>
            <w:shd w:val="clear" w:color="auto" w:fill="FFFFFF" w:themeFill="background1"/>
            <w:vAlign w:val="center"/>
            <w:hideMark/>
          </w:tcPr>
          <w:p w14:paraId="5FEF2CEE"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100%</w:t>
            </w:r>
          </w:p>
        </w:tc>
        <w:tc>
          <w:tcPr>
            <w:tcW w:w="445" w:type="dxa"/>
            <w:tcBorders>
              <w:top w:val="nil"/>
              <w:left w:val="nil"/>
              <w:bottom w:val="single" w:sz="4" w:space="0" w:color="auto"/>
              <w:right w:val="single" w:sz="4" w:space="0" w:color="auto"/>
            </w:tcBorders>
            <w:shd w:val="clear" w:color="auto" w:fill="FFFFFF" w:themeFill="background1"/>
            <w:vAlign w:val="center"/>
            <w:hideMark/>
          </w:tcPr>
          <w:p w14:paraId="5FEF2CEF" w14:textId="01C241DC"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Rishikimi i pasaportës së indikatorëve mund të bëhet çdo vit në bazë të dinamikës së ndryshimit të nivelit të riskut nga</w:t>
            </w:r>
            <w:r w:rsidR="007C064A" w:rsidRPr="00795698">
              <w:rPr>
                <w:rFonts w:ascii="Arial" w:hAnsi="Arial" w:cs="Arial"/>
                <w:sz w:val="4"/>
                <w:szCs w:val="4"/>
                <w:lang w:eastAsia="sq-AL"/>
              </w:rPr>
              <w:t xml:space="preserve"> </w:t>
            </w:r>
            <w:r w:rsidRPr="00795698">
              <w:rPr>
                <w:rFonts w:ascii="Arial" w:hAnsi="Arial" w:cs="Arial"/>
                <w:sz w:val="4"/>
                <w:szCs w:val="4"/>
                <w:lang w:eastAsia="sq-AL"/>
              </w:rPr>
              <w:t xml:space="preserve">terrorizmi </w:t>
            </w:r>
          </w:p>
        </w:tc>
        <w:tc>
          <w:tcPr>
            <w:tcW w:w="342" w:type="dxa"/>
            <w:tcBorders>
              <w:top w:val="nil"/>
              <w:left w:val="nil"/>
              <w:bottom w:val="single" w:sz="4" w:space="0" w:color="auto"/>
              <w:right w:val="single" w:sz="4" w:space="0" w:color="auto"/>
            </w:tcBorders>
            <w:shd w:val="clear" w:color="auto" w:fill="FFFFFF" w:themeFill="background1"/>
            <w:vAlign w:val="center"/>
            <w:hideMark/>
          </w:tcPr>
          <w:p w14:paraId="5FEF2CF0" w14:textId="77777777" w:rsidR="00764695" w:rsidRPr="00795698" w:rsidRDefault="00764695" w:rsidP="00764695">
            <w:pPr>
              <w:jc w:val="center"/>
              <w:rPr>
                <w:rFonts w:ascii="Arial" w:hAnsi="Arial" w:cs="Arial"/>
                <w:sz w:val="4"/>
                <w:szCs w:val="4"/>
                <w:lang w:eastAsia="sq-AL"/>
              </w:rPr>
            </w:pPr>
            <w:r w:rsidRPr="00795698">
              <w:rPr>
                <w:rFonts w:ascii="Arial" w:hAnsi="Arial" w:cs="Arial"/>
                <w:sz w:val="4"/>
                <w:szCs w:val="4"/>
                <w:lang w:eastAsia="sq-AL"/>
              </w:rPr>
              <w:t> </w:t>
            </w:r>
          </w:p>
        </w:tc>
        <w:tc>
          <w:tcPr>
            <w:tcW w:w="471" w:type="dxa"/>
            <w:tcBorders>
              <w:top w:val="nil"/>
              <w:left w:val="nil"/>
              <w:bottom w:val="single" w:sz="4" w:space="0" w:color="auto"/>
              <w:right w:val="single" w:sz="4" w:space="0" w:color="auto"/>
            </w:tcBorders>
            <w:shd w:val="clear" w:color="auto" w:fill="FFFFFF" w:themeFill="background1"/>
            <w:vAlign w:val="center"/>
            <w:hideMark/>
          </w:tcPr>
          <w:p w14:paraId="5FEF2CF1" w14:textId="77777777"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 Promovimi i shoqërive paqësore dhe gjithëpërfshirëse për zhvillim të qëndrueshëm, ofrimi i qasjes në drejtësi për të gjithë dhe ndërtimi i institucioneve efektive, të përgjegjshme dhe gjithëpërfshirëse në të gjitha nivelet.”</w:t>
            </w:r>
          </w:p>
        </w:tc>
        <w:tc>
          <w:tcPr>
            <w:tcW w:w="448" w:type="dxa"/>
            <w:tcBorders>
              <w:top w:val="nil"/>
              <w:left w:val="nil"/>
              <w:bottom w:val="single" w:sz="4" w:space="0" w:color="auto"/>
              <w:right w:val="single" w:sz="4" w:space="0" w:color="auto"/>
            </w:tcBorders>
            <w:shd w:val="clear" w:color="auto" w:fill="FFFFFF" w:themeFill="background1"/>
            <w:vAlign w:val="center"/>
            <w:hideMark/>
          </w:tcPr>
          <w:p w14:paraId="5FEF2CF2" w14:textId="18DE2A3E" w:rsidR="00764695" w:rsidRPr="00795698" w:rsidRDefault="00764695" w:rsidP="00764695">
            <w:pPr>
              <w:rPr>
                <w:rFonts w:ascii="Arial" w:hAnsi="Arial" w:cs="Arial"/>
                <w:sz w:val="4"/>
                <w:szCs w:val="4"/>
                <w:lang w:eastAsia="sq-AL"/>
              </w:rPr>
            </w:pPr>
            <w:r w:rsidRPr="00795698">
              <w:rPr>
                <w:rFonts w:ascii="Arial" w:hAnsi="Arial" w:cs="Arial"/>
                <w:sz w:val="4"/>
                <w:szCs w:val="4"/>
                <w:lang w:eastAsia="sq-AL"/>
              </w:rPr>
              <w:t>16.1</w:t>
            </w:r>
            <w:r w:rsidR="007C064A" w:rsidRPr="00795698">
              <w:rPr>
                <w:rFonts w:ascii="Arial" w:hAnsi="Arial" w:cs="Arial"/>
                <w:sz w:val="4"/>
                <w:szCs w:val="4"/>
                <w:lang w:eastAsia="sq-AL"/>
              </w:rPr>
              <w:t xml:space="preserve"> </w:t>
            </w:r>
            <w:r w:rsidRPr="00795698">
              <w:rPr>
                <w:rFonts w:ascii="Arial" w:hAnsi="Arial" w:cs="Arial"/>
                <w:sz w:val="4"/>
                <w:szCs w:val="4"/>
                <w:lang w:eastAsia="sq-AL"/>
              </w:rPr>
              <w:t>Zvogëlimi i dukshëm i të gjitha formave të dhunës dhe normës së vdekshmërisë;</w:t>
            </w:r>
            <w:r w:rsidRPr="00795698">
              <w:rPr>
                <w:rFonts w:ascii="Arial" w:hAnsi="Arial" w:cs="Arial"/>
                <w:sz w:val="4"/>
                <w:szCs w:val="4"/>
                <w:lang w:eastAsia="sq-AL"/>
              </w:rPr>
              <w:br/>
              <w:t>16.2</w:t>
            </w:r>
            <w:r w:rsidR="007C064A" w:rsidRPr="00795698">
              <w:rPr>
                <w:rFonts w:ascii="Arial" w:hAnsi="Arial" w:cs="Arial"/>
                <w:sz w:val="4"/>
                <w:szCs w:val="4"/>
                <w:lang w:eastAsia="sq-AL"/>
              </w:rPr>
              <w:t xml:space="preserve"> </w:t>
            </w:r>
            <w:r w:rsidRPr="00795698">
              <w:rPr>
                <w:rFonts w:ascii="Arial" w:hAnsi="Arial" w:cs="Arial"/>
                <w:sz w:val="4"/>
                <w:szCs w:val="4"/>
                <w:lang w:eastAsia="sq-AL"/>
              </w:rPr>
              <w:t>Ndalimi i abuzimit, shfrytëzimit, trafikimit dhe të gjitha formave të dhunës dhe të torturës ndaj fëmijëve;</w:t>
            </w:r>
            <w:r w:rsidRPr="00795698">
              <w:rPr>
                <w:rFonts w:ascii="Arial" w:hAnsi="Arial" w:cs="Arial"/>
                <w:sz w:val="4"/>
                <w:szCs w:val="4"/>
                <w:lang w:eastAsia="sq-AL"/>
              </w:rPr>
              <w:br/>
              <w:t>16.a Forcimi i institucioneve kombëtare relevante, duke përfshirë bashkëpunimin ndërkombëtar, për ndërtimin e kapaciteteve në të gjitha nivelet, veçanërisht në vendet në zhvillim, për të parandaluar dhunën dhe për të luftuar terrorizmin dhe krimin</w:t>
            </w:r>
          </w:p>
        </w:tc>
      </w:tr>
    </w:tbl>
    <w:p w14:paraId="5FEF2CF4" w14:textId="77777777" w:rsidR="00E71DA7" w:rsidRPr="00795698" w:rsidRDefault="00E71DA7" w:rsidP="00BC53EF">
      <w:pPr>
        <w:pStyle w:val="TEKSTIIIII"/>
        <w:jc w:val="center"/>
        <w:rPr>
          <w:i/>
          <w:sz w:val="18"/>
          <w:lang w:val="sq-AL"/>
        </w:rPr>
      </w:pPr>
    </w:p>
    <w:sectPr w:rsidR="00E71DA7" w:rsidRPr="00795698" w:rsidSect="00B91F3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C6002" w14:textId="77777777" w:rsidR="004478B9" w:rsidRDefault="004478B9" w:rsidP="009824FF">
      <w:r>
        <w:separator/>
      </w:r>
    </w:p>
  </w:endnote>
  <w:endnote w:type="continuationSeparator" w:id="0">
    <w:p w14:paraId="4946F87B" w14:textId="77777777" w:rsidR="004478B9" w:rsidRDefault="004478B9" w:rsidP="009824FF">
      <w:r>
        <w:continuationSeparator/>
      </w:r>
    </w:p>
  </w:endnote>
  <w:endnote w:type="continuationNotice" w:id="1">
    <w:p w14:paraId="1018A531" w14:textId="77777777" w:rsidR="004478B9" w:rsidRDefault="00447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43A9" w14:textId="77777777" w:rsidR="004478B9" w:rsidRDefault="00447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AE1E2" w14:textId="77777777" w:rsidR="004478B9" w:rsidRDefault="004478B9" w:rsidP="009824FF">
      <w:r>
        <w:separator/>
      </w:r>
    </w:p>
  </w:footnote>
  <w:footnote w:type="continuationSeparator" w:id="0">
    <w:p w14:paraId="5549FF82" w14:textId="77777777" w:rsidR="004478B9" w:rsidRDefault="004478B9" w:rsidP="009824FF">
      <w:r>
        <w:continuationSeparator/>
      </w:r>
    </w:p>
  </w:footnote>
  <w:footnote w:type="continuationNotice" w:id="1">
    <w:p w14:paraId="1CE5090C" w14:textId="77777777" w:rsidR="004478B9" w:rsidRDefault="004478B9"/>
  </w:footnote>
  <w:footnote w:id="2">
    <w:p w14:paraId="5FEF2D15" w14:textId="60AF974C" w:rsidR="004478B9" w:rsidRPr="009824FF" w:rsidRDefault="004478B9" w:rsidP="009824FF">
      <w:pPr>
        <w:pStyle w:val="FootnoteText"/>
        <w:rPr>
          <w:rFonts w:ascii="Garamond" w:hAnsi="Garamond"/>
          <w:lang w:val="it-IT"/>
        </w:rPr>
      </w:pPr>
      <w:r w:rsidRPr="009824FF">
        <w:rPr>
          <w:rStyle w:val="FootnoteReference"/>
          <w:rFonts w:ascii="Garamond" w:hAnsi="Garamond"/>
        </w:rPr>
        <w:footnoteRef/>
      </w:r>
      <w:r w:rsidRPr="009824FF">
        <w:rPr>
          <w:rFonts w:ascii="Garamond" w:hAnsi="Garamond"/>
        </w:rPr>
        <w:t xml:space="preserve"> </w:t>
      </w:r>
      <w:r w:rsidRPr="009824FF">
        <w:rPr>
          <w:rFonts w:ascii="Garamond" w:hAnsi="Garamond"/>
          <w:lang w:val="it-IT"/>
        </w:rPr>
        <w:t>Strategjia e KE</w:t>
      </w:r>
      <w:r>
        <w:rPr>
          <w:rFonts w:ascii="Garamond" w:hAnsi="Garamond"/>
          <w:lang w:val="it-IT"/>
        </w:rPr>
        <w:t>-së</w:t>
      </w:r>
      <w:r w:rsidRPr="009824FF">
        <w:rPr>
          <w:rFonts w:ascii="Garamond" w:hAnsi="Garamond"/>
          <w:lang w:val="it-IT"/>
        </w:rPr>
        <w:t xml:space="preserve"> </w:t>
      </w:r>
      <w:bookmarkStart w:id="11" w:name="_Hlk59375047"/>
      <w:r>
        <w:rPr>
          <w:rFonts w:ascii="Garamond" w:hAnsi="Garamond"/>
          <w:lang w:val="it-IT"/>
        </w:rPr>
        <w:t>për Antit</w:t>
      </w:r>
      <w:r w:rsidRPr="009824FF">
        <w:rPr>
          <w:rFonts w:ascii="Garamond" w:hAnsi="Garamond"/>
          <w:lang w:val="it-IT"/>
        </w:rPr>
        <w:t xml:space="preserve">errorizmin </w:t>
      </w:r>
      <w:bookmarkEnd w:id="11"/>
      <w:r w:rsidRPr="009824FF">
        <w:rPr>
          <w:rFonts w:ascii="Garamond" w:hAnsi="Garamond"/>
          <w:lang w:val="it-IT"/>
        </w:rPr>
        <w:t>2005 dhe Strategjia e KE</w:t>
      </w:r>
      <w:r>
        <w:rPr>
          <w:rFonts w:ascii="Garamond" w:hAnsi="Garamond"/>
          <w:lang w:val="it-IT"/>
        </w:rPr>
        <w:t>-së</w:t>
      </w:r>
      <w:r w:rsidRPr="009824FF">
        <w:rPr>
          <w:rFonts w:ascii="Garamond" w:hAnsi="Garamond"/>
          <w:lang w:val="it-IT"/>
        </w:rPr>
        <w:t xml:space="preserve"> për Anti</w:t>
      </w:r>
      <w:r>
        <w:rPr>
          <w:rFonts w:ascii="Garamond" w:hAnsi="Garamond"/>
          <w:lang w:val="it-IT"/>
        </w:rPr>
        <w:t>t</w:t>
      </w:r>
      <w:r w:rsidRPr="009824FF">
        <w:rPr>
          <w:rFonts w:ascii="Garamond" w:hAnsi="Garamond"/>
          <w:lang w:val="it-IT"/>
        </w:rPr>
        <w:t>errorizmin 2018</w:t>
      </w:r>
      <w:r>
        <w:rPr>
          <w:rFonts w:ascii="Garamond" w:hAnsi="Garamond"/>
          <w:lang w:val="it-IT"/>
        </w:rPr>
        <w:t>–</w:t>
      </w:r>
      <w:r w:rsidRPr="009824FF">
        <w:rPr>
          <w:rFonts w:ascii="Garamond" w:hAnsi="Garamond"/>
          <w:lang w:val="it-IT"/>
        </w:rPr>
        <w:t>2022.</w:t>
      </w:r>
    </w:p>
  </w:footnote>
  <w:footnote w:id="3">
    <w:p w14:paraId="5FEF2D16" w14:textId="77777777" w:rsidR="004478B9" w:rsidRPr="00A037C5" w:rsidRDefault="004478B9" w:rsidP="009824FF">
      <w:pPr>
        <w:pStyle w:val="FootnoteText"/>
        <w:rPr>
          <w:rFonts w:ascii="Garamond" w:hAnsi="Garamond"/>
          <w:sz w:val="14"/>
          <w:szCs w:val="14"/>
          <w:lang w:val="it-IT"/>
        </w:rPr>
      </w:pPr>
      <w:r w:rsidRPr="00A037C5">
        <w:rPr>
          <w:rStyle w:val="FootnoteReference"/>
          <w:rFonts w:ascii="Garamond" w:hAnsi="Garamond"/>
          <w:szCs w:val="14"/>
        </w:rPr>
        <w:footnoteRef/>
      </w:r>
      <w:r w:rsidRPr="00A037C5">
        <w:rPr>
          <w:rFonts w:ascii="Garamond" w:hAnsi="Garamond"/>
          <w:szCs w:val="14"/>
        </w:rPr>
        <w:t xml:space="preserve"> </w:t>
      </w:r>
      <w:r w:rsidRPr="00A037C5">
        <w:rPr>
          <w:rFonts w:ascii="Garamond" w:hAnsi="Garamond"/>
          <w:szCs w:val="14"/>
          <w:lang w:val="it-IT"/>
        </w:rPr>
        <w:t>R</w:t>
      </w:r>
      <w:r w:rsidRPr="00A037C5">
        <w:rPr>
          <w:rFonts w:ascii="Garamond" w:hAnsi="Garamond"/>
          <w:szCs w:val="14"/>
        </w:rPr>
        <w:t xml:space="preserve">aporti </w:t>
      </w:r>
      <w:r w:rsidRPr="00A037C5">
        <w:rPr>
          <w:rFonts w:ascii="Garamond" w:hAnsi="Garamond"/>
          <w:szCs w:val="14"/>
          <w:lang w:val="it-IT"/>
        </w:rPr>
        <w:t xml:space="preserve">i </w:t>
      </w:r>
      <w:r w:rsidRPr="00A037C5">
        <w:rPr>
          <w:rFonts w:ascii="Garamond" w:hAnsi="Garamond"/>
          <w:szCs w:val="14"/>
        </w:rPr>
        <w:t xml:space="preserve">vitit 2018 </w:t>
      </w:r>
      <w:r w:rsidRPr="00A037C5">
        <w:rPr>
          <w:rFonts w:ascii="Garamond" w:hAnsi="Garamond"/>
          <w:szCs w:val="14"/>
          <w:lang w:val="it-IT"/>
        </w:rPr>
        <w:t>i</w:t>
      </w:r>
      <w:r w:rsidRPr="00A037C5">
        <w:rPr>
          <w:rFonts w:ascii="Garamond" w:hAnsi="Garamond"/>
          <w:szCs w:val="14"/>
        </w:rPr>
        <w:t xml:space="preserve"> Komisionit E</w:t>
      </w:r>
      <w:r w:rsidRPr="00A037C5">
        <w:rPr>
          <w:rFonts w:ascii="Garamond" w:hAnsi="Garamond"/>
          <w:szCs w:val="14"/>
          <w:lang w:val="it-IT"/>
        </w:rPr>
        <w:t>v</w:t>
      </w:r>
      <w:r w:rsidRPr="00A037C5">
        <w:rPr>
          <w:rFonts w:ascii="Garamond" w:hAnsi="Garamond"/>
          <w:szCs w:val="14"/>
        </w:rPr>
        <w:t>ropian</w:t>
      </w:r>
    </w:p>
  </w:footnote>
  <w:footnote w:id="4">
    <w:p w14:paraId="5FEF2D17" w14:textId="77777777" w:rsidR="004478B9" w:rsidRPr="001B7BBB" w:rsidRDefault="004478B9" w:rsidP="009824FF">
      <w:pPr>
        <w:pStyle w:val="FootnoteText"/>
        <w:rPr>
          <w:lang w:val="it-IT"/>
        </w:rPr>
      </w:pPr>
      <w:r>
        <w:rPr>
          <w:rStyle w:val="FootnoteReference"/>
        </w:rPr>
        <w:footnoteRef/>
      </w:r>
      <w:r>
        <w:t xml:space="preserve"> </w:t>
      </w:r>
      <w:r w:rsidRPr="001B7BBB">
        <w:rPr>
          <w:lang w:val="it-IT"/>
        </w:rPr>
        <w:t>Studimi “Ekstremizmi I Dhunshëm në Shqipëri 2021, Vlerësim Kombëtar i nxitësve, formave dhe rreziqeve” -IDM</w:t>
      </w:r>
    </w:p>
  </w:footnote>
  <w:footnote w:id="5">
    <w:p w14:paraId="5FEF2D18" w14:textId="36A5AEE4" w:rsidR="004478B9" w:rsidRPr="002D5979" w:rsidRDefault="004478B9" w:rsidP="00893E99">
      <w:pPr>
        <w:shd w:val="clear" w:color="auto" w:fill="FFFFFF"/>
        <w:jc w:val="both"/>
        <w:rPr>
          <w:rFonts w:ascii="Garamond" w:hAnsi="Garamond"/>
          <w:spacing w:val="-1"/>
          <w:sz w:val="20"/>
          <w:szCs w:val="20"/>
          <w:lang w:val="it-IT" w:eastAsia="x-none"/>
        </w:rPr>
      </w:pPr>
      <w:r w:rsidRPr="002D5979">
        <w:rPr>
          <w:rStyle w:val="FootnoteReference"/>
          <w:rFonts w:ascii="Garamond" w:hAnsi="Garamond"/>
          <w:sz w:val="20"/>
          <w:szCs w:val="20"/>
        </w:rPr>
        <w:footnoteRef/>
      </w:r>
      <w:r w:rsidRPr="002D5979">
        <w:rPr>
          <w:rFonts w:ascii="Garamond" w:hAnsi="Garamond"/>
          <w:sz w:val="20"/>
          <w:szCs w:val="20"/>
          <w:lang w:val="it-IT"/>
        </w:rPr>
        <w:t xml:space="preserve"> </w:t>
      </w:r>
      <w:r w:rsidRPr="002D5979">
        <w:rPr>
          <w:rFonts w:ascii="Garamond" w:hAnsi="Garamond"/>
          <w:spacing w:val="-1"/>
          <w:sz w:val="20"/>
          <w:szCs w:val="20"/>
          <w:lang w:val="it-IT" w:eastAsia="x-none"/>
        </w:rPr>
        <w:t xml:space="preserve">Neni </w:t>
      </w:r>
      <w:r w:rsidRPr="002D5979">
        <w:rPr>
          <w:rFonts w:ascii="Garamond" w:hAnsi="Garamond"/>
          <w:spacing w:val="-1"/>
          <w:sz w:val="20"/>
          <w:szCs w:val="20"/>
          <w:lang w:val="it-IT" w:eastAsia="x-none"/>
        </w:rPr>
        <w:t>15. Procedura e brendshme e shpalljes</w:t>
      </w:r>
      <w:r w:rsidR="00C704C5">
        <w:rPr>
          <w:rFonts w:ascii="Garamond" w:hAnsi="Garamond"/>
          <w:spacing w:val="-1"/>
          <w:sz w:val="20"/>
          <w:szCs w:val="20"/>
          <w:lang w:val="it-IT" w:eastAsia="x-none"/>
        </w:rPr>
        <w:t>.</w:t>
      </w:r>
      <w:r w:rsidRPr="002D5979">
        <w:rPr>
          <w:rFonts w:ascii="Garamond" w:hAnsi="Garamond"/>
          <w:spacing w:val="-1"/>
          <w:sz w:val="20"/>
          <w:szCs w:val="20"/>
          <w:lang w:val="it-IT" w:eastAsia="x-none"/>
        </w:rPr>
        <w:t xml:space="preserve"> </w:t>
      </w:r>
    </w:p>
    <w:p w14:paraId="5FEF2D19" w14:textId="77777777" w:rsidR="004478B9" w:rsidRPr="002D5979" w:rsidRDefault="004478B9" w:rsidP="00893E99">
      <w:pPr>
        <w:shd w:val="clear" w:color="auto" w:fill="FFFFFF"/>
        <w:jc w:val="both"/>
        <w:rPr>
          <w:rFonts w:ascii="Garamond" w:hAnsi="Garamond"/>
          <w:spacing w:val="-1"/>
          <w:sz w:val="20"/>
          <w:szCs w:val="20"/>
          <w:lang w:val="it-IT" w:eastAsia="x-none"/>
        </w:rPr>
      </w:pPr>
      <w:r w:rsidRPr="002D5979">
        <w:rPr>
          <w:rFonts w:ascii="Garamond" w:hAnsi="Garamond"/>
          <w:spacing w:val="-1"/>
          <w:sz w:val="20"/>
          <w:szCs w:val="20"/>
          <w:lang w:val="it-IT" w:eastAsia="x-none"/>
        </w:rPr>
        <w:t>Organet përgjegjëse, organet e zbatimit të ligjit, shërbimet informative, Ministria e Punëve të Jashtme dhe Drejtoria e Përgjithshme e Parandalimit të Pastrimit të Parave që, gjatë ushtrimit të detyrave dhe funksioneve të tyre, kanë marrë dijeni ose kanë dyshime të bazuara në indicie për përfshirje personash, në çdo formë, në vepra të terrorizmit dhe të financimit të tij, të kryera apo që tentohet të kryhen, brenda ose jashtë territorit të Republikës së Shqipërisë, janë të detyruara t’i propozojnë menjëherë Ministrit të Financave përfshirjen e tyre në listën e personave të shpallur, si dhe marrjen e masave të parashikuara në këtë ligj.</w:t>
      </w:r>
    </w:p>
    <w:p w14:paraId="5FEF2D1A" w14:textId="77777777" w:rsidR="004478B9" w:rsidRPr="002D5979" w:rsidRDefault="004478B9" w:rsidP="00893E99">
      <w:pPr>
        <w:shd w:val="clear" w:color="auto" w:fill="FFFFFF"/>
        <w:jc w:val="both"/>
        <w:rPr>
          <w:rFonts w:ascii="Garamond" w:hAnsi="Garamond"/>
          <w:spacing w:val="-1"/>
          <w:sz w:val="20"/>
          <w:szCs w:val="20"/>
          <w:lang w:val="it-IT" w:eastAsia="x-none"/>
        </w:rPr>
      </w:pPr>
      <w:r w:rsidRPr="002D5979">
        <w:rPr>
          <w:rFonts w:ascii="Garamond" w:hAnsi="Garamond"/>
          <w:spacing w:val="-1"/>
          <w:sz w:val="20"/>
          <w:szCs w:val="20"/>
          <w:lang w:val="it-IT" w:eastAsia="x-none"/>
        </w:rPr>
        <w:t>Për shqyrtimin e rasteve të propozuara, sipas pikës 1 të këtij neni, dhe ato të parashikuara në pikën 2 të nenit 5 të këtij ligji, Ministri i Financave mund të thërrasë një komitet të posaçëm këshillimor, me përfaqësues në nivel të lartë drejtues nga Ministria e Brendshme, Ministria e Punëve të Jashtme, Ministria e Drejtësisë, Ministria e Mbrojtjes, Prokuroria e Përgjithshme, Shërbimi Informativ i Shtetit, Banka e Shqipërisë dhe Drejtoria e Përgjithshme e Parandalimit të Pastrimit të Parave.</w:t>
      </w:r>
    </w:p>
    <w:p w14:paraId="5FEF2D1B" w14:textId="77777777" w:rsidR="004478B9" w:rsidRPr="002D5979" w:rsidRDefault="004478B9" w:rsidP="00893E99">
      <w:pPr>
        <w:shd w:val="clear" w:color="auto" w:fill="FFFFFF"/>
        <w:jc w:val="both"/>
        <w:rPr>
          <w:rFonts w:ascii="Garamond" w:hAnsi="Garamond"/>
          <w:spacing w:val="-1"/>
          <w:sz w:val="20"/>
          <w:szCs w:val="20"/>
          <w:lang w:val="it-IT" w:eastAsia="x-none"/>
        </w:rPr>
      </w:pPr>
      <w:r w:rsidRPr="002D5979">
        <w:rPr>
          <w:rFonts w:ascii="Garamond" w:hAnsi="Garamond"/>
          <w:spacing w:val="-1"/>
          <w:sz w:val="20"/>
          <w:szCs w:val="20"/>
          <w:lang w:val="it-IT" w:eastAsia="x-none"/>
        </w:rPr>
        <w:t>Ministri i Financave mund t’i propozojë Këshillit të Ministrave përfshirjen e personave të propozuar sipas pikës 1 të këtij neni, në listën e personave të shpallur.</w:t>
      </w:r>
    </w:p>
    <w:p w14:paraId="5FEF2D1C" w14:textId="59C35B9E" w:rsidR="004478B9" w:rsidRPr="002D5979" w:rsidRDefault="004478B9" w:rsidP="00893E99">
      <w:pPr>
        <w:shd w:val="clear" w:color="auto" w:fill="FFFFFF"/>
        <w:jc w:val="both"/>
        <w:rPr>
          <w:rFonts w:ascii="Garamond" w:hAnsi="Garamond"/>
          <w:spacing w:val="-1"/>
          <w:sz w:val="20"/>
          <w:szCs w:val="20"/>
          <w:lang w:val="it-IT" w:eastAsia="x-none"/>
        </w:rPr>
      </w:pPr>
      <w:r w:rsidRPr="002D5979">
        <w:rPr>
          <w:rFonts w:ascii="Garamond" w:hAnsi="Garamond"/>
          <w:spacing w:val="-1"/>
          <w:sz w:val="20"/>
          <w:szCs w:val="20"/>
          <w:lang w:val="it-IT" w:eastAsia="x-none"/>
        </w:rPr>
        <w:t xml:space="preserve">Këshilli i Ministrave, brenda 15 ditëve nga marrja e propozimit nga </w:t>
      </w:r>
      <w:r w:rsidR="00BF041F">
        <w:rPr>
          <w:rFonts w:ascii="Garamond" w:hAnsi="Garamond"/>
          <w:spacing w:val="-1"/>
          <w:sz w:val="20"/>
          <w:szCs w:val="20"/>
          <w:lang w:val="it-IT" w:eastAsia="x-none"/>
        </w:rPr>
        <w:t>m</w:t>
      </w:r>
      <w:r w:rsidRPr="002D5979">
        <w:rPr>
          <w:rFonts w:ascii="Garamond" w:hAnsi="Garamond"/>
          <w:spacing w:val="-1"/>
          <w:sz w:val="20"/>
          <w:szCs w:val="20"/>
          <w:lang w:val="it-IT" w:eastAsia="x-none"/>
        </w:rPr>
        <w:t xml:space="preserve">inistri i Financave, mund të vendosë për përfshirjen e personave apo subjekteve të propozuara nga </w:t>
      </w:r>
      <w:r w:rsidR="00BF041F">
        <w:rPr>
          <w:rFonts w:ascii="Garamond" w:hAnsi="Garamond"/>
          <w:spacing w:val="-1"/>
          <w:sz w:val="20"/>
          <w:szCs w:val="20"/>
          <w:lang w:val="it-IT" w:eastAsia="x-none"/>
        </w:rPr>
        <w:t>m</w:t>
      </w:r>
      <w:r w:rsidRPr="002D5979">
        <w:rPr>
          <w:rFonts w:ascii="Garamond" w:hAnsi="Garamond"/>
          <w:spacing w:val="-1"/>
          <w:sz w:val="20"/>
          <w:szCs w:val="20"/>
          <w:lang w:val="it-IT" w:eastAsia="x-none"/>
        </w:rPr>
        <w:t>inistri i Financave, sipas pikës 3 të këtij neni, në listën e personave të shpallur.</w:t>
      </w:r>
    </w:p>
  </w:footnote>
  <w:footnote w:id="6">
    <w:p w14:paraId="5FEF2D1D" w14:textId="747498E8" w:rsidR="004478B9" w:rsidRPr="002D5979" w:rsidRDefault="004478B9" w:rsidP="00893E99">
      <w:pPr>
        <w:pStyle w:val="FootnoteText"/>
        <w:jc w:val="both"/>
        <w:rPr>
          <w:rFonts w:ascii="Garamond" w:hAnsi="Garamond"/>
        </w:rPr>
      </w:pPr>
      <w:r w:rsidRPr="002D5979">
        <w:rPr>
          <w:rStyle w:val="FootnoteReference"/>
          <w:rFonts w:ascii="Garamond" w:hAnsi="Garamond"/>
        </w:rPr>
        <w:footnoteRef/>
      </w:r>
      <w:r w:rsidRPr="002D5979">
        <w:rPr>
          <w:rFonts w:ascii="Garamond" w:hAnsi="Garamond"/>
        </w:rPr>
        <w:t xml:space="preserve"> </w:t>
      </w:r>
      <w:r w:rsidRPr="002D5979">
        <w:rPr>
          <w:rFonts w:ascii="Garamond" w:hAnsi="Garamond"/>
        </w:rPr>
        <w:t>Rezolutë bazë me karakter të përgjithshëm e cila ju bën thirrje shteteve që të bashkëpunojnë, detektojnë dhe të bëjnë propozime për listim në KS të OKB</w:t>
      </w:r>
      <w:r w:rsidR="00BF041F">
        <w:rPr>
          <w:rFonts w:ascii="Garamond" w:hAnsi="Garamond"/>
        </w:rPr>
        <w:t>-së</w:t>
      </w:r>
      <w:r w:rsidRPr="002D5979">
        <w:rPr>
          <w:rFonts w:ascii="Garamond" w:hAnsi="Garamond"/>
        </w:rPr>
        <w:t xml:space="preserve"> për personat e dyshuar si terrorist/financues etj.</w:t>
      </w:r>
    </w:p>
  </w:footnote>
  <w:footnote w:id="7">
    <w:p w14:paraId="5FEF2D1E" w14:textId="77777777" w:rsidR="004478B9" w:rsidRPr="002D5979" w:rsidRDefault="004478B9" w:rsidP="00893E99">
      <w:pPr>
        <w:shd w:val="clear" w:color="auto" w:fill="FFFFFF"/>
        <w:ind w:right="5"/>
        <w:jc w:val="both"/>
        <w:rPr>
          <w:rFonts w:ascii="Garamond" w:hAnsi="Garamond"/>
          <w:spacing w:val="-4"/>
          <w:sz w:val="20"/>
          <w:szCs w:val="20"/>
          <w:lang w:val="it-IT"/>
        </w:rPr>
      </w:pPr>
      <w:r w:rsidRPr="002D5979">
        <w:rPr>
          <w:rStyle w:val="FootnoteReference"/>
          <w:rFonts w:ascii="Garamond" w:hAnsi="Garamond"/>
          <w:sz w:val="20"/>
          <w:szCs w:val="20"/>
        </w:rPr>
        <w:footnoteRef/>
      </w:r>
      <w:r w:rsidRPr="002D5979">
        <w:rPr>
          <w:rFonts w:ascii="Garamond" w:hAnsi="Garamond"/>
          <w:sz w:val="20"/>
          <w:szCs w:val="20"/>
          <w:lang w:val="it-IT"/>
        </w:rPr>
        <w:t xml:space="preserve"> </w:t>
      </w:r>
      <w:r w:rsidRPr="002D5979">
        <w:rPr>
          <w:rFonts w:ascii="Garamond" w:hAnsi="Garamond"/>
          <w:spacing w:val="-4"/>
          <w:sz w:val="20"/>
          <w:szCs w:val="20"/>
          <w:lang w:val="it-IT"/>
        </w:rPr>
        <w:t>Neni 26</w:t>
      </w:r>
      <w:r w:rsidRPr="002D5979">
        <w:rPr>
          <w:rFonts w:ascii="Garamond" w:hAnsi="Garamond"/>
          <w:sz w:val="20"/>
          <w:szCs w:val="20"/>
          <w:lang w:val="it-IT"/>
        </w:rPr>
        <w:t xml:space="preserve"> </w:t>
      </w:r>
      <w:r w:rsidRPr="002D5979">
        <w:rPr>
          <w:rFonts w:ascii="Garamond" w:hAnsi="Garamond"/>
          <w:bCs/>
          <w:spacing w:val="-4"/>
          <w:sz w:val="20"/>
          <w:szCs w:val="20"/>
          <w:lang w:val="it-IT"/>
        </w:rPr>
        <w:t>Procedimi penal dhe pasuror</w:t>
      </w:r>
      <w:r w:rsidRPr="002D5979">
        <w:rPr>
          <w:rFonts w:ascii="Garamond" w:hAnsi="Garamond"/>
          <w:sz w:val="20"/>
          <w:szCs w:val="20"/>
          <w:lang w:val="it-IT"/>
        </w:rPr>
        <w:t xml:space="preserve">. “Pavarësisht nga zbatimi i dispozitave të këtij ligji, prokuroria dhe gjykata, në zbatim të dispozitave procedurale penale apo atyre të ligjit nr. 10 192, datë 3.12.2009, “Për parandalimin dhe </w:t>
      </w:r>
      <w:r w:rsidRPr="002D5979">
        <w:rPr>
          <w:rFonts w:ascii="Garamond" w:hAnsi="Garamond"/>
          <w:spacing w:val="-3"/>
          <w:sz w:val="20"/>
          <w:szCs w:val="20"/>
          <w:lang w:val="it-IT"/>
        </w:rPr>
        <w:t xml:space="preserve">goditjen e krimit të organizuar dhe trafikimit nëpërmjet masave parandaluese kundër pasurisë”, mund të procedojnë me sekuestrimin dhe konfiskimin e fondeve dhe të pasurive të tjera të bllokuara përkohësisht </w:t>
      </w:r>
      <w:r w:rsidRPr="002D5979">
        <w:rPr>
          <w:rFonts w:ascii="Garamond" w:hAnsi="Garamond"/>
          <w:sz w:val="20"/>
          <w:szCs w:val="20"/>
          <w:lang w:val="it-IT"/>
        </w:rPr>
        <w:t xml:space="preserve">ose të sekuestruara, në zbatim të këtij </w:t>
      </w:r>
      <w:r w:rsidRPr="002D5979">
        <w:rPr>
          <w:rFonts w:ascii="Garamond" w:hAnsi="Garamond"/>
          <w:spacing w:val="-4"/>
          <w:sz w:val="20"/>
          <w:szCs w:val="20"/>
          <w:lang w:val="it-IT"/>
        </w:rPr>
        <w:t>ligji”</w:t>
      </w:r>
    </w:p>
  </w:footnote>
  <w:footnote w:id="8">
    <w:p w14:paraId="5FEF2D1F" w14:textId="268458CB" w:rsidR="004478B9" w:rsidRPr="002D5979" w:rsidRDefault="004478B9" w:rsidP="00893E99">
      <w:pPr>
        <w:pStyle w:val="FootnoteText"/>
        <w:rPr>
          <w:rFonts w:ascii="Garamond" w:hAnsi="Garamond"/>
        </w:rPr>
      </w:pPr>
      <w:r w:rsidRPr="002D5979">
        <w:rPr>
          <w:rStyle w:val="FootnoteReference"/>
          <w:rFonts w:ascii="Garamond" w:hAnsi="Garamond"/>
        </w:rPr>
        <w:footnoteRef/>
      </w:r>
      <w:r w:rsidR="00BF041F">
        <w:rPr>
          <w:rFonts w:ascii="Garamond" w:hAnsi="Garamond"/>
        </w:rPr>
        <w:t xml:space="preserve"> </w:t>
      </w:r>
      <w:r w:rsidR="00BF041F">
        <w:rPr>
          <w:rFonts w:ascii="Garamond" w:hAnsi="Garamond"/>
        </w:rPr>
        <w:t>VKM Nr. 589 datë 1.</w:t>
      </w:r>
      <w:r w:rsidRPr="002D5979">
        <w:rPr>
          <w:rFonts w:ascii="Garamond" w:hAnsi="Garamond"/>
        </w:rPr>
        <w:t>7.2015</w:t>
      </w:r>
    </w:p>
  </w:footnote>
  <w:footnote w:id="9">
    <w:p w14:paraId="5FEF2D20" w14:textId="7DBBBA89" w:rsidR="004478B9" w:rsidRPr="002D5979" w:rsidRDefault="004478B9" w:rsidP="00893E99">
      <w:pPr>
        <w:pStyle w:val="FootnoteText"/>
        <w:rPr>
          <w:rFonts w:ascii="Garamond" w:hAnsi="Garamond"/>
        </w:rPr>
      </w:pPr>
      <w:r w:rsidRPr="002D5979">
        <w:rPr>
          <w:rStyle w:val="FootnoteReference"/>
          <w:rFonts w:ascii="Garamond" w:hAnsi="Garamond"/>
        </w:rPr>
        <w:footnoteRef/>
      </w:r>
      <w:r w:rsidR="00BF041F">
        <w:rPr>
          <w:rFonts w:ascii="Garamond" w:hAnsi="Garamond"/>
        </w:rPr>
        <w:t xml:space="preserve"> </w:t>
      </w:r>
      <w:r w:rsidR="00BF041F">
        <w:rPr>
          <w:rFonts w:ascii="Garamond" w:hAnsi="Garamond"/>
        </w:rPr>
        <w:t xml:space="preserve">VKM Nr. 769 datë </w:t>
      </w:r>
      <w:r w:rsidRPr="002D5979">
        <w:rPr>
          <w:rFonts w:ascii="Garamond" w:hAnsi="Garamond"/>
        </w:rPr>
        <w:t>2.11.2016</w:t>
      </w:r>
    </w:p>
  </w:footnote>
  <w:footnote w:id="10">
    <w:p w14:paraId="5FEF2D21" w14:textId="075214EF" w:rsidR="004478B9" w:rsidRPr="00522071" w:rsidRDefault="004478B9" w:rsidP="00893E99">
      <w:pPr>
        <w:pStyle w:val="FootnoteText"/>
        <w:rPr>
          <w:sz w:val="14"/>
          <w:szCs w:val="14"/>
        </w:rPr>
      </w:pPr>
      <w:r w:rsidRPr="002D5979">
        <w:rPr>
          <w:rStyle w:val="FootnoteReference"/>
          <w:rFonts w:ascii="Garamond" w:hAnsi="Garamond"/>
        </w:rPr>
        <w:footnoteRef/>
      </w:r>
      <w:r w:rsidR="00BF041F">
        <w:rPr>
          <w:rFonts w:ascii="Garamond" w:hAnsi="Garamond"/>
        </w:rPr>
        <w:t xml:space="preserve"> </w:t>
      </w:r>
      <w:r w:rsidR="00BF041F">
        <w:rPr>
          <w:rFonts w:ascii="Garamond" w:hAnsi="Garamond"/>
        </w:rPr>
        <w:t>VKM Nr. 228 datë 21.</w:t>
      </w:r>
      <w:r w:rsidRPr="002D5979">
        <w:rPr>
          <w:rFonts w:ascii="Garamond" w:hAnsi="Garamond"/>
        </w:rPr>
        <w:t>3.2017</w:t>
      </w:r>
    </w:p>
  </w:footnote>
  <w:footnote w:id="11">
    <w:p w14:paraId="5FEF2D22" w14:textId="493B76FB" w:rsidR="004478B9" w:rsidRPr="00D92CD6" w:rsidRDefault="004478B9" w:rsidP="00D92CD6">
      <w:pPr>
        <w:rPr>
          <w:rFonts w:ascii="Garamond" w:hAnsi="Garamond"/>
          <w:sz w:val="20"/>
          <w:szCs w:val="20"/>
          <w:lang w:val="en-US"/>
        </w:rPr>
      </w:pPr>
      <w:r w:rsidRPr="00D92CD6">
        <w:rPr>
          <w:rStyle w:val="FootnoteReference"/>
          <w:rFonts w:ascii="Garamond" w:hAnsi="Garamond"/>
          <w:sz w:val="20"/>
          <w:szCs w:val="20"/>
        </w:rPr>
        <w:footnoteRef/>
      </w:r>
      <w:r w:rsidRPr="00D92CD6">
        <w:rPr>
          <w:rFonts w:ascii="Garamond" w:hAnsi="Garamond"/>
          <w:sz w:val="20"/>
          <w:szCs w:val="20"/>
        </w:rPr>
        <w:t xml:space="preserve"> </w:t>
      </w:r>
      <w:hyperlink r:id="rId1" w:history="1">
        <w:r w:rsidRPr="00D92CD6">
          <w:rPr>
            <w:rStyle w:val="Hyperlink"/>
            <w:rFonts w:ascii="Garamond" w:eastAsiaTheme="majorEastAsia" w:hAnsi="Garamond"/>
            <w:color w:val="auto"/>
            <w:sz w:val="20"/>
            <w:szCs w:val="20"/>
          </w:rPr>
          <w:t>https://neighbourhood-enlargement.ec.europa.eu/system/files/</w:t>
        </w:r>
        <w:r>
          <w:rPr>
            <w:rStyle w:val="Hyperlink"/>
            <w:rFonts w:ascii="Garamond" w:eastAsiaTheme="majorEastAsia" w:hAnsi="Garamond"/>
            <w:color w:val="auto"/>
            <w:sz w:val="20"/>
            <w:szCs w:val="20"/>
          </w:rPr>
          <w:t>2022–</w:t>
        </w:r>
        <w:r w:rsidRPr="00D92CD6">
          <w:rPr>
            <w:rStyle w:val="Hyperlink"/>
            <w:rFonts w:ascii="Garamond" w:eastAsiaTheme="majorEastAsia" w:hAnsi="Garamond"/>
            <w:color w:val="auto"/>
            <w:sz w:val="20"/>
            <w:szCs w:val="20"/>
          </w:rPr>
          <w:t>10/Albania%20Report%202022.pdf</w:t>
        </w:r>
      </w:hyperlink>
    </w:p>
  </w:footnote>
  <w:footnote w:id="12">
    <w:p w14:paraId="5FEF2D23" w14:textId="77777777" w:rsidR="004478B9" w:rsidRPr="00D92CD6" w:rsidRDefault="004478B9" w:rsidP="00893E99">
      <w:pPr>
        <w:pStyle w:val="FootnoteText"/>
        <w:rPr>
          <w:rFonts w:ascii="Garamond" w:hAnsi="Garamond"/>
        </w:rPr>
      </w:pPr>
      <w:r w:rsidRPr="00D92CD6">
        <w:rPr>
          <w:rStyle w:val="FootnoteReference"/>
          <w:rFonts w:ascii="Garamond" w:hAnsi="Garamond"/>
        </w:rPr>
        <w:footnoteRef/>
      </w:r>
      <w:r w:rsidRPr="00D92CD6">
        <w:rPr>
          <w:rFonts w:ascii="Garamond" w:hAnsi="Garamond"/>
        </w:rPr>
        <w:t xml:space="preserve"> </w:t>
      </w:r>
      <w:r w:rsidRPr="00D92CD6">
        <w:rPr>
          <w:rFonts w:ascii="Garamond" w:hAnsi="Garamond"/>
        </w:rPr>
        <w:t>https://www.state.gov/reports/country-reports-on-terrorism-2020/albania/</w:t>
      </w:r>
    </w:p>
  </w:footnote>
  <w:footnote w:id="13">
    <w:p w14:paraId="5FEF2D24" w14:textId="77777777" w:rsidR="004478B9" w:rsidRPr="00D92CD6" w:rsidRDefault="004478B9" w:rsidP="00893E99">
      <w:pPr>
        <w:rPr>
          <w:rFonts w:ascii="Garamond" w:hAnsi="Garamond"/>
          <w:sz w:val="20"/>
          <w:szCs w:val="20"/>
        </w:rPr>
      </w:pPr>
      <w:r w:rsidRPr="00D92CD6">
        <w:rPr>
          <w:rStyle w:val="FootnoteReference"/>
          <w:rFonts w:ascii="Garamond" w:hAnsi="Garamond"/>
          <w:sz w:val="20"/>
          <w:szCs w:val="20"/>
        </w:rPr>
        <w:footnoteRef/>
      </w:r>
      <w:r w:rsidRPr="00D92CD6">
        <w:rPr>
          <w:rFonts w:ascii="Garamond" w:hAnsi="Garamond"/>
          <w:sz w:val="20"/>
          <w:szCs w:val="20"/>
        </w:rPr>
        <w:t xml:space="preserve"> </w:t>
      </w:r>
      <w:hyperlink r:id="rId2" w:history="1">
        <w:r w:rsidRPr="00D92CD6">
          <w:rPr>
            <w:rStyle w:val="Hyperlink"/>
            <w:rFonts w:ascii="Garamond" w:eastAsiaTheme="majorEastAsia" w:hAnsi="Garamond"/>
            <w:sz w:val="20"/>
            <w:szCs w:val="20"/>
          </w:rPr>
          <w:t>https://www.europol.europa.eu/cms/sites/default/files/documents/Tesat_Report_2021_0.pdf</w:t>
        </w:r>
      </w:hyperlink>
    </w:p>
  </w:footnote>
  <w:footnote w:id="14">
    <w:p w14:paraId="5FEF2D25" w14:textId="77777777" w:rsidR="004478B9" w:rsidRPr="00D92CD6" w:rsidRDefault="004478B9" w:rsidP="00D92CD6">
      <w:pPr>
        <w:rPr>
          <w:sz w:val="18"/>
        </w:rPr>
      </w:pPr>
      <w:r w:rsidRPr="00D92CD6">
        <w:rPr>
          <w:rStyle w:val="FootnoteReference"/>
          <w:rFonts w:ascii="Garamond" w:hAnsi="Garamond"/>
          <w:sz w:val="20"/>
          <w:szCs w:val="20"/>
        </w:rPr>
        <w:footnoteRef/>
      </w:r>
      <w:r w:rsidRPr="00D92CD6">
        <w:rPr>
          <w:rFonts w:ascii="Garamond" w:hAnsi="Garamond"/>
          <w:sz w:val="20"/>
          <w:szCs w:val="20"/>
        </w:rPr>
        <w:t xml:space="preserve"> </w:t>
      </w:r>
      <w:hyperlink r:id="rId3" w:history="1">
        <w:r w:rsidRPr="00D92CD6">
          <w:rPr>
            <w:rStyle w:val="Hyperlink"/>
            <w:rFonts w:ascii="Garamond" w:eastAsiaTheme="majorEastAsia" w:hAnsi="Garamond"/>
            <w:sz w:val="20"/>
            <w:szCs w:val="20"/>
          </w:rPr>
          <w:t>https://www.europol.europa.eu/cms/sites/default/files/documents/Tesat_Report_2022_0.pdf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A855B" w14:textId="77777777" w:rsidR="004478B9" w:rsidRDefault="00447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029B"/>
    <w:multiLevelType w:val="hybridMultilevel"/>
    <w:tmpl w:val="5B50939E"/>
    <w:styleLink w:val="WWNum281"/>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61030BDB"/>
    <w:multiLevelType w:val="hybridMultilevel"/>
    <w:tmpl w:val="F432B038"/>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16cid:durableId="1896045456">
    <w:abstractNumId w:val="0"/>
  </w:num>
  <w:num w:numId="2" w16cid:durableId="170906834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54CE"/>
    <w:rsid w:val="00047286"/>
    <w:rsid w:val="00075100"/>
    <w:rsid w:val="000C2409"/>
    <w:rsid w:val="000C5583"/>
    <w:rsid w:val="000E7837"/>
    <w:rsid w:val="000F7BA0"/>
    <w:rsid w:val="00184D59"/>
    <w:rsid w:val="00191621"/>
    <w:rsid w:val="00193187"/>
    <w:rsid w:val="001E6107"/>
    <w:rsid w:val="001F7EF9"/>
    <w:rsid w:val="00203C47"/>
    <w:rsid w:val="002117FE"/>
    <w:rsid w:val="002571F9"/>
    <w:rsid w:val="00264E1C"/>
    <w:rsid w:val="00273BB0"/>
    <w:rsid w:val="00285446"/>
    <w:rsid w:val="00286E78"/>
    <w:rsid w:val="002D53A5"/>
    <w:rsid w:val="002D5979"/>
    <w:rsid w:val="002D69E7"/>
    <w:rsid w:val="002F35AA"/>
    <w:rsid w:val="002F5804"/>
    <w:rsid w:val="00302B58"/>
    <w:rsid w:val="00376FE9"/>
    <w:rsid w:val="0039171D"/>
    <w:rsid w:val="003C2314"/>
    <w:rsid w:val="003E1E3A"/>
    <w:rsid w:val="00403CB5"/>
    <w:rsid w:val="0040645A"/>
    <w:rsid w:val="0041767D"/>
    <w:rsid w:val="00445D51"/>
    <w:rsid w:val="004478B9"/>
    <w:rsid w:val="00484F64"/>
    <w:rsid w:val="00496156"/>
    <w:rsid w:val="004C067D"/>
    <w:rsid w:val="004D4669"/>
    <w:rsid w:val="004E41AF"/>
    <w:rsid w:val="00505A1A"/>
    <w:rsid w:val="00516ED8"/>
    <w:rsid w:val="005400F1"/>
    <w:rsid w:val="00542E89"/>
    <w:rsid w:val="00593ADB"/>
    <w:rsid w:val="005E41AA"/>
    <w:rsid w:val="00607049"/>
    <w:rsid w:val="00613E81"/>
    <w:rsid w:val="00623407"/>
    <w:rsid w:val="006249E3"/>
    <w:rsid w:val="00666444"/>
    <w:rsid w:val="00692F54"/>
    <w:rsid w:val="006A584B"/>
    <w:rsid w:val="006C25D0"/>
    <w:rsid w:val="006D2295"/>
    <w:rsid w:val="006D3973"/>
    <w:rsid w:val="006F7F4C"/>
    <w:rsid w:val="007265E9"/>
    <w:rsid w:val="00764695"/>
    <w:rsid w:val="00795698"/>
    <w:rsid w:val="00797976"/>
    <w:rsid w:val="007A234A"/>
    <w:rsid w:val="007C064A"/>
    <w:rsid w:val="007D3437"/>
    <w:rsid w:val="00802F02"/>
    <w:rsid w:val="008054CE"/>
    <w:rsid w:val="0083073C"/>
    <w:rsid w:val="0083377B"/>
    <w:rsid w:val="0083536D"/>
    <w:rsid w:val="00835973"/>
    <w:rsid w:val="0084704E"/>
    <w:rsid w:val="00876727"/>
    <w:rsid w:val="00893E99"/>
    <w:rsid w:val="008F74CE"/>
    <w:rsid w:val="009824FF"/>
    <w:rsid w:val="00983C07"/>
    <w:rsid w:val="00985056"/>
    <w:rsid w:val="009909EA"/>
    <w:rsid w:val="009A15B3"/>
    <w:rsid w:val="009C4DC2"/>
    <w:rsid w:val="00A037C5"/>
    <w:rsid w:val="00A1019B"/>
    <w:rsid w:val="00A61218"/>
    <w:rsid w:val="00AC030C"/>
    <w:rsid w:val="00B27780"/>
    <w:rsid w:val="00B4110E"/>
    <w:rsid w:val="00B82991"/>
    <w:rsid w:val="00B91F3F"/>
    <w:rsid w:val="00BA71A1"/>
    <w:rsid w:val="00BB353D"/>
    <w:rsid w:val="00BC53EF"/>
    <w:rsid w:val="00BD3AF1"/>
    <w:rsid w:val="00BE0F29"/>
    <w:rsid w:val="00BF041F"/>
    <w:rsid w:val="00C41FAE"/>
    <w:rsid w:val="00C62D65"/>
    <w:rsid w:val="00C704C5"/>
    <w:rsid w:val="00C75B81"/>
    <w:rsid w:val="00C874C0"/>
    <w:rsid w:val="00C950AC"/>
    <w:rsid w:val="00CA234B"/>
    <w:rsid w:val="00CB23C5"/>
    <w:rsid w:val="00CC0F8B"/>
    <w:rsid w:val="00CC1BE1"/>
    <w:rsid w:val="00CC6F5B"/>
    <w:rsid w:val="00CE0ACC"/>
    <w:rsid w:val="00CF54F7"/>
    <w:rsid w:val="00D10A07"/>
    <w:rsid w:val="00D256C8"/>
    <w:rsid w:val="00D6236E"/>
    <w:rsid w:val="00D72184"/>
    <w:rsid w:val="00D845EC"/>
    <w:rsid w:val="00D92CD6"/>
    <w:rsid w:val="00DB4D9C"/>
    <w:rsid w:val="00DD6678"/>
    <w:rsid w:val="00DE5583"/>
    <w:rsid w:val="00DE704B"/>
    <w:rsid w:val="00DF19B0"/>
    <w:rsid w:val="00E2233D"/>
    <w:rsid w:val="00E71DA7"/>
    <w:rsid w:val="00E754C5"/>
    <w:rsid w:val="00E820FD"/>
    <w:rsid w:val="00E86E7D"/>
    <w:rsid w:val="00ED5F82"/>
    <w:rsid w:val="00F03E63"/>
    <w:rsid w:val="00F37036"/>
    <w:rsid w:val="00F41BE5"/>
    <w:rsid w:val="00F53E58"/>
    <w:rsid w:val="00F6012F"/>
    <w:rsid w:val="00F663C6"/>
    <w:rsid w:val="00F87E82"/>
    <w:rsid w:val="00F93667"/>
    <w:rsid w:val="00FA0747"/>
    <w:rsid w:val="00FE2E55"/>
    <w:rsid w:val="00FF11BA"/>
    <w:rsid w:val="00FF5F17"/>
    <w:rsid w:val="00FF6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F3F2"/>
  <w15:docId w15:val="{86A906E6-AD56-4475-A49A-8C94B818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04E"/>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1"/>
    <w:qFormat/>
    <w:rsid w:val="00983C07"/>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824F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24F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05A1A"/>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505A1A"/>
    <w:rPr>
      <w:rFonts w:ascii="Times New Roman" w:eastAsia="Times New Roman" w:hAnsi="Times New Roman" w:cs="Times New Roman"/>
      <w:sz w:val="24"/>
      <w:szCs w:val="24"/>
    </w:rPr>
  </w:style>
  <w:style w:type="paragraph" w:customStyle="1" w:styleId="TEKSTIIIII">
    <w:name w:val="TEKSTIIIII"/>
    <w:basedOn w:val="NoSpacing"/>
    <w:qFormat/>
    <w:rsid w:val="00BA71A1"/>
    <w:pPr>
      <w:ind w:firstLine="284"/>
      <w:jc w:val="both"/>
    </w:pPr>
    <w:rPr>
      <w:rFonts w:ascii="Garamond" w:hAnsi="Garamond"/>
      <w:color w:val="000000" w:themeColor="text1"/>
      <w:szCs w:val="80"/>
    </w:rPr>
  </w:style>
  <w:style w:type="character" w:customStyle="1" w:styleId="Heading1Char">
    <w:name w:val="Heading 1 Char"/>
    <w:basedOn w:val="DefaultParagraphFont"/>
    <w:link w:val="Heading1"/>
    <w:uiPriority w:val="9"/>
    <w:rsid w:val="00983C07"/>
    <w:rPr>
      <w:rFonts w:ascii="Cambria" w:eastAsia="Times New Roman" w:hAnsi="Cambria" w:cs="Times New Roman"/>
      <w:b/>
      <w:bCs/>
      <w:color w:val="365F91"/>
      <w:sz w:val="28"/>
      <w:szCs w:val="28"/>
      <w:lang w:val="sq-AL"/>
    </w:rPr>
  </w:style>
  <w:style w:type="character" w:customStyle="1" w:styleId="Heading2Char">
    <w:name w:val="Heading 2 Char"/>
    <w:basedOn w:val="DefaultParagraphFont"/>
    <w:link w:val="Heading2"/>
    <w:rsid w:val="009824FF"/>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basedOn w:val="DefaultParagraphFont"/>
    <w:link w:val="Heading3"/>
    <w:uiPriority w:val="9"/>
    <w:rsid w:val="009824FF"/>
    <w:rPr>
      <w:rFonts w:asciiTheme="majorHAnsi" w:eastAsiaTheme="majorEastAsia" w:hAnsiTheme="majorHAnsi" w:cstheme="majorBidi"/>
      <w:b/>
      <w:bCs/>
      <w:color w:val="4F81BD" w:themeColor="accent1"/>
      <w:sz w:val="24"/>
      <w:szCs w:val="24"/>
      <w:lang w:val="sq-AL"/>
    </w:rPr>
  </w:style>
  <w:style w:type="paragraph" w:styleId="Header">
    <w:name w:val="header"/>
    <w:basedOn w:val="Normal"/>
    <w:link w:val="HeaderChar"/>
    <w:uiPriority w:val="99"/>
    <w:unhideWhenUsed/>
    <w:rsid w:val="009824FF"/>
    <w:pPr>
      <w:tabs>
        <w:tab w:val="center" w:pos="4320"/>
        <w:tab w:val="right" w:pos="8640"/>
      </w:tabs>
    </w:pPr>
  </w:style>
  <w:style w:type="character" w:customStyle="1" w:styleId="HeaderChar">
    <w:name w:val="Header Char"/>
    <w:basedOn w:val="DefaultParagraphFont"/>
    <w:link w:val="Header"/>
    <w:uiPriority w:val="99"/>
    <w:rsid w:val="009824FF"/>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9824FF"/>
    <w:pPr>
      <w:tabs>
        <w:tab w:val="center" w:pos="4320"/>
        <w:tab w:val="right" w:pos="8640"/>
      </w:tabs>
    </w:pPr>
  </w:style>
  <w:style w:type="character" w:customStyle="1" w:styleId="FooterChar">
    <w:name w:val="Footer Char"/>
    <w:basedOn w:val="DefaultParagraphFont"/>
    <w:link w:val="Footer"/>
    <w:uiPriority w:val="99"/>
    <w:rsid w:val="009824FF"/>
    <w:rPr>
      <w:rFonts w:ascii="Times New Roman" w:eastAsia="Times New Roman" w:hAnsi="Times New Roman" w:cs="Times New Roman"/>
      <w:sz w:val="24"/>
      <w:szCs w:val="24"/>
      <w:lang w:val="sq-AL"/>
    </w:rPr>
  </w:style>
  <w:style w:type="character" w:styleId="Hyperlink">
    <w:name w:val="Hyperlink"/>
    <w:uiPriority w:val="99"/>
    <w:rsid w:val="009824FF"/>
    <w:rPr>
      <w:color w:val="0000FF"/>
      <w:u w:val="single"/>
    </w:rPr>
  </w:style>
  <w:style w:type="table" w:styleId="TableGrid">
    <w:name w:val="Table Grid"/>
    <w:basedOn w:val="TableNormal"/>
    <w:uiPriority w:val="59"/>
    <w:rsid w:val="009824FF"/>
    <w:pPr>
      <w:spacing w:after="0" w:line="240" w:lineRule="auto"/>
    </w:pPr>
    <w:rPr>
      <w:rFonts w:ascii="Calibri" w:eastAsia="Calibri" w:hAnsi="Calibri" w:cs="Times New Roman"/>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Normal 1,List Paragraph2,List Paragraph (numbered (a)),Dot pt,F5 List Paragraph,List Paragraph Char Char Char,Indicator Text,Numbered Para 1,Bullet 1,Bullet Points,MAIN CONTENT,Párrafo de lista,Recommendation,No Spacing1,List Paragraph1,L"/>
    <w:basedOn w:val="Normal"/>
    <w:link w:val="ListParagraphChar"/>
    <w:uiPriority w:val="34"/>
    <w:qFormat/>
    <w:rsid w:val="009824FF"/>
    <w:pPr>
      <w:ind w:left="720"/>
      <w:contextualSpacing/>
    </w:pPr>
  </w:style>
  <w:style w:type="paragraph" w:styleId="BalloonText">
    <w:name w:val="Balloon Text"/>
    <w:basedOn w:val="Normal"/>
    <w:link w:val="BalloonTextChar"/>
    <w:uiPriority w:val="99"/>
    <w:unhideWhenUsed/>
    <w:rsid w:val="009824FF"/>
    <w:rPr>
      <w:rFonts w:ascii="Tahoma" w:hAnsi="Tahoma" w:cs="Tahoma"/>
      <w:sz w:val="16"/>
      <w:szCs w:val="16"/>
    </w:rPr>
  </w:style>
  <w:style w:type="character" w:customStyle="1" w:styleId="BalloonTextChar">
    <w:name w:val="Balloon Text Char"/>
    <w:basedOn w:val="DefaultParagraphFont"/>
    <w:link w:val="BalloonText"/>
    <w:uiPriority w:val="99"/>
    <w:rsid w:val="009824FF"/>
    <w:rPr>
      <w:rFonts w:ascii="Tahoma" w:eastAsia="Times New Roman" w:hAnsi="Tahoma" w:cs="Tahoma"/>
      <w:sz w:val="16"/>
      <w:szCs w:val="16"/>
      <w:lang w:val="sq-AL"/>
    </w:rPr>
  </w:style>
  <w:style w:type="numbering" w:customStyle="1" w:styleId="WWNum281">
    <w:name w:val="WWNum281"/>
    <w:basedOn w:val="NoList"/>
    <w:rsid w:val="009824FF"/>
    <w:pPr>
      <w:numPr>
        <w:numId w:val="1"/>
      </w:numPr>
    </w:pPr>
  </w:style>
  <w:style w:type="paragraph" w:customStyle="1" w:styleId="Default">
    <w:name w:val="Default"/>
    <w:rsid w:val="009824F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M5">
    <w:name w:val="CM5"/>
    <w:basedOn w:val="Default"/>
    <w:next w:val="Default"/>
    <w:uiPriority w:val="99"/>
    <w:rsid w:val="009824FF"/>
    <w:rPr>
      <w:color w:val="auto"/>
    </w:rPr>
  </w:style>
  <w:style w:type="paragraph" w:customStyle="1" w:styleId="CM3">
    <w:name w:val="CM3"/>
    <w:basedOn w:val="Default"/>
    <w:next w:val="Default"/>
    <w:uiPriority w:val="99"/>
    <w:rsid w:val="009824FF"/>
    <w:rPr>
      <w:color w:val="auto"/>
    </w:rPr>
  </w:style>
  <w:style w:type="character" w:customStyle="1" w:styleId="arial14">
    <w:name w:val="arial14"/>
    <w:basedOn w:val="DefaultParagraphFont"/>
    <w:rsid w:val="009824FF"/>
  </w:style>
  <w:style w:type="character" w:customStyle="1" w:styleId="iceouttxt">
    <w:name w:val="iceouttxt"/>
    <w:basedOn w:val="DefaultParagraphFont"/>
    <w:rsid w:val="009824FF"/>
  </w:style>
  <w:style w:type="character" w:customStyle="1" w:styleId="ListParagraphChar">
    <w:name w:val="List Paragraph Char"/>
    <w:aliases w:val="Normal 1 Char,List Paragraph2 Char,List Paragraph (numbered (a)) Char,Dot pt Char,F5 List Paragraph Char,List Paragraph Char Char Char Char,Indicator Text Char,Numbered Para 1 Char,Bullet 1 Char,Bullet Points Char,MAIN CONTENT Char"/>
    <w:link w:val="ListParagraph"/>
    <w:uiPriority w:val="34"/>
    <w:qFormat/>
    <w:rsid w:val="009824FF"/>
    <w:rPr>
      <w:rFonts w:ascii="Times New Roman" w:eastAsia="Times New Roman" w:hAnsi="Times New Roman" w:cs="Times New Roman"/>
      <w:sz w:val="24"/>
      <w:szCs w:val="24"/>
      <w:lang w:val="sq-AL"/>
    </w:rPr>
  </w:style>
  <w:style w:type="paragraph" w:styleId="BodyText">
    <w:name w:val="Body Text"/>
    <w:basedOn w:val="Normal"/>
    <w:link w:val="BodyTextChar"/>
    <w:uiPriority w:val="1"/>
    <w:qFormat/>
    <w:rsid w:val="009824FF"/>
    <w:pPr>
      <w:jc w:val="both"/>
    </w:pPr>
  </w:style>
  <w:style w:type="character" w:customStyle="1" w:styleId="BodyTextChar">
    <w:name w:val="Body Text Char"/>
    <w:basedOn w:val="DefaultParagraphFont"/>
    <w:link w:val="BodyText"/>
    <w:uiPriority w:val="1"/>
    <w:rsid w:val="009824FF"/>
    <w:rPr>
      <w:rFonts w:ascii="Times New Roman" w:eastAsia="Times New Roman" w:hAnsi="Times New Roman" w:cs="Times New Roman"/>
      <w:sz w:val="24"/>
      <w:szCs w:val="24"/>
      <w:lang w:val="sq-AL"/>
    </w:rPr>
  </w:style>
  <w:style w:type="paragraph" w:styleId="Title">
    <w:name w:val="Title"/>
    <w:basedOn w:val="Normal"/>
    <w:next w:val="Normal"/>
    <w:link w:val="TitleChar"/>
    <w:qFormat/>
    <w:rsid w:val="009824FF"/>
    <w:pPr>
      <w:widowControl w:val="0"/>
      <w:autoSpaceDE w:val="0"/>
      <w:autoSpaceDN w:val="0"/>
      <w:adjustRightInd w:val="0"/>
      <w:spacing w:before="240" w:after="60"/>
      <w:jc w:val="center"/>
      <w:outlineLvl w:val="0"/>
    </w:pPr>
    <w:rPr>
      <w:rFonts w:ascii="Cambria" w:hAnsi="Cambria"/>
      <w:b/>
      <w:bCs/>
      <w:kern w:val="28"/>
      <w:sz w:val="32"/>
      <w:szCs w:val="32"/>
      <w:lang w:val="tr-TR" w:eastAsia="tr-TR"/>
    </w:rPr>
  </w:style>
  <w:style w:type="character" w:customStyle="1" w:styleId="TitleChar">
    <w:name w:val="Title Char"/>
    <w:basedOn w:val="DefaultParagraphFont"/>
    <w:link w:val="Title"/>
    <w:rsid w:val="009824FF"/>
    <w:rPr>
      <w:rFonts w:ascii="Cambria" w:eastAsia="Times New Roman" w:hAnsi="Cambria" w:cs="Times New Roman"/>
      <w:b/>
      <w:bCs/>
      <w:kern w:val="28"/>
      <w:sz w:val="32"/>
      <w:szCs w:val="32"/>
      <w:lang w:val="tr-TR" w:eastAsia="tr-TR"/>
    </w:rPr>
  </w:style>
  <w:style w:type="paragraph" w:customStyle="1" w:styleId="CM14">
    <w:name w:val="CM14"/>
    <w:basedOn w:val="Default"/>
    <w:next w:val="Default"/>
    <w:uiPriority w:val="99"/>
    <w:rsid w:val="009824FF"/>
    <w:rPr>
      <w:color w:val="auto"/>
    </w:rPr>
  </w:style>
  <w:style w:type="paragraph" w:customStyle="1" w:styleId="CM1">
    <w:name w:val="CM1"/>
    <w:basedOn w:val="Default"/>
    <w:next w:val="Default"/>
    <w:uiPriority w:val="99"/>
    <w:rsid w:val="009824FF"/>
    <w:rPr>
      <w:color w:val="auto"/>
    </w:rPr>
  </w:style>
  <w:style w:type="paragraph" w:customStyle="1" w:styleId="CM15">
    <w:name w:val="CM15"/>
    <w:basedOn w:val="Default"/>
    <w:next w:val="Default"/>
    <w:uiPriority w:val="99"/>
    <w:rsid w:val="009824FF"/>
    <w:rPr>
      <w:color w:val="auto"/>
    </w:rPr>
  </w:style>
  <w:style w:type="paragraph" w:customStyle="1" w:styleId="LightGrid-Accent31">
    <w:name w:val="Light Grid - Accent 31"/>
    <w:basedOn w:val="Normal"/>
    <w:link w:val="LightGrid-Accent3Char"/>
    <w:uiPriority w:val="34"/>
    <w:qFormat/>
    <w:rsid w:val="009824FF"/>
    <w:pPr>
      <w:spacing w:after="200" w:line="276" w:lineRule="auto"/>
      <w:ind w:left="720"/>
      <w:contextualSpacing/>
    </w:pPr>
    <w:rPr>
      <w:rFonts w:ascii="Calibri" w:hAnsi="Calibri"/>
      <w:sz w:val="22"/>
      <w:szCs w:val="22"/>
      <w:lang w:val="en-US"/>
    </w:rPr>
  </w:style>
  <w:style w:type="character" w:customStyle="1" w:styleId="LightGrid-Accent3Char">
    <w:name w:val="Light Grid - Accent 3 Char"/>
    <w:link w:val="LightGrid-Accent31"/>
    <w:uiPriority w:val="34"/>
    <w:locked/>
    <w:rsid w:val="009824FF"/>
    <w:rPr>
      <w:rFonts w:ascii="Calibri" w:eastAsia="Times New Roman" w:hAnsi="Calibri" w:cs="Times New Roman"/>
    </w:rPr>
  </w:style>
  <w:style w:type="paragraph" w:customStyle="1" w:styleId="MediumGrid2-Accent11">
    <w:name w:val="Medium Grid 2 - Accent 11"/>
    <w:uiPriority w:val="1"/>
    <w:qFormat/>
    <w:rsid w:val="009824FF"/>
    <w:pPr>
      <w:spacing w:after="0" w:line="240" w:lineRule="auto"/>
    </w:pPr>
    <w:rPr>
      <w:rFonts w:ascii="Calibri" w:eastAsia="Calibri" w:hAnsi="Calibri" w:cs="Times New Roman"/>
      <w:lang w:val="en-GB"/>
    </w:rPr>
  </w:style>
  <w:style w:type="paragraph" w:customStyle="1" w:styleId="MediumShading1-Accent21">
    <w:name w:val="Medium Shading 1 - Accent 21"/>
    <w:uiPriority w:val="1"/>
    <w:qFormat/>
    <w:rsid w:val="009824FF"/>
    <w:pPr>
      <w:spacing w:after="0" w:line="240" w:lineRule="auto"/>
    </w:pPr>
    <w:rPr>
      <w:rFonts w:ascii="Calibri" w:eastAsia="Calibri" w:hAnsi="Calibri" w:cs="Times New Roman"/>
      <w:lang w:val="en-GB"/>
    </w:rPr>
  </w:style>
  <w:style w:type="paragraph" w:customStyle="1" w:styleId="ColorfulShading-Accent31">
    <w:name w:val="Colorful Shading - Accent 31"/>
    <w:basedOn w:val="Normal"/>
    <w:link w:val="ColorfulShading-Accent3Char"/>
    <w:uiPriority w:val="34"/>
    <w:qFormat/>
    <w:rsid w:val="009824FF"/>
    <w:pPr>
      <w:spacing w:after="200" w:line="276" w:lineRule="auto"/>
      <w:ind w:left="720"/>
      <w:contextualSpacing/>
    </w:pPr>
    <w:rPr>
      <w:rFonts w:ascii="Calibri" w:hAnsi="Calibri"/>
      <w:sz w:val="22"/>
      <w:szCs w:val="22"/>
      <w:lang w:val="en-US"/>
    </w:rPr>
  </w:style>
  <w:style w:type="character" w:customStyle="1" w:styleId="ColorfulShading-Accent3Char">
    <w:name w:val="Colorful Shading - Accent 3 Char"/>
    <w:link w:val="ColorfulShading-Accent31"/>
    <w:uiPriority w:val="34"/>
    <w:locked/>
    <w:rsid w:val="009824FF"/>
    <w:rPr>
      <w:rFonts w:ascii="Calibri" w:eastAsia="Times New Roman" w:hAnsi="Calibri" w:cs="Times New Roman"/>
    </w:rPr>
  </w:style>
  <w:style w:type="paragraph" w:styleId="FootnoteText">
    <w:name w:val="footnote text"/>
    <w:aliases w:val="single space,FOOTNOTES,fn,ADB,WB-Fuﬂnotentext,Footnote,Fuﬂnote,footnote text,WB-Fußnotentext,Fußnote,Footnote Text Char1 Char Char,Footnote Text Char Char Char Char,Footnote Text Char1 Char Char Char Char,ft"/>
    <w:basedOn w:val="Normal"/>
    <w:link w:val="FootnoteTextChar"/>
    <w:uiPriority w:val="99"/>
    <w:unhideWhenUsed/>
    <w:rsid w:val="009824FF"/>
    <w:rPr>
      <w:sz w:val="20"/>
      <w:szCs w:val="20"/>
    </w:rPr>
  </w:style>
  <w:style w:type="character" w:customStyle="1" w:styleId="FootnoteTextChar">
    <w:name w:val="Footnote Text Char"/>
    <w:aliases w:val="single space Char,FOOTNOTES Char,fn Char,ADB Char,WB-Fuﬂnotentext Char,Footnote Char,Fuﬂnote Char,footnote text Char,WB-Fußnotentext Char,Fußnote Char,Footnote Text Char1 Char Char Char,Footnote Text Char Char Char Char Char,ft Char"/>
    <w:basedOn w:val="DefaultParagraphFont"/>
    <w:link w:val="FootnoteText"/>
    <w:uiPriority w:val="99"/>
    <w:rsid w:val="009824FF"/>
    <w:rPr>
      <w:rFonts w:ascii="Times New Roman" w:eastAsia="Times New Roman" w:hAnsi="Times New Roman" w:cs="Times New Roman"/>
      <w:sz w:val="20"/>
      <w:szCs w:val="20"/>
      <w:lang w:val="sq-AL"/>
    </w:rPr>
  </w:style>
  <w:style w:type="character" w:styleId="FootnoteReference">
    <w:name w:val="footnote reference"/>
    <w:aliases w:val="fr,ftref, Char Char,Times 10 Point,Exposant 3 Point,Footnote symbol,Footnote number,Footnote Reference Number,Footnote reference number,Footnote Reference Superscript,EN Footnote Reference,note TESI,Voetnootverwijzing,o,BVI fnr"/>
    <w:link w:val="BVIfnrChar1Char"/>
    <w:uiPriority w:val="99"/>
    <w:unhideWhenUsed/>
    <w:qFormat/>
    <w:rsid w:val="009824FF"/>
    <w:rPr>
      <w:vertAlign w:val="superscript"/>
    </w:rPr>
  </w:style>
  <w:style w:type="paragraph" w:styleId="CommentText">
    <w:name w:val="annotation text"/>
    <w:basedOn w:val="Normal"/>
    <w:link w:val="CommentTextChar"/>
    <w:uiPriority w:val="99"/>
    <w:unhideWhenUsed/>
    <w:rsid w:val="009824FF"/>
    <w:rPr>
      <w:sz w:val="20"/>
      <w:szCs w:val="20"/>
    </w:rPr>
  </w:style>
  <w:style w:type="character" w:customStyle="1" w:styleId="CommentTextChar">
    <w:name w:val="Comment Text Char"/>
    <w:basedOn w:val="DefaultParagraphFont"/>
    <w:link w:val="CommentText"/>
    <w:uiPriority w:val="99"/>
    <w:rsid w:val="009824FF"/>
    <w:rPr>
      <w:rFonts w:ascii="Times New Roman" w:eastAsia="Times New Roman" w:hAnsi="Times New Roman" w:cs="Times New Roman"/>
      <w:sz w:val="20"/>
      <w:szCs w:val="20"/>
      <w:lang w:val="sq-AL"/>
    </w:rPr>
  </w:style>
  <w:style w:type="character" w:styleId="CommentReference">
    <w:name w:val="annotation reference"/>
    <w:uiPriority w:val="99"/>
    <w:semiHidden/>
    <w:unhideWhenUsed/>
    <w:rsid w:val="009824FF"/>
    <w:rPr>
      <w:sz w:val="16"/>
      <w:szCs w:val="16"/>
    </w:rPr>
  </w:style>
  <w:style w:type="paragraph" w:styleId="CommentSubject">
    <w:name w:val="annotation subject"/>
    <w:basedOn w:val="CommentText"/>
    <w:next w:val="CommentText"/>
    <w:link w:val="CommentSubjectChar"/>
    <w:uiPriority w:val="99"/>
    <w:semiHidden/>
    <w:unhideWhenUsed/>
    <w:rsid w:val="009824FF"/>
    <w:rPr>
      <w:b/>
      <w:bCs/>
    </w:rPr>
  </w:style>
  <w:style w:type="character" w:customStyle="1" w:styleId="CommentSubjectChar">
    <w:name w:val="Comment Subject Char"/>
    <w:basedOn w:val="CommentTextChar"/>
    <w:link w:val="CommentSubject"/>
    <w:uiPriority w:val="99"/>
    <w:semiHidden/>
    <w:rsid w:val="009824FF"/>
    <w:rPr>
      <w:rFonts w:ascii="Times New Roman" w:eastAsia="Times New Roman" w:hAnsi="Times New Roman" w:cs="Times New Roman"/>
      <w:b/>
      <w:bCs/>
      <w:sz w:val="20"/>
      <w:szCs w:val="20"/>
      <w:lang w:val="sq-AL"/>
    </w:rPr>
  </w:style>
  <w:style w:type="paragraph" w:styleId="TOC1">
    <w:name w:val="toc 1"/>
    <w:basedOn w:val="Normal"/>
    <w:uiPriority w:val="39"/>
    <w:qFormat/>
    <w:rsid w:val="009824FF"/>
    <w:pPr>
      <w:widowControl w:val="0"/>
      <w:spacing w:before="158"/>
    </w:pPr>
    <w:rPr>
      <w:rFonts w:ascii="Calibri Light" w:eastAsia="Calibri Light" w:hAnsi="Calibri Light"/>
      <w:lang w:val="en-US"/>
    </w:rPr>
  </w:style>
  <w:style w:type="paragraph" w:styleId="TOC2">
    <w:name w:val="toc 2"/>
    <w:basedOn w:val="Normal"/>
    <w:uiPriority w:val="39"/>
    <w:qFormat/>
    <w:rsid w:val="009824FF"/>
    <w:pPr>
      <w:widowControl w:val="0"/>
      <w:spacing w:before="158"/>
      <w:ind w:left="100"/>
    </w:pPr>
    <w:rPr>
      <w:rFonts w:ascii="Calibri Light" w:eastAsia="Calibri Light" w:hAnsi="Calibri Light"/>
      <w:lang w:val="en-US"/>
    </w:rPr>
  </w:style>
  <w:style w:type="paragraph" w:styleId="TOC3">
    <w:name w:val="toc 3"/>
    <w:basedOn w:val="Normal"/>
    <w:uiPriority w:val="39"/>
    <w:qFormat/>
    <w:rsid w:val="009824FF"/>
    <w:pPr>
      <w:widowControl w:val="0"/>
      <w:spacing w:before="158"/>
      <w:ind w:left="820" w:hanging="480"/>
    </w:pPr>
    <w:rPr>
      <w:rFonts w:ascii="Calibri Light" w:eastAsia="Calibri Light" w:hAnsi="Calibri Light"/>
      <w:lang w:val="en-US"/>
    </w:rPr>
  </w:style>
  <w:style w:type="paragraph" w:styleId="TOC4">
    <w:name w:val="toc 4"/>
    <w:basedOn w:val="Normal"/>
    <w:uiPriority w:val="1"/>
    <w:qFormat/>
    <w:rsid w:val="009824FF"/>
    <w:pPr>
      <w:widowControl w:val="0"/>
      <w:spacing w:before="158"/>
      <w:ind w:left="930" w:hanging="351"/>
    </w:pPr>
    <w:rPr>
      <w:rFonts w:ascii="Calibri Light" w:eastAsia="Calibri Light" w:hAnsi="Calibri Light"/>
      <w:lang w:val="en-US"/>
    </w:rPr>
  </w:style>
  <w:style w:type="paragraph" w:customStyle="1" w:styleId="TableParagraph">
    <w:name w:val="Table Paragraph"/>
    <w:basedOn w:val="Normal"/>
    <w:uiPriority w:val="1"/>
    <w:qFormat/>
    <w:rsid w:val="009824FF"/>
    <w:pPr>
      <w:widowControl w:val="0"/>
    </w:pPr>
    <w:rPr>
      <w:rFonts w:ascii="Calibri" w:eastAsia="Calibri" w:hAnsi="Calibri"/>
      <w:sz w:val="22"/>
      <w:szCs w:val="22"/>
      <w:lang w:val="en-US"/>
    </w:rPr>
  </w:style>
  <w:style w:type="paragraph" w:customStyle="1" w:styleId="paragraph">
    <w:name w:val="paragraph"/>
    <w:basedOn w:val="Normal"/>
    <w:rsid w:val="009824FF"/>
    <w:pPr>
      <w:spacing w:before="100" w:beforeAutospacing="1" w:after="100" w:afterAutospacing="1"/>
    </w:pPr>
    <w:rPr>
      <w:lang w:val="en-US"/>
    </w:rPr>
  </w:style>
  <w:style w:type="character" w:customStyle="1" w:styleId="normaltextrun">
    <w:name w:val="normaltextrun"/>
    <w:basedOn w:val="DefaultParagraphFont"/>
    <w:rsid w:val="009824FF"/>
  </w:style>
  <w:style w:type="character" w:customStyle="1" w:styleId="eop">
    <w:name w:val="eop"/>
    <w:basedOn w:val="DefaultParagraphFont"/>
    <w:rsid w:val="009824FF"/>
  </w:style>
  <w:style w:type="paragraph" w:customStyle="1" w:styleId="Qeveria">
    <w:name w:val="Qeveria"/>
    <w:basedOn w:val="Normal"/>
    <w:link w:val="QeveriaChar"/>
    <w:qFormat/>
    <w:rsid w:val="009824FF"/>
    <w:pPr>
      <w:overflowPunct w:val="0"/>
      <w:autoSpaceDE w:val="0"/>
      <w:autoSpaceDN w:val="0"/>
      <w:adjustRightInd w:val="0"/>
      <w:spacing w:line="276" w:lineRule="auto"/>
      <w:jc w:val="both"/>
      <w:textAlignment w:val="baseline"/>
    </w:pPr>
    <w:rPr>
      <w:rFonts w:ascii="Book Antiqua" w:eastAsia="MS Mincho" w:hAnsi="Book Antiqua"/>
      <w:sz w:val="22"/>
      <w:szCs w:val="20"/>
    </w:rPr>
  </w:style>
  <w:style w:type="character" w:customStyle="1" w:styleId="QeveriaChar">
    <w:name w:val="Qeveria Char"/>
    <w:link w:val="Qeveria"/>
    <w:rsid w:val="009824FF"/>
    <w:rPr>
      <w:rFonts w:ascii="Book Antiqua" w:eastAsia="MS Mincho" w:hAnsi="Book Antiqua" w:cs="Times New Roman"/>
      <w:szCs w:val="20"/>
      <w:lang w:val="sq-AL"/>
    </w:rPr>
  </w:style>
  <w:style w:type="character" w:customStyle="1" w:styleId="ParagrafiChar">
    <w:name w:val="Paragrafi Char"/>
    <w:link w:val="Paragrafi"/>
    <w:locked/>
    <w:rsid w:val="009824FF"/>
    <w:rPr>
      <w:rFonts w:ascii="CG Times" w:hAnsi="CG Times"/>
    </w:rPr>
  </w:style>
  <w:style w:type="paragraph" w:customStyle="1" w:styleId="Paragrafi">
    <w:name w:val="Paragrafi"/>
    <w:link w:val="ParagrafiChar"/>
    <w:rsid w:val="009824FF"/>
    <w:pPr>
      <w:widowControl w:val="0"/>
      <w:spacing w:after="0" w:line="240" w:lineRule="auto"/>
      <w:ind w:firstLine="720"/>
      <w:jc w:val="both"/>
    </w:pPr>
    <w:rPr>
      <w:rFonts w:ascii="CG Times" w:hAnsi="CG Times"/>
    </w:rPr>
  </w:style>
  <w:style w:type="character" w:customStyle="1" w:styleId="NumriDataChar">
    <w:name w:val="Numri_Data Char"/>
    <w:link w:val="NumriData"/>
    <w:locked/>
    <w:rsid w:val="009824FF"/>
    <w:rPr>
      <w:rFonts w:ascii="CG Times" w:hAnsi="CG Times"/>
      <w:b/>
      <w:lang w:val="en-GB"/>
    </w:rPr>
  </w:style>
  <w:style w:type="paragraph" w:customStyle="1" w:styleId="NumriData">
    <w:name w:val="Numri_Data"/>
    <w:next w:val="Normal"/>
    <w:link w:val="NumriDataChar"/>
    <w:rsid w:val="009824FF"/>
    <w:pPr>
      <w:keepNext/>
      <w:widowControl w:val="0"/>
      <w:spacing w:after="0" w:line="240" w:lineRule="auto"/>
      <w:jc w:val="center"/>
      <w:outlineLvl w:val="0"/>
    </w:pPr>
    <w:rPr>
      <w:rFonts w:ascii="CG Times" w:hAnsi="CG Times"/>
      <w:b/>
      <w:lang w:val="en-GB"/>
    </w:rPr>
  </w:style>
  <w:style w:type="character" w:customStyle="1" w:styleId="fletorestyle3">
    <w:name w:val="fletorestyle3"/>
    <w:basedOn w:val="DefaultParagraphFont"/>
    <w:rsid w:val="009824FF"/>
  </w:style>
  <w:style w:type="paragraph" w:styleId="ListBullet">
    <w:name w:val="List Bullet"/>
    <w:basedOn w:val="Normal"/>
    <w:rsid w:val="009824FF"/>
    <w:pPr>
      <w:spacing w:after="240"/>
      <w:jc w:val="both"/>
    </w:pPr>
    <w:rPr>
      <w:szCs w:val="20"/>
      <w:lang w:val="en-GB" w:eastAsia="en-GB"/>
    </w:rPr>
  </w:style>
  <w:style w:type="character" w:customStyle="1" w:styleId="tlid-translation">
    <w:name w:val="tlid-translation"/>
    <w:basedOn w:val="DefaultParagraphFont"/>
    <w:rsid w:val="009824FF"/>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9824FF"/>
    <w:pPr>
      <w:spacing w:after="160" w:line="240" w:lineRule="exact"/>
    </w:pPr>
    <w:rPr>
      <w:rFonts w:asciiTheme="minorHAnsi" w:eastAsiaTheme="minorHAnsi" w:hAnsiTheme="minorHAnsi" w:cstheme="minorBidi"/>
      <w:sz w:val="22"/>
      <w:szCs w:val="22"/>
      <w:vertAlign w:val="superscript"/>
      <w:lang w:val="en-US"/>
    </w:rPr>
  </w:style>
  <w:style w:type="paragraph" w:customStyle="1" w:styleId="NoSpacing10">
    <w:name w:val="No Spacing10"/>
    <w:qFormat/>
    <w:rsid w:val="009824FF"/>
    <w:pPr>
      <w:spacing w:after="0" w:line="240" w:lineRule="auto"/>
    </w:pPr>
    <w:rPr>
      <w:rFonts w:ascii="Times New Roman" w:eastAsia="Times New Roman" w:hAnsi="Times New Roman" w:cs="Times New Roman"/>
      <w:szCs w:val="20"/>
    </w:rPr>
  </w:style>
  <w:style w:type="paragraph" w:styleId="NormalWeb">
    <w:name w:val="Normal (Web)"/>
    <w:basedOn w:val="Normal"/>
    <w:uiPriority w:val="99"/>
    <w:unhideWhenUsed/>
    <w:rsid w:val="009824FF"/>
    <w:rPr>
      <w:rFonts w:eastAsia="Calibri"/>
      <w:lang w:val="en-US"/>
    </w:rPr>
  </w:style>
  <w:style w:type="paragraph" w:styleId="TOCHeading">
    <w:name w:val="TOC Heading"/>
    <w:basedOn w:val="Heading1"/>
    <w:next w:val="Normal"/>
    <w:uiPriority w:val="39"/>
    <w:unhideWhenUsed/>
    <w:qFormat/>
    <w:rsid w:val="009824FF"/>
    <w:pPr>
      <w:spacing w:before="240" w:line="259" w:lineRule="auto"/>
      <w:outlineLvl w:val="9"/>
    </w:pPr>
    <w:rPr>
      <w:b w:val="0"/>
      <w:bCs w:val="0"/>
      <w:sz w:val="32"/>
      <w:szCs w:val="32"/>
      <w:lang w:val="en-US"/>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uiPriority w:val="99"/>
    <w:rsid w:val="009824FF"/>
    <w:pPr>
      <w:spacing w:after="160" w:line="240" w:lineRule="exact"/>
    </w:pPr>
    <w:rPr>
      <w:rFonts w:ascii="Calibri" w:eastAsia="Calibri" w:hAnsi="Calibri"/>
      <w:sz w:val="20"/>
      <w:szCs w:val="20"/>
      <w:vertAlign w:val="superscript"/>
      <w:lang w:val="x-none" w:eastAsia="x-none"/>
    </w:rPr>
  </w:style>
  <w:style w:type="character" w:customStyle="1" w:styleId="UnresolvedMention1">
    <w:name w:val="Unresolved Mention1"/>
    <w:uiPriority w:val="99"/>
    <w:semiHidden/>
    <w:unhideWhenUsed/>
    <w:rsid w:val="009824FF"/>
    <w:rPr>
      <w:color w:val="605E5C"/>
      <w:shd w:val="clear" w:color="auto" w:fill="E1DFDD"/>
    </w:rPr>
  </w:style>
  <w:style w:type="paragraph" w:styleId="BodyText3">
    <w:name w:val="Body Text 3"/>
    <w:basedOn w:val="Normal"/>
    <w:link w:val="BodyText3Char"/>
    <w:uiPriority w:val="99"/>
    <w:semiHidden/>
    <w:unhideWhenUsed/>
    <w:rsid w:val="009824FF"/>
    <w:pPr>
      <w:spacing w:after="120"/>
    </w:pPr>
    <w:rPr>
      <w:sz w:val="16"/>
      <w:szCs w:val="16"/>
    </w:rPr>
  </w:style>
  <w:style w:type="character" w:customStyle="1" w:styleId="BodyText3Char">
    <w:name w:val="Body Text 3 Char"/>
    <w:basedOn w:val="DefaultParagraphFont"/>
    <w:link w:val="BodyText3"/>
    <w:uiPriority w:val="99"/>
    <w:semiHidden/>
    <w:rsid w:val="009824FF"/>
    <w:rPr>
      <w:rFonts w:ascii="Times New Roman" w:eastAsia="Times New Roman" w:hAnsi="Times New Roman" w:cs="Times New Roman"/>
      <w:sz w:val="16"/>
      <w:szCs w:val="16"/>
      <w:lang w:val="sq-AL"/>
    </w:rPr>
  </w:style>
  <w:style w:type="paragraph" w:styleId="Revision">
    <w:name w:val="Revision"/>
    <w:hidden/>
    <w:uiPriority w:val="99"/>
    <w:semiHidden/>
    <w:rsid w:val="009824FF"/>
    <w:pPr>
      <w:spacing w:after="0" w:line="240" w:lineRule="auto"/>
    </w:pPr>
    <w:rPr>
      <w:rFonts w:ascii="Times New Roman" w:eastAsia="Times New Roman" w:hAnsi="Times New Roman" w:cs="Times New Roman"/>
      <w:sz w:val="24"/>
      <w:szCs w:val="24"/>
      <w:lang w:val="sq-AL"/>
    </w:rPr>
  </w:style>
  <w:style w:type="table" w:customStyle="1" w:styleId="GridTable5Dark-Accent31">
    <w:name w:val="Grid Table 5 Dark - Accent 31"/>
    <w:basedOn w:val="TableNormal"/>
    <w:next w:val="GridTable5Dark-Accent32"/>
    <w:uiPriority w:val="50"/>
    <w:rsid w:val="009824FF"/>
    <w:pPr>
      <w:spacing w:after="0" w:line="240" w:lineRule="auto"/>
    </w:pPr>
    <w:rPr>
      <w:rFonts w:ascii="Calibri" w:eastAsia="Calibri" w:hAnsi="Calibri" w:cs="Times New Roman"/>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
    <w:name w:val="Grid Table 5 Dark - Accent 32"/>
    <w:basedOn w:val="TableNormal"/>
    <w:uiPriority w:val="50"/>
    <w:rsid w:val="009824FF"/>
    <w:pPr>
      <w:spacing w:after="0" w:line="240" w:lineRule="auto"/>
    </w:pPr>
    <w:rPr>
      <w:rFonts w:ascii="Calibri" w:eastAsia="Calibri" w:hAnsi="Calibri"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3-Accent21">
    <w:name w:val="Grid Table 3 - Accent 21"/>
    <w:basedOn w:val="TableNormal"/>
    <w:uiPriority w:val="48"/>
    <w:rsid w:val="009824FF"/>
    <w:pPr>
      <w:spacing w:after="0" w:line="240" w:lineRule="auto"/>
    </w:pPr>
    <w:rPr>
      <w:rFonts w:ascii="Calibri" w:eastAsia="Calibri" w:hAnsi="Calibri" w:cs="Times New Roman"/>
      <w:sz w:val="20"/>
      <w:szCs w:val="20"/>
      <w:lang w:val="sq-AL" w:eastAsia="sq-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6Colorful-Accent41">
    <w:name w:val="Grid Table 6 Colorful - Accent 41"/>
    <w:basedOn w:val="TableNormal"/>
    <w:uiPriority w:val="51"/>
    <w:rsid w:val="009824FF"/>
    <w:pPr>
      <w:spacing w:after="0" w:line="240" w:lineRule="auto"/>
    </w:pPr>
    <w:rPr>
      <w:rFonts w:ascii="Calibri" w:eastAsia="Calibri" w:hAnsi="Calibri" w:cs="Times New Roman"/>
      <w:color w:val="BF8F00"/>
      <w:sz w:val="20"/>
      <w:szCs w:val="20"/>
      <w:lang w:val="sq-AL" w:eastAsia="sq-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5Dark-Accent320">
    <w:name w:val="Grid Table 5 Dark - Accent 32"/>
    <w:basedOn w:val="TableNormal"/>
    <w:next w:val="GridTable5Dark-Accent32"/>
    <w:uiPriority w:val="50"/>
    <w:rsid w:val="009824FF"/>
    <w:pPr>
      <w:spacing w:after="0" w:line="240" w:lineRule="auto"/>
    </w:pPr>
    <w:rPr>
      <w:rFonts w:ascii="Calibri" w:eastAsia="Calibri" w:hAnsi="Calibri" w:cs="Times New Roman"/>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6Colorful-Accent11">
    <w:name w:val="Grid Table 6 Colorful - Accent 11"/>
    <w:basedOn w:val="TableNormal"/>
    <w:uiPriority w:val="51"/>
    <w:rsid w:val="009824FF"/>
    <w:pPr>
      <w:spacing w:after="0" w:line="240" w:lineRule="auto"/>
    </w:pPr>
    <w:rPr>
      <w:rFonts w:ascii="Calibri" w:eastAsia="Calibri" w:hAnsi="Calibri" w:cs="Times New Roman"/>
      <w:color w:val="2E74B5"/>
      <w:sz w:val="20"/>
      <w:szCs w:val="20"/>
      <w:lang w:val="sq-AL" w:eastAsia="sq-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33">
    <w:name w:val="Grid Table 5 Dark - Accent 33"/>
    <w:basedOn w:val="TableNormal"/>
    <w:next w:val="GridTable5Dark-Accent32"/>
    <w:uiPriority w:val="50"/>
    <w:rsid w:val="009824FF"/>
    <w:pPr>
      <w:spacing w:after="0" w:line="240" w:lineRule="auto"/>
    </w:pPr>
    <w:rPr>
      <w:rFonts w:ascii="Calibri" w:eastAsia="Calibri" w:hAnsi="Calibri" w:cs="Times New Roman"/>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6Colorful-Accent61">
    <w:name w:val="Grid Table 6 Colorful - Accent 61"/>
    <w:basedOn w:val="TableNormal"/>
    <w:uiPriority w:val="51"/>
    <w:rsid w:val="009824FF"/>
    <w:pPr>
      <w:spacing w:after="0" w:line="240" w:lineRule="auto"/>
    </w:pPr>
    <w:rPr>
      <w:rFonts w:ascii="Calibri" w:eastAsia="Calibri" w:hAnsi="Calibri" w:cs="Times New Roman"/>
      <w:color w:val="538135"/>
      <w:sz w:val="20"/>
      <w:szCs w:val="20"/>
      <w:lang w:val="sq-AL" w:eastAsia="sq-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6Colorful1">
    <w:name w:val="Grid Table 6 Colorful1"/>
    <w:basedOn w:val="TableNormal"/>
    <w:next w:val="GridTable6Colorful2"/>
    <w:uiPriority w:val="51"/>
    <w:rsid w:val="009824FF"/>
    <w:pPr>
      <w:spacing w:after="0" w:line="240" w:lineRule="auto"/>
    </w:pPr>
    <w:rPr>
      <w:rFonts w:ascii="Calibri" w:eastAsia="Calibri" w:hAnsi="Calibri" w:cs="Times New Roman"/>
      <w:color w:val="00000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leNormal"/>
    <w:uiPriority w:val="51"/>
    <w:rsid w:val="009824FF"/>
    <w:pPr>
      <w:spacing w:after="0" w:line="240" w:lineRule="auto"/>
    </w:pPr>
    <w:rPr>
      <w:rFonts w:ascii="Calibri" w:eastAsia="Calibri" w:hAnsi="Calibri" w:cs="Times New Roman"/>
      <w:color w:val="000000"/>
      <w:sz w:val="20"/>
      <w:szCs w:val="2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21">
    <w:name w:val="Grid Table 6 Colorful - Accent 21"/>
    <w:basedOn w:val="TableNormal"/>
    <w:uiPriority w:val="51"/>
    <w:rsid w:val="009824FF"/>
    <w:pPr>
      <w:spacing w:after="0" w:line="240" w:lineRule="auto"/>
    </w:pPr>
    <w:rPr>
      <w:rFonts w:ascii="Calibri" w:eastAsia="Calibri" w:hAnsi="Calibri" w:cs="Times New Roman"/>
      <w:color w:val="C45911"/>
      <w:sz w:val="20"/>
      <w:szCs w:val="20"/>
      <w:lang w:val="sq-AL" w:eastAsia="sq-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34">
    <w:name w:val="Grid Table 5 Dark - Accent 34"/>
    <w:basedOn w:val="TableNormal"/>
    <w:next w:val="GridTable5Dark-Accent32"/>
    <w:uiPriority w:val="50"/>
    <w:rsid w:val="009824FF"/>
    <w:pPr>
      <w:spacing w:after="0" w:line="240" w:lineRule="auto"/>
    </w:pPr>
    <w:rPr>
      <w:rFonts w:ascii="Calibri" w:eastAsia="Calibri" w:hAnsi="Calibri" w:cs="Times New Roman"/>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eGridLight1">
    <w:name w:val="Table Grid Light1"/>
    <w:basedOn w:val="TableNormal"/>
    <w:uiPriority w:val="40"/>
    <w:rsid w:val="009824FF"/>
    <w:pPr>
      <w:spacing w:after="0" w:line="240" w:lineRule="auto"/>
    </w:pPr>
    <w:rPr>
      <w:rFonts w:ascii="Calibri" w:eastAsia="Calibri" w:hAnsi="Calibri" w:cs="Times New Roman"/>
      <w:sz w:val="20"/>
      <w:szCs w:val="20"/>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HTMLPreformatted">
    <w:name w:val="HTML Preformatted"/>
    <w:basedOn w:val="Normal"/>
    <w:link w:val="HTMLPreformattedChar"/>
    <w:uiPriority w:val="99"/>
    <w:semiHidden/>
    <w:unhideWhenUsed/>
    <w:rsid w:val="00982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9824FF"/>
    <w:rPr>
      <w:rFonts w:ascii="Courier New" w:eastAsia="Calibri" w:hAnsi="Courier New" w:cs="Courier New"/>
      <w:sz w:val="20"/>
      <w:szCs w:val="20"/>
    </w:rPr>
  </w:style>
  <w:style w:type="character" w:customStyle="1" w:styleId="gmail-y2iqfc">
    <w:name w:val="gmail-y2iqfc"/>
    <w:rsid w:val="009824FF"/>
  </w:style>
  <w:style w:type="character" w:customStyle="1" w:styleId="UnresolvedMention2">
    <w:name w:val="Unresolved Mention2"/>
    <w:uiPriority w:val="99"/>
    <w:semiHidden/>
    <w:unhideWhenUsed/>
    <w:rsid w:val="009824FF"/>
    <w:rPr>
      <w:color w:val="605E5C"/>
      <w:shd w:val="clear" w:color="auto" w:fill="E1DFDD"/>
    </w:rPr>
  </w:style>
  <w:style w:type="table" w:customStyle="1" w:styleId="GridTable4-Accent51">
    <w:name w:val="Grid Table 4 - Accent 51"/>
    <w:basedOn w:val="TableNormal"/>
    <w:uiPriority w:val="49"/>
    <w:rsid w:val="009824FF"/>
    <w:pPr>
      <w:spacing w:after="0" w:line="240" w:lineRule="auto"/>
    </w:pPr>
    <w:rPr>
      <w:rFonts w:ascii="Calibri" w:eastAsia="Calibri" w:hAnsi="Calibri" w:cs="Times New Roman"/>
      <w:lang w:val="sq-AL"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
    <w:name w:val="Grid Table 6 Colorful - Accent 51"/>
    <w:basedOn w:val="TableNormal"/>
    <w:uiPriority w:val="51"/>
    <w:rsid w:val="009824FF"/>
    <w:pPr>
      <w:spacing w:after="0" w:line="240" w:lineRule="auto"/>
    </w:pPr>
    <w:rPr>
      <w:rFonts w:ascii="Calibri" w:eastAsia="Calibri" w:hAnsi="Calibri" w:cs="Times New Roman"/>
      <w:color w:val="2F5496"/>
      <w:lang w:val="sq-AL"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basedOn w:val="DefaultParagraphFont"/>
    <w:uiPriority w:val="99"/>
    <w:semiHidden/>
    <w:unhideWhenUsed/>
    <w:rsid w:val="00D845EC"/>
    <w:rPr>
      <w:color w:val="954F72"/>
      <w:u w:val="single"/>
    </w:rPr>
  </w:style>
  <w:style w:type="paragraph" w:customStyle="1" w:styleId="font5">
    <w:name w:val="font5"/>
    <w:basedOn w:val="Normal"/>
    <w:rsid w:val="00D845EC"/>
    <w:pPr>
      <w:spacing w:before="100" w:beforeAutospacing="1" w:after="100" w:afterAutospacing="1"/>
    </w:pPr>
    <w:rPr>
      <w:rFonts w:ascii="Calibri" w:hAnsi="Calibri" w:cs="Calibri"/>
      <w:b/>
      <w:bCs/>
      <w:color w:val="FF0000"/>
      <w:sz w:val="10"/>
      <w:szCs w:val="10"/>
      <w:lang w:eastAsia="sq-AL"/>
    </w:rPr>
  </w:style>
  <w:style w:type="paragraph" w:customStyle="1" w:styleId="font6">
    <w:name w:val="font6"/>
    <w:basedOn w:val="Normal"/>
    <w:rsid w:val="00D845EC"/>
    <w:pPr>
      <w:spacing w:before="100" w:beforeAutospacing="1" w:after="100" w:afterAutospacing="1"/>
    </w:pPr>
    <w:rPr>
      <w:b/>
      <w:bCs/>
      <w:color w:val="FF0000"/>
      <w:sz w:val="10"/>
      <w:szCs w:val="10"/>
      <w:lang w:eastAsia="sq-AL"/>
    </w:rPr>
  </w:style>
  <w:style w:type="paragraph" w:customStyle="1" w:styleId="xl72">
    <w:name w:val="xl72"/>
    <w:basedOn w:val="Normal"/>
    <w:rsid w:val="00D845EC"/>
    <w:pPr>
      <w:spacing w:before="100" w:beforeAutospacing="1" w:after="100" w:afterAutospacing="1"/>
    </w:pPr>
    <w:rPr>
      <w:b/>
      <w:bCs/>
      <w:sz w:val="18"/>
      <w:szCs w:val="18"/>
      <w:lang w:eastAsia="sq-AL"/>
    </w:rPr>
  </w:style>
  <w:style w:type="paragraph" w:customStyle="1" w:styleId="xl73">
    <w:name w:val="xl73"/>
    <w:basedOn w:val="Normal"/>
    <w:rsid w:val="00D845EC"/>
    <w:pPr>
      <w:spacing w:before="100" w:beforeAutospacing="1" w:after="100" w:afterAutospacing="1"/>
    </w:pPr>
    <w:rPr>
      <w:sz w:val="18"/>
      <w:szCs w:val="18"/>
      <w:lang w:eastAsia="sq-AL"/>
    </w:rPr>
  </w:style>
  <w:style w:type="paragraph" w:customStyle="1" w:styleId="xl74">
    <w:name w:val="xl74"/>
    <w:basedOn w:val="Normal"/>
    <w:rsid w:val="00D845EC"/>
    <w:pPr>
      <w:spacing w:before="100" w:beforeAutospacing="1" w:after="100" w:afterAutospacing="1"/>
      <w:jc w:val="center"/>
    </w:pPr>
    <w:rPr>
      <w:sz w:val="18"/>
      <w:szCs w:val="18"/>
      <w:lang w:eastAsia="sq-AL"/>
    </w:rPr>
  </w:style>
  <w:style w:type="paragraph" w:customStyle="1" w:styleId="xl75">
    <w:name w:val="xl75"/>
    <w:basedOn w:val="Normal"/>
    <w:rsid w:val="00D845EC"/>
    <w:pPr>
      <w:spacing w:before="100" w:beforeAutospacing="1" w:after="100" w:afterAutospacing="1"/>
      <w:jc w:val="center"/>
      <w:textAlignment w:val="center"/>
    </w:pPr>
    <w:rPr>
      <w:sz w:val="18"/>
      <w:szCs w:val="18"/>
      <w:lang w:eastAsia="sq-AL"/>
    </w:rPr>
  </w:style>
  <w:style w:type="paragraph" w:customStyle="1" w:styleId="xl76">
    <w:name w:val="xl76"/>
    <w:basedOn w:val="Normal"/>
    <w:rsid w:val="00D845EC"/>
    <w:pPr>
      <w:spacing w:before="100" w:beforeAutospacing="1" w:after="100" w:afterAutospacing="1"/>
      <w:jc w:val="center"/>
    </w:pPr>
    <w:rPr>
      <w:b/>
      <w:bCs/>
      <w:sz w:val="18"/>
      <w:szCs w:val="18"/>
      <w:lang w:eastAsia="sq-AL"/>
    </w:rPr>
  </w:style>
  <w:style w:type="paragraph" w:customStyle="1" w:styleId="xl77">
    <w:name w:val="xl77"/>
    <w:basedOn w:val="Normal"/>
    <w:rsid w:val="00D845EC"/>
    <w:pPr>
      <w:shd w:val="clear" w:color="000000" w:fill="FFFF00"/>
      <w:spacing w:before="100" w:beforeAutospacing="1" w:after="100" w:afterAutospacing="1"/>
    </w:pPr>
    <w:rPr>
      <w:sz w:val="18"/>
      <w:szCs w:val="18"/>
      <w:lang w:eastAsia="sq-AL"/>
    </w:rPr>
  </w:style>
  <w:style w:type="paragraph" w:customStyle="1" w:styleId="xl78">
    <w:name w:val="xl78"/>
    <w:basedOn w:val="Normal"/>
    <w:rsid w:val="00D845EC"/>
    <w:pPr>
      <w:shd w:val="clear" w:color="000000" w:fill="FFFF00"/>
      <w:spacing w:before="100" w:beforeAutospacing="1" w:after="100" w:afterAutospacing="1"/>
    </w:pPr>
    <w:rPr>
      <w:b/>
      <w:bCs/>
      <w:sz w:val="18"/>
      <w:szCs w:val="18"/>
      <w:lang w:eastAsia="sq-AL"/>
    </w:rPr>
  </w:style>
  <w:style w:type="paragraph" w:customStyle="1" w:styleId="xl79">
    <w:name w:val="xl79"/>
    <w:basedOn w:val="Normal"/>
    <w:rsid w:val="00D845EC"/>
    <w:pPr>
      <w:shd w:val="clear" w:color="000000" w:fill="FFFFFF"/>
      <w:spacing w:before="100" w:beforeAutospacing="1" w:after="100" w:afterAutospacing="1"/>
    </w:pPr>
    <w:rPr>
      <w:sz w:val="18"/>
      <w:szCs w:val="18"/>
      <w:lang w:eastAsia="sq-AL"/>
    </w:rPr>
  </w:style>
  <w:style w:type="paragraph" w:customStyle="1" w:styleId="xl80">
    <w:name w:val="xl80"/>
    <w:basedOn w:val="Normal"/>
    <w:rsid w:val="00D845EC"/>
    <w:pPr>
      <w:spacing w:before="100" w:beforeAutospacing="1" w:after="100" w:afterAutospacing="1"/>
      <w:jc w:val="center"/>
      <w:textAlignment w:val="center"/>
    </w:pPr>
    <w:rPr>
      <w:sz w:val="18"/>
      <w:szCs w:val="18"/>
      <w:lang w:eastAsia="sq-AL"/>
    </w:rPr>
  </w:style>
  <w:style w:type="paragraph" w:customStyle="1" w:styleId="xl81">
    <w:name w:val="xl81"/>
    <w:basedOn w:val="Normal"/>
    <w:rsid w:val="00D845EC"/>
    <w:pPr>
      <w:pBdr>
        <w:top w:val="single" w:sz="8" w:space="0" w:color="auto"/>
        <w:left w:val="single" w:sz="8" w:space="0" w:color="auto"/>
      </w:pBdr>
      <w:shd w:val="clear" w:color="000000" w:fill="E2EFDA"/>
      <w:spacing w:before="100" w:beforeAutospacing="1" w:after="100" w:afterAutospacing="1"/>
      <w:jc w:val="center"/>
      <w:textAlignment w:val="center"/>
    </w:pPr>
    <w:rPr>
      <w:b/>
      <w:bCs/>
      <w:color w:val="000000"/>
      <w:sz w:val="10"/>
      <w:szCs w:val="10"/>
      <w:lang w:eastAsia="sq-AL"/>
    </w:rPr>
  </w:style>
  <w:style w:type="paragraph" w:customStyle="1" w:styleId="xl82">
    <w:name w:val="xl82"/>
    <w:basedOn w:val="Normal"/>
    <w:rsid w:val="00D845EC"/>
    <w:pPr>
      <w:pBdr>
        <w:top w:val="single" w:sz="8" w:space="0" w:color="auto"/>
      </w:pBdr>
      <w:shd w:val="clear" w:color="000000" w:fill="E2EFDA"/>
      <w:spacing w:before="100" w:beforeAutospacing="1" w:after="100" w:afterAutospacing="1"/>
      <w:jc w:val="center"/>
      <w:textAlignment w:val="center"/>
    </w:pPr>
    <w:rPr>
      <w:b/>
      <w:bCs/>
      <w:color w:val="000000"/>
      <w:sz w:val="10"/>
      <w:szCs w:val="10"/>
      <w:lang w:eastAsia="sq-AL"/>
    </w:rPr>
  </w:style>
  <w:style w:type="paragraph" w:customStyle="1" w:styleId="xl83">
    <w:name w:val="xl83"/>
    <w:basedOn w:val="Normal"/>
    <w:rsid w:val="00D845EC"/>
    <w:pPr>
      <w:pBdr>
        <w:top w:val="single" w:sz="8" w:space="0" w:color="auto"/>
        <w:right w:val="single" w:sz="8" w:space="0" w:color="auto"/>
      </w:pBdr>
      <w:shd w:val="clear" w:color="000000" w:fill="E2EFDA"/>
      <w:spacing w:before="100" w:beforeAutospacing="1" w:after="100" w:afterAutospacing="1"/>
      <w:jc w:val="center"/>
      <w:textAlignment w:val="center"/>
    </w:pPr>
    <w:rPr>
      <w:b/>
      <w:bCs/>
      <w:color w:val="000000"/>
      <w:sz w:val="10"/>
      <w:szCs w:val="10"/>
      <w:lang w:eastAsia="sq-AL"/>
    </w:rPr>
  </w:style>
  <w:style w:type="paragraph" w:customStyle="1" w:styleId="xl84">
    <w:name w:val="xl84"/>
    <w:basedOn w:val="Normal"/>
    <w:rsid w:val="00D845EC"/>
    <w:pPr>
      <w:pBdr>
        <w:top w:val="single" w:sz="8" w:space="0" w:color="auto"/>
        <w:left w:val="single" w:sz="8" w:space="0" w:color="auto"/>
        <w:bottom w:val="single" w:sz="8" w:space="0" w:color="auto"/>
      </w:pBdr>
      <w:shd w:val="clear" w:color="000000" w:fill="F8CBAD"/>
      <w:spacing w:before="100" w:beforeAutospacing="1" w:after="100" w:afterAutospacing="1"/>
      <w:jc w:val="center"/>
      <w:textAlignment w:val="center"/>
    </w:pPr>
    <w:rPr>
      <w:b/>
      <w:bCs/>
      <w:sz w:val="10"/>
      <w:szCs w:val="10"/>
      <w:lang w:eastAsia="sq-AL"/>
    </w:rPr>
  </w:style>
  <w:style w:type="paragraph" w:customStyle="1" w:styleId="xl85">
    <w:name w:val="xl85"/>
    <w:basedOn w:val="Normal"/>
    <w:rsid w:val="00D845EC"/>
    <w:pPr>
      <w:pBdr>
        <w:top w:val="single" w:sz="8" w:space="0" w:color="auto"/>
        <w:bottom w:val="single" w:sz="8" w:space="0" w:color="auto"/>
      </w:pBdr>
      <w:shd w:val="clear" w:color="000000" w:fill="F8CBAD"/>
      <w:spacing w:before="100" w:beforeAutospacing="1" w:after="100" w:afterAutospacing="1"/>
      <w:jc w:val="center"/>
      <w:textAlignment w:val="center"/>
    </w:pPr>
    <w:rPr>
      <w:b/>
      <w:bCs/>
      <w:sz w:val="10"/>
      <w:szCs w:val="10"/>
      <w:lang w:eastAsia="sq-AL"/>
    </w:rPr>
  </w:style>
  <w:style w:type="paragraph" w:customStyle="1" w:styleId="xl86">
    <w:name w:val="xl86"/>
    <w:basedOn w:val="Normal"/>
    <w:rsid w:val="00D845EC"/>
    <w:pPr>
      <w:pBdr>
        <w:top w:val="single" w:sz="8" w:space="0" w:color="auto"/>
        <w:bottom w:val="single" w:sz="8" w:space="0" w:color="auto"/>
        <w:right w:val="single" w:sz="8" w:space="0" w:color="auto"/>
      </w:pBdr>
      <w:shd w:val="clear" w:color="000000" w:fill="F8CBAD"/>
      <w:spacing w:before="100" w:beforeAutospacing="1" w:after="100" w:afterAutospacing="1"/>
      <w:jc w:val="center"/>
      <w:textAlignment w:val="center"/>
    </w:pPr>
    <w:rPr>
      <w:b/>
      <w:bCs/>
      <w:sz w:val="10"/>
      <w:szCs w:val="10"/>
      <w:lang w:eastAsia="sq-AL"/>
    </w:rPr>
  </w:style>
  <w:style w:type="paragraph" w:customStyle="1" w:styleId="xl87">
    <w:name w:val="xl87"/>
    <w:basedOn w:val="Normal"/>
    <w:rsid w:val="00D845EC"/>
    <w:pPr>
      <w:pBdr>
        <w:top w:val="single" w:sz="8" w:space="0" w:color="auto"/>
        <w:left w:val="single" w:sz="8" w:space="0" w:color="auto"/>
        <w:bottom w:val="single" w:sz="8" w:space="0" w:color="auto"/>
      </w:pBdr>
      <w:shd w:val="clear" w:color="000000" w:fill="FCE4D6"/>
      <w:spacing w:before="100" w:beforeAutospacing="1" w:after="100" w:afterAutospacing="1"/>
      <w:jc w:val="center"/>
      <w:textAlignment w:val="center"/>
    </w:pPr>
    <w:rPr>
      <w:b/>
      <w:bCs/>
      <w:color w:val="000000"/>
      <w:sz w:val="10"/>
      <w:szCs w:val="10"/>
      <w:lang w:eastAsia="sq-AL"/>
    </w:rPr>
  </w:style>
  <w:style w:type="paragraph" w:customStyle="1" w:styleId="xl88">
    <w:name w:val="xl88"/>
    <w:basedOn w:val="Normal"/>
    <w:rsid w:val="00D845EC"/>
    <w:pPr>
      <w:pBdr>
        <w:top w:val="single" w:sz="8" w:space="0" w:color="auto"/>
        <w:bottom w:val="single" w:sz="8" w:space="0" w:color="auto"/>
      </w:pBdr>
      <w:shd w:val="clear" w:color="000000" w:fill="FCE4D6"/>
      <w:spacing w:before="100" w:beforeAutospacing="1" w:after="100" w:afterAutospacing="1"/>
      <w:jc w:val="center"/>
      <w:textAlignment w:val="center"/>
    </w:pPr>
    <w:rPr>
      <w:b/>
      <w:bCs/>
      <w:color w:val="000000"/>
      <w:sz w:val="10"/>
      <w:szCs w:val="10"/>
      <w:lang w:eastAsia="sq-AL"/>
    </w:rPr>
  </w:style>
  <w:style w:type="paragraph" w:customStyle="1" w:styleId="xl89">
    <w:name w:val="xl89"/>
    <w:basedOn w:val="Normal"/>
    <w:rsid w:val="00D845EC"/>
    <w:pPr>
      <w:pBdr>
        <w:top w:val="single" w:sz="8" w:space="0" w:color="auto"/>
        <w:bottom w:val="single" w:sz="8" w:space="0" w:color="auto"/>
        <w:right w:val="single" w:sz="8" w:space="0" w:color="auto"/>
      </w:pBdr>
      <w:shd w:val="clear" w:color="000000" w:fill="FCE4D6"/>
      <w:spacing w:before="100" w:beforeAutospacing="1" w:after="100" w:afterAutospacing="1"/>
      <w:jc w:val="center"/>
      <w:textAlignment w:val="center"/>
    </w:pPr>
    <w:rPr>
      <w:b/>
      <w:bCs/>
      <w:color w:val="000000"/>
      <w:sz w:val="10"/>
      <w:szCs w:val="10"/>
      <w:lang w:eastAsia="sq-AL"/>
    </w:rPr>
  </w:style>
  <w:style w:type="paragraph" w:customStyle="1" w:styleId="xl90">
    <w:name w:val="xl90"/>
    <w:basedOn w:val="Normal"/>
    <w:rsid w:val="00D845EC"/>
    <w:pPr>
      <w:pBdr>
        <w:top w:val="single" w:sz="8" w:space="0" w:color="auto"/>
        <w:left w:val="single" w:sz="8" w:space="0" w:color="auto"/>
      </w:pBdr>
      <w:shd w:val="clear" w:color="000000" w:fill="E7E6E6"/>
      <w:spacing w:before="100" w:beforeAutospacing="1" w:after="100" w:afterAutospacing="1"/>
      <w:jc w:val="center"/>
      <w:textAlignment w:val="center"/>
    </w:pPr>
    <w:rPr>
      <w:b/>
      <w:bCs/>
      <w:sz w:val="10"/>
      <w:szCs w:val="10"/>
      <w:lang w:eastAsia="sq-AL"/>
    </w:rPr>
  </w:style>
  <w:style w:type="paragraph" w:customStyle="1" w:styleId="xl91">
    <w:name w:val="xl91"/>
    <w:basedOn w:val="Normal"/>
    <w:rsid w:val="00D845EC"/>
    <w:pPr>
      <w:pBdr>
        <w:top w:val="single" w:sz="8" w:space="0" w:color="auto"/>
      </w:pBdr>
      <w:shd w:val="clear" w:color="000000" w:fill="E7E6E6"/>
      <w:spacing w:before="100" w:beforeAutospacing="1" w:after="100" w:afterAutospacing="1"/>
      <w:jc w:val="center"/>
      <w:textAlignment w:val="center"/>
    </w:pPr>
    <w:rPr>
      <w:b/>
      <w:bCs/>
      <w:color w:val="FF0000"/>
      <w:sz w:val="10"/>
      <w:szCs w:val="10"/>
      <w:lang w:eastAsia="sq-AL"/>
    </w:rPr>
  </w:style>
  <w:style w:type="paragraph" w:customStyle="1" w:styleId="xl92">
    <w:name w:val="xl92"/>
    <w:basedOn w:val="Normal"/>
    <w:rsid w:val="00D845EC"/>
    <w:pPr>
      <w:pBdr>
        <w:top w:val="single" w:sz="8" w:space="0" w:color="auto"/>
        <w:right w:val="single" w:sz="8" w:space="0" w:color="auto"/>
      </w:pBdr>
      <w:shd w:val="clear" w:color="000000" w:fill="E7E6E6"/>
      <w:spacing w:before="100" w:beforeAutospacing="1" w:after="100" w:afterAutospacing="1"/>
      <w:jc w:val="center"/>
      <w:textAlignment w:val="center"/>
    </w:pPr>
    <w:rPr>
      <w:b/>
      <w:bCs/>
      <w:color w:val="FF0000"/>
      <w:sz w:val="10"/>
      <w:szCs w:val="10"/>
      <w:lang w:eastAsia="sq-AL"/>
    </w:rPr>
  </w:style>
  <w:style w:type="paragraph" w:customStyle="1" w:styleId="xl93">
    <w:name w:val="xl93"/>
    <w:basedOn w:val="Normal"/>
    <w:rsid w:val="00D845EC"/>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b/>
      <w:bCs/>
      <w:sz w:val="10"/>
      <w:szCs w:val="10"/>
      <w:lang w:eastAsia="sq-AL"/>
    </w:rPr>
  </w:style>
  <w:style w:type="paragraph" w:customStyle="1" w:styleId="xl94">
    <w:name w:val="xl94"/>
    <w:basedOn w:val="Normal"/>
    <w:rsid w:val="00D845EC"/>
    <w:pPr>
      <w:pBdr>
        <w:top w:val="single" w:sz="8" w:space="0" w:color="auto"/>
        <w:bottom w:val="single" w:sz="8" w:space="0" w:color="auto"/>
      </w:pBdr>
      <w:shd w:val="clear" w:color="000000" w:fill="FFFF00"/>
      <w:spacing w:before="100" w:beforeAutospacing="1" w:after="100" w:afterAutospacing="1"/>
      <w:jc w:val="center"/>
      <w:textAlignment w:val="center"/>
    </w:pPr>
    <w:rPr>
      <w:b/>
      <w:bCs/>
      <w:sz w:val="10"/>
      <w:szCs w:val="10"/>
      <w:lang w:eastAsia="sq-AL"/>
    </w:rPr>
  </w:style>
  <w:style w:type="paragraph" w:customStyle="1" w:styleId="xl95">
    <w:name w:val="xl95"/>
    <w:basedOn w:val="Normal"/>
    <w:rsid w:val="00D845EC"/>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sz w:val="10"/>
      <w:szCs w:val="10"/>
      <w:lang w:eastAsia="sq-AL"/>
    </w:rPr>
  </w:style>
  <w:style w:type="paragraph" w:customStyle="1" w:styleId="xl96">
    <w:name w:val="xl96"/>
    <w:basedOn w:val="Normal"/>
    <w:rsid w:val="00D845EC"/>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97">
    <w:name w:val="xl97"/>
    <w:basedOn w:val="Normal"/>
    <w:rsid w:val="00D845EC"/>
    <w:pPr>
      <w:pBdr>
        <w:top w:val="single" w:sz="8" w:space="0" w:color="auto"/>
        <w:bottom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98">
    <w:name w:val="xl98"/>
    <w:basedOn w:val="Normal"/>
    <w:rsid w:val="00D845E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0"/>
      <w:szCs w:val="10"/>
      <w:lang w:eastAsia="sq-AL"/>
    </w:rPr>
  </w:style>
  <w:style w:type="paragraph" w:customStyle="1" w:styleId="xl99">
    <w:name w:val="xl99"/>
    <w:basedOn w:val="Normal"/>
    <w:rsid w:val="00D845E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00">
    <w:name w:val="xl100"/>
    <w:basedOn w:val="Normal"/>
    <w:rsid w:val="00D845E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1">
    <w:name w:val="xl101"/>
    <w:basedOn w:val="Normal"/>
    <w:rsid w:val="00D845EC"/>
    <w:pPr>
      <w:pBdr>
        <w:top w:val="single" w:sz="8" w:space="0" w:color="auto"/>
        <w:lef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2">
    <w:name w:val="xl102"/>
    <w:basedOn w:val="Normal"/>
    <w:rsid w:val="00D845EC"/>
    <w:pPr>
      <w:pBdr>
        <w:top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3">
    <w:name w:val="xl103"/>
    <w:basedOn w:val="Normal"/>
    <w:rsid w:val="00D845EC"/>
    <w:pPr>
      <w:pBdr>
        <w:top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4">
    <w:name w:val="xl104"/>
    <w:basedOn w:val="Normal"/>
    <w:rsid w:val="00D845EC"/>
    <w:pPr>
      <w:pBdr>
        <w:top w:val="single" w:sz="8" w:space="0" w:color="auto"/>
        <w:bottom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5">
    <w:name w:val="xl105"/>
    <w:basedOn w:val="Normal"/>
    <w:rsid w:val="00D845EC"/>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6">
    <w:name w:val="xl106"/>
    <w:basedOn w:val="Normal"/>
    <w:rsid w:val="00D845EC"/>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7">
    <w:name w:val="xl107"/>
    <w:basedOn w:val="Normal"/>
    <w:rsid w:val="00D845EC"/>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08">
    <w:name w:val="xl108"/>
    <w:basedOn w:val="Normal"/>
    <w:rsid w:val="00D845EC"/>
    <w:pPr>
      <w:pBdr>
        <w:top w:val="single" w:sz="4" w:space="0" w:color="auto"/>
        <w:bottom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09">
    <w:name w:val="xl109"/>
    <w:basedOn w:val="Normal"/>
    <w:rsid w:val="00D845EC"/>
    <w:pPr>
      <w:pBdr>
        <w:top w:val="single" w:sz="8" w:space="0" w:color="auto"/>
        <w:left w:val="single" w:sz="8" w:space="0" w:color="auto"/>
        <w:right w:val="single" w:sz="8" w:space="0" w:color="auto"/>
      </w:pBdr>
      <w:spacing w:before="100" w:beforeAutospacing="1" w:after="100" w:afterAutospacing="1"/>
      <w:jc w:val="center"/>
      <w:textAlignment w:val="top"/>
    </w:pPr>
    <w:rPr>
      <w:sz w:val="10"/>
      <w:szCs w:val="10"/>
      <w:lang w:eastAsia="sq-AL"/>
    </w:rPr>
  </w:style>
  <w:style w:type="paragraph" w:customStyle="1" w:styleId="xl110">
    <w:name w:val="xl110"/>
    <w:basedOn w:val="Normal"/>
    <w:rsid w:val="00D845EC"/>
    <w:pPr>
      <w:pBdr>
        <w:bottom w:val="single" w:sz="4" w:space="0" w:color="auto"/>
        <w:right w:val="single" w:sz="4" w:space="0" w:color="auto"/>
      </w:pBdr>
      <w:spacing w:before="100" w:beforeAutospacing="1" w:after="100" w:afterAutospacing="1"/>
      <w:jc w:val="center"/>
      <w:textAlignment w:val="top"/>
    </w:pPr>
    <w:rPr>
      <w:b/>
      <w:bCs/>
      <w:color w:val="000000"/>
      <w:sz w:val="10"/>
      <w:szCs w:val="10"/>
      <w:lang w:eastAsia="sq-AL"/>
    </w:rPr>
  </w:style>
  <w:style w:type="paragraph" w:customStyle="1" w:styleId="xl111">
    <w:name w:val="xl111"/>
    <w:basedOn w:val="Normal"/>
    <w:rsid w:val="00D845EC"/>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0"/>
      <w:szCs w:val="10"/>
      <w:lang w:eastAsia="sq-AL"/>
    </w:rPr>
  </w:style>
  <w:style w:type="paragraph" w:customStyle="1" w:styleId="xl112">
    <w:name w:val="xl112"/>
    <w:basedOn w:val="Normal"/>
    <w:rsid w:val="00D845EC"/>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0"/>
      <w:szCs w:val="10"/>
      <w:lang w:eastAsia="sq-AL"/>
    </w:rPr>
  </w:style>
  <w:style w:type="paragraph" w:customStyle="1" w:styleId="xl113">
    <w:name w:val="xl113"/>
    <w:basedOn w:val="Normal"/>
    <w:rsid w:val="00D845EC"/>
    <w:pPr>
      <w:pBdr>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10"/>
      <w:szCs w:val="10"/>
      <w:lang w:eastAsia="sq-AL"/>
    </w:rPr>
  </w:style>
  <w:style w:type="paragraph" w:customStyle="1" w:styleId="xl114">
    <w:name w:val="xl114"/>
    <w:basedOn w:val="Normal"/>
    <w:rsid w:val="00D845EC"/>
    <w:pPr>
      <w:pBdr>
        <w:lef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15">
    <w:name w:val="xl115"/>
    <w:basedOn w:val="Normal"/>
    <w:rsid w:val="00D845EC"/>
    <w:pPr>
      <w:spacing w:before="100" w:beforeAutospacing="1" w:after="100" w:afterAutospacing="1"/>
      <w:jc w:val="center"/>
      <w:textAlignment w:val="center"/>
    </w:pPr>
    <w:rPr>
      <w:b/>
      <w:bCs/>
      <w:color w:val="000000"/>
      <w:sz w:val="10"/>
      <w:szCs w:val="10"/>
      <w:lang w:eastAsia="sq-AL"/>
    </w:rPr>
  </w:style>
  <w:style w:type="paragraph" w:customStyle="1" w:styleId="xl116">
    <w:name w:val="xl116"/>
    <w:basedOn w:val="Normal"/>
    <w:rsid w:val="00D845EC"/>
    <w:pPr>
      <w:pBdr>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17">
    <w:name w:val="xl117"/>
    <w:basedOn w:val="Normal"/>
    <w:rsid w:val="00D845EC"/>
    <w:pPr>
      <w:pBdr>
        <w:left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18">
    <w:name w:val="xl118"/>
    <w:basedOn w:val="Normal"/>
    <w:rsid w:val="00D845EC"/>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19">
    <w:name w:val="xl119"/>
    <w:basedOn w:val="Normal"/>
    <w:rsid w:val="00D845EC"/>
    <w:pPr>
      <w:pBdr>
        <w:top w:val="single" w:sz="4" w:space="0" w:color="auto"/>
        <w:bottom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20">
    <w:name w:val="xl120"/>
    <w:basedOn w:val="Normal"/>
    <w:rsid w:val="00D845EC"/>
    <w:pPr>
      <w:pBdr>
        <w:left w:val="single" w:sz="8" w:space="0" w:color="auto"/>
        <w:bottom w:val="single" w:sz="8" w:space="0" w:color="auto"/>
        <w:right w:val="single" w:sz="8" w:space="0" w:color="auto"/>
      </w:pBdr>
      <w:spacing w:before="100" w:beforeAutospacing="1" w:after="100" w:afterAutospacing="1"/>
      <w:jc w:val="center"/>
      <w:textAlignment w:val="top"/>
    </w:pPr>
    <w:rPr>
      <w:sz w:val="10"/>
      <w:szCs w:val="10"/>
      <w:lang w:eastAsia="sq-AL"/>
    </w:rPr>
  </w:style>
  <w:style w:type="paragraph" w:customStyle="1" w:styleId="xl121">
    <w:name w:val="xl121"/>
    <w:basedOn w:val="Normal"/>
    <w:rsid w:val="00D845EC"/>
    <w:pPr>
      <w:pBdr>
        <w:top w:val="single" w:sz="4" w:space="0" w:color="auto"/>
        <w:bottom w:val="single" w:sz="8" w:space="0" w:color="auto"/>
        <w:right w:val="single" w:sz="4" w:space="0" w:color="auto"/>
      </w:pBdr>
      <w:spacing w:before="100" w:beforeAutospacing="1" w:after="100" w:afterAutospacing="1"/>
      <w:jc w:val="center"/>
      <w:textAlignment w:val="top"/>
    </w:pPr>
    <w:rPr>
      <w:color w:val="000000"/>
      <w:sz w:val="10"/>
      <w:szCs w:val="10"/>
      <w:lang w:eastAsia="sq-AL"/>
    </w:rPr>
  </w:style>
  <w:style w:type="paragraph" w:customStyle="1" w:styleId="xl122">
    <w:name w:val="xl122"/>
    <w:basedOn w:val="Normal"/>
    <w:rsid w:val="00D845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10"/>
      <w:szCs w:val="10"/>
      <w:lang w:eastAsia="sq-AL"/>
    </w:rPr>
  </w:style>
  <w:style w:type="paragraph" w:customStyle="1" w:styleId="xl123">
    <w:name w:val="xl123"/>
    <w:basedOn w:val="Normal"/>
    <w:rsid w:val="00D845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000000"/>
      <w:sz w:val="10"/>
      <w:szCs w:val="10"/>
      <w:lang w:eastAsia="sq-AL"/>
    </w:rPr>
  </w:style>
  <w:style w:type="paragraph" w:customStyle="1" w:styleId="xl124">
    <w:name w:val="xl124"/>
    <w:basedOn w:val="Normal"/>
    <w:rsid w:val="00D845EC"/>
    <w:pPr>
      <w:pBdr>
        <w:top w:val="single" w:sz="4" w:space="0" w:color="auto"/>
        <w:left w:val="single" w:sz="4" w:space="0" w:color="auto"/>
        <w:bottom w:val="single" w:sz="8" w:space="0" w:color="auto"/>
      </w:pBdr>
      <w:spacing w:before="100" w:beforeAutospacing="1" w:after="100" w:afterAutospacing="1"/>
      <w:jc w:val="center"/>
      <w:textAlignment w:val="top"/>
    </w:pPr>
    <w:rPr>
      <w:b/>
      <w:bCs/>
      <w:color w:val="000000"/>
      <w:sz w:val="10"/>
      <w:szCs w:val="10"/>
      <w:lang w:eastAsia="sq-AL"/>
    </w:rPr>
  </w:style>
  <w:style w:type="paragraph" w:customStyle="1" w:styleId="xl125">
    <w:name w:val="xl125"/>
    <w:basedOn w:val="Normal"/>
    <w:rsid w:val="00D845E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26">
    <w:name w:val="xl126"/>
    <w:basedOn w:val="Normal"/>
    <w:rsid w:val="00D845EC"/>
    <w:pPr>
      <w:pBdr>
        <w:bottom w:val="single" w:sz="8"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27">
    <w:name w:val="xl127"/>
    <w:basedOn w:val="Normal"/>
    <w:rsid w:val="00D845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28">
    <w:name w:val="xl128"/>
    <w:basedOn w:val="Normal"/>
    <w:rsid w:val="00D845E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0"/>
      <w:szCs w:val="10"/>
      <w:lang w:eastAsia="sq-AL"/>
    </w:rPr>
  </w:style>
  <w:style w:type="paragraph" w:customStyle="1" w:styleId="xl129">
    <w:name w:val="xl129"/>
    <w:basedOn w:val="Normal"/>
    <w:rsid w:val="00D845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0"/>
      <w:szCs w:val="10"/>
      <w:lang w:eastAsia="sq-AL"/>
    </w:rPr>
  </w:style>
  <w:style w:type="paragraph" w:customStyle="1" w:styleId="xl130">
    <w:name w:val="xl130"/>
    <w:basedOn w:val="Normal"/>
    <w:rsid w:val="00D845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0"/>
      <w:szCs w:val="10"/>
      <w:lang w:eastAsia="sq-AL"/>
    </w:rPr>
  </w:style>
  <w:style w:type="paragraph" w:customStyle="1" w:styleId="xl131">
    <w:name w:val="xl131"/>
    <w:basedOn w:val="Normal"/>
    <w:rsid w:val="00D845E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0"/>
      <w:szCs w:val="10"/>
      <w:lang w:eastAsia="sq-AL"/>
    </w:rPr>
  </w:style>
  <w:style w:type="paragraph" w:customStyle="1" w:styleId="xl132">
    <w:name w:val="xl132"/>
    <w:basedOn w:val="Normal"/>
    <w:rsid w:val="00D845E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10"/>
      <w:szCs w:val="10"/>
      <w:lang w:eastAsia="sq-AL"/>
    </w:rPr>
  </w:style>
  <w:style w:type="paragraph" w:customStyle="1" w:styleId="xl133">
    <w:name w:val="xl133"/>
    <w:basedOn w:val="Normal"/>
    <w:rsid w:val="00D845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34">
    <w:name w:val="xl134"/>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66CC"/>
      <w:sz w:val="10"/>
      <w:szCs w:val="10"/>
      <w:lang w:eastAsia="sq-AL"/>
    </w:rPr>
  </w:style>
  <w:style w:type="paragraph" w:customStyle="1" w:styleId="xl135">
    <w:name w:val="xl135"/>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0"/>
      <w:szCs w:val="10"/>
      <w:lang w:eastAsia="sq-AL"/>
    </w:rPr>
  </w:style>
  <w:style w:type="paragraph" w:customStyle="1" w:styleId="xl136">
    <w:name w:val="xl136"/>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0"/>
      <w:szCs w:val="10"/>
      <w:lang w:eastAsia="sq-AL"/>
    </w:rPr>
  </w:style>
  <w:style w:type="paragraph" w:customStyle="1" w:styleId="xl137">
    <w:name w:val="xl137"/>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0"/>
      <w:szCs w:val="10"/>
      <w:lang w:eastAsia="sq-AL"/>
    </w:rPr>
  </w:style>
  <w:style w:type="paragraph" w:customStyle="1" w:styleId="xl138">
    <w:name w:val="xl138"/>
    <w:basedOn w:val="Normal"/>
    <w:rsid w:val="00D845E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10"/>
      <w:szCs w:val="10"/>
      <w:lang w:eastAsia="sq-AL"/>
    </w:rPr>
  </w:style>
  <w:style w:type="paragraph" w:customStyle="1" w:styleId="xl139">
    <w:name w:val="xl139"/>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0"/>
      <w:szCs w:val="10"/>
      <w:lang w:eastAsia="sq-AL"/>
    </w:rPr>
  </w:style>
  <w:style w:type="paragraph" w:customStyle="1" w:styleId="xl140">
    <w:name w:val="xl140"/>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0"/>
      <w:szCs w:val="10"/>
      <w:lang w:eastAsia="sq-AL"/>
    </w:rPr>
  </w:style>
  <w:style w:type="paragraph" w:customStyle="1" w:styleId="xl141">
    <w:name w:val="xl141"/>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42">
    <w:name w:val="xl142"/>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0"/>
      <w:szCs w:val="10"/>
      <w:lang w:eastAsia="sq-AL"/>
    </w:rPr>
  </w:style>
  <w:style w:type="paragraph" w:customStyle="1" w:styleId="xl143">
    <w:name w:val="xl143"/>
    <w:basedOn w:val="Normal"/>
    <w:rsid w:val="00D845E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000000"/>
      <w:sz w:val="10"/>
      <w:szCs w:val="10"/>
      <w:lang w:eastAsia="sq-AL"/>
    </w:rPr>
  </w:style>
  <w:style w:type="paragraph" w:customStyle="1" w:styleId="xl144">
    <w:name w:val="xl144"/>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0"/>
      <w:szCs w:val="10"/>
      <w:lang w:eastAsia="sq-AL"/>
    </w:rPr>
  </w:style>
  <w:style w:type="paragraph" w:customStyle="1" w:styleId="xl145">
    <w:name w:val="xl145"/>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0"/>
      <w:szCs w:val="10"/>
      <w:lang w:eastAsia="sq-AL"/>
    </w:rPr>
  </w:style>
  <w:style w:type="paragraph" w:customStyle="1" w:styleId="xl146">
    <w:name w:val="xl146"/>
    <w:basedOn w:val="Normal"/>
    <w:rsid w:val="00D845E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0"/>
      <w:szCs w:val="10"/>
      <w:lang w:eastAsia="sq-AL"/>
    </w:rPr>
  </w:style>
  <w:style w:type="paragraph" w:customStyle="1" w:styleId="xl147">
    <w:name w:val="xl147"/>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color w:val="FF0000"/>
      <w:sz w:val="10"/>
      <w:szCs w:val="10"/>
      <w:lang w:eastAsia="sq-AL"/>
    </w:rPr>
  </w:style>
  <w:style w:type="paragraph" w:customStyle="1" w:styleId="xl148">
    <w:name w:val="xl148"/>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10"/>
      <w:szCs w:val="10"/>
      <w:lang w:eastAsia="sq-AL"/>
    </w:rPr>
  </w:style>
  <w:style w:type="paragraph" w:customStyle="1" w:styleId="xl149">
    <w:name w:val="xl149"/>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0"/>
      <w:szCs w:val="10"/>
      <w:lang w:eastAsia="sq-AL"/>
    </w:rPr>
  </w:style>
  <w:style w:type="paragraph" w:customStyle="1" w:styleId="xl150">
    <w:name w:val="xl150"/>
    <w:basedOn w:val="Normal"/>
    <w:rsid w:val="00D845E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color w:val="FF0000"/>
      <w:sz w:val="10"/>
      <w:szCs w:val="10"/>
      <w:lang w:eastAsia="sq-AL"/>
    </w:rPr>
  </w:style>
  <w:style w:type="paragraph" w:customStyle="1" w:styleId="xl151">
    <w:name w:val="xl151"/>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0"/>
      <w:szCs w:val="10"/>
      <w:lang w:eastAsia="sq-AL"/>
    </w:rPr>
  </w:style>
  <w:style w:type="paragraph" w:customStyle="1" w:styleId="xl152">
    <w:name w:val="xl152"/>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FF0000"/>
      <w:sz w:val="10"/>
      <w:szCs w:val="10"/>
      <w:lang w:eastAsia="sq-AL"/>
    </w:rPr>
  </w:style>
  <w:style w:type="paragraph" w:customStyle="1" w:styleId="xl153">
    <w:name w:val="xl153"/>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0"/>
      <w:szCs w:val="10"/>
      <w:lang w:eastAsia="sq-AL"/>
    </w:rPr>
  </w:style>
  <w:style w:type="paragraph" w:customStyle="1" w:styleId="xl154">
    <w:name w:val="xl154"/>
    <w:basedOn w:val="Normal"/>
    <w:rsid w:val="00D845E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0"/>
      <w:szCs w:val="10"/>
      <w:lang w:eastAsia="sq-AL"/>
    </w:rPr>
  </w:style>
  <w:style w:type="paragraph" w:customStyle="1" w:styleId="xl155">
    <w:name w:val="xl155"/>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0"/>
      <w:szCs w:val="10"/>
      <w:lang w:eastAsia="sq-AL"/>
    </w:rPr>
  </w:style>
  <w:style w:type="paragraph" w:customStyle="1" w:styleId="xl156">
    <w:name w:val="xl156"/>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FF0000"/>
      <w:sz w:val="10"/>
      <w:szCs w:val="10"/>
      <w:lang w:eastAsia="sq-AL"/>
    </w:rPr>
  </w:style>
  <w:style w:type="paragraph" w:customStyle="1" w:styleId="xl157">
    <w:name w:val="xl157"/>
    <w:basedOn w:val="Normal"/>
    <w:rsid w:val="00D845EC"/>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sz w:val="10"/>
      <w:szCs w:val="10"/>
      <w:lang w:eastAsia="sq-AL"/>
    </w:rPr>
  </w:style>
  <w:style w:type="paragraph" w:customStyle="1" w:styleId="xl158">
    <w:name w:val="xl158"/>
    <w:basedOn w:val="Normal"/>
    <w:rsid w:val="00D845E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sz w:val="10"/>
      <w:szCs w:val="10"/>
      <w:lang w:eastAsia="sq-AL"/>
    </w:rPr>
  </w:style>
  <w:style w:type="paragraph" w:customStyle="1" w:styleId="xl159">
    <w:name w:val="xl159"/>
    <w:basedOn w:val="Normal"/>
    <w:rsid w:val="00D845EC"/>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jc w:val="center"/>
      <w:textAlignment w:val="center"/>
    </w:pPr>
    <w:rPr>
      <w:b/>
      <w:bCs/>
      <w:sz w:val="10"/>
      <w:szCs w:val="10"/>
      <w:lang w:eastAsia="sq-AL"/>
    </w:rPr>
  </w:style>
  <w:style w:type="paragraph" w:customStyle="1" w:styleId="xl160">
    <w:name w:val="xl160"/>
    <w:basedOn w:val="Normal"/>
    <w:rsid w:val="00D845EC"/>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sz w:val="10"/>
      <w:szCs w:val="10"/>
      <w:lang w:eastAsia="sq-AL"/>
    </w:rPr>
  </w:style>
  <w:style w:type="paragraph" w:customStyle="1" w:styleId="xl161">
    <w:name w:val="xl161"/>
    <w:basedOn w:val="Normal"/>
    <w:rsid w:val="00D845E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sz w:val="10"/>
      <w:szCs w:val="10"/>
      <w:lang w:eastAsia="sq-AL"/>
    </w:rPr>
  </w:style>
  <w:style w:type="paragraph" w:customStyle="1" w:styleId="xl162">
    <w:name w:val="xl162"/>
    <w:basedOn w:val="Normal"/>
    <w:rsid w:val="00D845EC"/>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jc w:val="center"/>
      <w:textAlignment w:val="center"/>
    </w:pPr>
    <w:rPr>
      <w:b/>
      <w:bCs/>
      <w:sz w:val="10"/>
      <w:szCs w:val="10"/>
      <w:lang w:eastAsia="sq-AL"/>
    </w:rPr>
  </w:style>
  <w:style w:type="paragraph" w:customStyle="1" w:styleId="xl163">
    <w:name w:val="xl163"/>
    <w:basedOn w:val="Normal"/>
    <w:rsid w:val="00D845EC"/>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10"/>
      <w:szCs w:val="10"/>
      <w:lang w:eastAsia="sq-AL"/>
    </w:rPr>
  </w:style>
  <w:style w:type="paragraph" w:customStyle="1" w:styleId="xl164">
    <w:name w:val="xl164"/>
    <w:basedOn w:val="Normal"/>
    <w:rsid w:val="00D845E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10"/>
      <w:szCs w:val="10"/>
      <w:lang w:eastAsia="sq-AL"/>
    </w:rPr>
  </w:style>
  <w:style w:type="paragraph" w:customStyle="1" w:styleId="xl165">
    <w:name w:val="xl165"/>
    <w:basedOn w:val="Normal"/>
    <w:rsid w:val="00D845EC"/>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b/>
      <w:bCs/>
      <w:sz w:val="10"/>
      <w:szCs w:val="10"/>
      <w:lang w:eastAsia="sq-AL"/>
    </w:rPr>
  </w:style>
  <w:style w:type="paragraph" w:customStyle="1" w:styleId="xl166">
    <w:name w:val="xl166"/>
    <w:basedOn w:val="Normal"/>
    <w:rsid w:val="00D845EC"/>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0"/>
      <w:szCs w:val="10"/>
      <w:lang w:eastAsia="sq-AL"/>
    </w:rPr>
  </w:style>
  <w:style w:type="paragraph" w:customStyle="1" w:styleId="xl167">
    <w:name w:val="xl167"/>
    <w:basedOn w:val="Normal"/>
    <w:rsid w:val="00D845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FF0000"/>
      <w:sz w:val="10"/>
      <w:szCs w:val="10"/>
      <w:lang w:eastAsia="sq-AL"/>
    </w:rPr>
  </w:style>
  <w:style w:type="paragraph" w:customStyle="1" w:styleId="xl168">
    <w:name w:val="xl168"/>
    <w:basedOn w:val="Normal"/>
    <w:rsid w:val="00D845EC"/>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b/>
      <w:bCs/>
      <w:color w:val="FF0000"/>
      <w:sz w:val="10"/>
      <w:szCs w:val="10"/>
      <w:lang w:eastAsia="sq-AL"/>
    </w:rPr>
  </w:style>
  <w:style w:type="paragraph" w:customStyle="1" w:styleId="xl169">
    <w:name w:val="xl169"/>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70">
    <w:name w:val="xl170"/>
    <w:basedOn w:val="Normal"/>
    <w:rsid w:val="00D845E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71">
    <w:name w:val="xl171"/>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172">
    <w:name w:val="xl172"/>
    <w:basedOn w:val="Normal"/>
    <w:rsid w:val="00D845EC"/>
    <w:pPr>
      <w:pBdr>
        <w:left w:val="single" w:sz="8" w:space="0" w:color="auto"/>
        <w:bottom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73">
    <w:name w:val="xl173"/>
    <w:basedOn w:val="Normal"/>
    <w:rsid w:val="00D845EC"/>
    <w:pPr>
      <w:pBdr>
        <w:bottom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74">
    <w:name w:val="xl174"/>
    <w:basedOn w:val="Normal"/>
    <w:rsid w:val="00D845EC"/>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0"/>
      <w:szCs w:val="10"/>
      <w:lang w:eastAsia="sq-AL"/>
    </w:rPr>
  </w:style>
  <w:style w:type="paragraph" w:customStyle="1" w:styleId="xl175">
    <w:name w:val="xl175"/>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0"/>
      <w:szCs w:val="10"/>
      <w:lang w:eastAsia="sq-AL"/>
    </w:rPr>
  </w:style>
  <w:style w:type="paragraph" w:customStyle="1" w:styleId="xl176">
    <w:name w:val="xl176"/>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0"/>
      <w:szCs w:val="10"/>
      <w:lang w:eastAsia="sq-AL"/>
    </w:rPr>
  </w:style>
  <w:style w:type="paragraph" w:customStyle="1" w:styleId="xl177">
    <w:name w:val="xl177"/>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0"/>
      <w:szCs w:val="10"/>
      <w:lang w:eastAsia="sq-AL"/>
    </w:rPr>
  </w:style>
  <w:style w:type="paragraph" w:customStyle="1" w:styleId="xl178">
    <w:name w:val="xl178"/>
    <w:basedOn w:val="Normal"/>
    <w:rsid w:val="00D845E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10"/>
      <w:szCs w:val="10"/>
      <w:lang w:eastAsia="sq-AL"/>
    </w:rPr>
  </w:style>
  <w:style w:type="paragraph" w:customStyle="1" w:styleId="xl179">
    <w:name w:val="xl179"/>
    <w:basedOn w:val="Normal"/>
    <w:rsid w:val="00D845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0"/>
      <w:szCs w:val="10"/>
      <w:lang w:eastAsia="sq-AL"/>
    </w:rPr>
  </w:style>
  <w:style w:type="paragraph" w:customStyle="1" w:styleId="xl180">
    <w:name w:val="xl180"/>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0"/>
      <w:szCs w:val="10"/>
      <w:lang w:eastAsia="sq-AL"/>
    </w:rPr>
  </w:style>
  <w:style w:type="paragraph" w:customStyle="1" w:styleId="xl181">
    <w:name w:val="xl181"/>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0"/>
      <w:szCs w:val="10"/>
      <w:lang w:eastAsia="sq-AL"/>
    </w:rPr>
  </w:style>
  <w:style w:type="paragraph" w:customStyle="1" w:styleId="xl182">
    <w:name w:val="xl182"/>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0"/>
      <w:szCs w:val="10"/>
      <w:lang w:eastAsia="sq-AL"/>
    </w:rPr>
  </w:style>
  <w:style w:type="paragraph" w:customStyle="1" w:styleId="xl183">
    <w:name w:val="xl183"/>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0"/>
      <w:szCs w:val="10"/>
      <w:lang w:eastAsia="sq-AL"/>
    </w:rPr>
  </w:style>
  <w:style w:type="paragraph" w:customStyle="1" w:styleId="xl184">
    <w:name w:val="xl184"/>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pPr>
    <w:rPr>
      <w:sz w:val="10"/>
      <w:szCs w:val="10"/>
      <w:lang w:eastAsia="sq-AL"/>
    </w:rPr>
  </w:style>
  <w:style w:type="paragraph" w:customStyle="1" w:styleId="xl185">
    <w:name w:val="xl185"/>
    <w:basedOn w:val="Normal"/>
    <w:rsid w:val="00D845E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10"/>
      <w:szCs w:val="10"/>
      <w:lang w:eastAsia="sq-AL"/>
    </w:rPr>
  </w:style>
  <w:style w:type="paragraph" w:customStyle="1" w:styleId="xl186">
    <w:name w:val="xl186"/>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0"/>
      <w:szCs w:val="10"/>
      <w:lang w:eastAsia="sq-AL"/>
    </w:rPr>
  </w:style>
  <w:style w:type="paragraph" w:customStyle="1" w:styleId="xl187">
    <w:name w:val="xl187"/>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0"/>
      <w:szCs w:val="10"/>
      <w:lang w:eastAsia="sq-AL"/>
    </w:rPr>
  </w:style>
  <w:style w:type="paragraph" w:customStyle="1" w:styleId="xl188">
    <w:name w:val="xl188"/>
    <w:basedOn w:val="Normal"/>
    <w:rsid w:val="00D845E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0"/>
      <w:szCs w:val="10"/>
      <w:lang w:eastAsia="sq-AL"/>
    </w:rPr>
  </w:style>
  <w:style w:type="paragraph" w:customStyle="1" w:styleId="xl189">
    <w:name w:val="xl189"/>
    <w:basedOn w:val="Normal"/>
    <w:rsid w:val="00D845E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b/>
      <w:bCs/>
      <w:sz w:val="10"/>
      <w:szCs w:val="10"/>
      <w:lang w:eastAsia="sq-AL"/>
    </w:rPr>
  </w:style>
  <w:style w:type="paragraph" w:customStyle="1" w:styleId="xl190">
    <w:name w:val="xl190"/>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0"/>
      <w:szCs w:val="10"/>
      <w:lang w:eastAsia="sq-AL"/>
    </w:rPr>
  </w:style>
  <w:style w:type="paragraph" w:customStyle="1" w:styleId="xl191">
    <w:name w:val="xl191"/>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0"/>
      <w:szCs w:val="10"/>
      <w:lang w:eastAsia="sq-AL"/>
    </w:rPr>
  </w:style>
  <w:style w:type="paragraph" w:customStyle="1" w:styleId="xl192">
    <w:name w:val="xl192"/>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sz w:val="10"/>
      <w:szCs w:val="10"/>
      <w:lang w:eastAsia="sq-AL"/>
    </w:rPr>
  </w:style>
  <w:style w:type="paragraph" w:customStyle="1" w:styleId="xl193">
    <w:name w:val="xl193"/>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0"/>
      <w:szCs w:val="10"/>
      <w:lang w:eastAsia="sq-AL"/>
    </w:rPr>
  </w:style>
  <w:style w:type="paragraph" w:customStyle="1" w:styleId="xl194">
    <w:name w:val="xl194"/>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0"/>
      <w:szCs w:val="10"/>
      <w:lang w:eastAsia="sq-AL"/>
    </w:rPr>
  </w:style>
  <w:style w:type="paragraph" w:customStyle="1" w:styleId="xl195">
    <w:name w:val="xl195"/>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color w:val="FF0000"/>
      <w:sz w:val="10"/>
      <w:szCs w:val="10"/>
      <w:lang w:eastAsia="sq-AL"/>
    </w:rPr>
  </w:style>
  <w:style w:type="paragraph" w:customStyle="1" w:styleId="xl196">
    <w:name w:val="xl196"/>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0"/>
      <w:szCs w:val="10"/>
      <w:lang w:eastAsia="sq-AL"/>
    </w:rPr>
  </w:style>
  <w:style w:type="paragraph" w:customStyle="1" w:styleId="xl197">
    <w:name w:val="xl197"/>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0"/>
      <w:szCs w:val="10"/>
      <w:lang w:eastAsia="sq-AL"/>
    </w:rPr>
  </w:style>
  <w:style w:type="paragraph" w:customStyle="1" w:styleId="xl198">
    <w:name w:val="xl198"/>
    <w:basedOn w:val="Normal"/>
    <w:rsid w:val="00D845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FF0000"/>
      <w:sz w:val="10"/>
      <w:szCs w:val="10"/>
      <w:lang w:eastAsia="sq-AL"/>
    </w:rPr>
  </w:style>
  <w:style w:type="paragraph" w:customStyle="1" w:styleId="xl199">
    <w:name w:val="xl199"/>
    <w:basedOn w:val="Normal"/>
    <w:rsid w:val="00D845EC"/>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b/>
      <w:bCs/>
      <w:color w:val="FF0000"/>
      <w:sz w:val="10"/>
      <w:szCs w:val="10"/>
      <w:lang w:eastAsia="sq-AL"/>
    </w:rPr>
  </w:style>
  <w:style w:type="paragraph" w:customStyle="1" w:styleId="xl200">
    <w:name w:val="xl200"/>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0"/>
      <w:szCs w:val="10"/>
      <w:lang w:eastAsia="sq-AL"/>
    </w:rPr>
  </w:style>
  <w:style w:type="paragraph" w:customStyle="1" w:styleId="xl201">
    <w:name w:val="xl201"/>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0"/>
      <w:szCs w:val="10"/>
      <w:lang w:eastAsia="sq-AL"/>
    </w:rPr>
  </w:style>
  <w:style w:type="paragraph" w:customStyle="1" w:styleId="xl202">
    <w:name w:val="xl202"/>
    <w:basedOn w:val="Normal"/>
    <w:rsid w:val="00D845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0"/>
      <w:szCs w:val="10"/>
      <w:lang w:eastAsia="sq-AL"/>
    </w:rPr>
  </w:style>
  <w:style w:type="paragraph" w:customStyle="1" w:styleId="xl203">
    <w:name w:val="xl203"/>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0"/>
      <w:szCs w:val="10"/>
      <w:lang w:eastAsia="sq-AL"/>
    </w:rPr>
  </w:style>
  <w:style w:type="paragraph" w:customStyle="1" w:styleId="xl204">
    <w:name w:val="xl204"/>
    <w:basedOn w:val="Normal"/>
    <w:rsid w:val="00D8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0"/>
      <w:szCs w:val="10"/>
      <w:lang w:eastAsia="sq-AL"/>
    </w:rPr>
  </w:style>
  <w:style w:type="paragraph" w:customStyle="1" w:styleId="xl205">
    <w:name w:val="xl205"/>
    <w:basedOn w:val="Normal"/>
    <w:rsid w:val="00D845E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0"/>
      <w:szCs w:val="10"/>
      <w:lang w:eastAsia="sq-AL"/>
    </w:rPr>
  </w:style>
  <w:style w:type="paragraph" w:customStyle="1" w:styleId="xl206">
    <w:name w:val="xl206"/>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0"/>
      <w:szCs w:val="10"/>
      <w:lang w:eastAsia="sq-AL"/>
    </w:rPr>
  </w:style>
  <w:style w:type="paragraph" w:customStyle="1" w:styleId="xl207">
    <w:name w:val="xl207"/>
    <w:basedOn w:val="Normal"/>
    <w:rsid w:val="00D845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0"/>
      <w:szCs w:val="10"/>
      <w:lang w:eastAsia="sq-AL"/>
    </w:rPr>
  </w:style>
  <w:style w:type="paragraph" w:customStyle="1" w:styleId="xl208">
    <w:name w:val="xl208"/>
    <w:basedOn w:val="Normal"/>
    <w:rsid w:val="00D845EC"/>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jc w:val="center"/>
    </w:pPr>
    <w:rPr>
      <w:b/>
      <w:bCs/>
      <w:sz w:val="10"/>
      <w:szCs w:val="10"/>
      <w:lang w:eastAsia="sq-AL"/>
    </w:rPr>
  </w:style>
  <w:style w:type="paragraph" w:customStyle="1" w:styleId="xl209">
    <w:name w:val="xl209"/>
    <w:basedOn w:val="Normal"/>
    <w:rsid w:val="00D845EC"/>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textAlignment w:val="center"/>
    </w:pPr>
    <w:rPr>
      <w:b/>
      <w:bCs/>
      <w:color w:val="FF0000"/>
      <w:sz w:val="10"/>
      <w:szCs w:val="10"/>
      <w:lang w:eastAsia="sq-AL"/>
    </w:rPr>
  </w:style>
  <w:style w:type="paragraph" w:customStyle="1" w:styleId="xl210">
    <w:name w:val="xl210"/>
    <w:basedOn w:val="Normal"/>
    <w:rsid w:val="00D845EC"/>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jc w:val="center"/>
      <w:textAlignment w:val="center"/>
    </w:pPr>
    <w:rPr>
      <w:sz w:val="10"/>
      <w:szCs w:val="10"/>
      <w:lang w:eastAsia="sq-AL"/>
    </w:rPr>
  </w:style>
  <w:style w:type="paragraph" w:customStyle="1" w:styleId="xl211">
    <w:name w:val="xl211"/>
    <w:basedOn w:val="Normal"/>
    <w:rsid w:val="00D845EC"/>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pPr>
    <w:rPr>
      <w:sz w:val="10"/>
      <w:szCs w:val="10"/>
      <w:lang w:eastAsia="sq-AL"/>
    </w:rPr>
  </w:style>
  <w:style w:type="paragraph" w:customStyle="1" w:styleId="xl212">
    <w:name w:val="xl212"/>
    <w:basedOn w:val="Normal"/>
    <w:rsid w:val="00D845EC"/>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jc w:val="center"/>
    </w:pPr>
    <w:rPr>
      <w:sz w:val="10"/>
      <w:szCs w:val="10"/>
      <w:lang w:eastAsia="sq-AL"/>
    </w:rPr>
  </w:style>
  <w:style w:type="paragraph" w:customStyle="1" w:styleId="xl213">
    <w:name w:val="xl213"/>
    <w:basedOn w:val="Normal"/>
    <w:rsid w:val="00D845EC"/>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jc w:val="center"/>
      <w:textAlignment w:val="center"/>
    </w:pPr>
    <w:rPr>
      <w:b/>
      <w:bCs/>
      <w:color w:val="FF0000"/>
      <w:sz w:val="10"/>
      <w:szCs w:val="10"/>
      <w:lang w:eastAsia="sq-AL"/>
    </w:rPr>
  </w:style>
  <w:style w:type="paragraph" w:customStyle="1" w:styleId="font7">
    <w:name w:val="font7"/>
    <w:basedOn w:val="Normal"/>
    <w:rsid w:val="00E2233D"/>
    <w:pPr>
      <w:spacing w:before="100" w:beforeAutospacing="1" w:after="100" w:afterAutospacing="1"/>
    </w:pPr>
    <w:rPr>
      <w:rFonts w:ascii="Arial" w:hAnsi="Arial" w:cs="Arial"/>
      <w:sz w:val="12"/>
      <w:szCs w:val="12"/>
      <w:lang w:eastAsia="sq-AL"/>
    </w:rPr>
  </w:style>
  <w:style w:type="paragraph" w:customStyle="1" w:styleId="xl214">
    <w:name w:val="xl214"/>
    <w:basedOn w:val="Normal"/>
    <w:rsid w:val="002117F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8"/>
      <w:szCs w:val="8"/>
      <w:lang w:eastAsia="sq-AL"/>
    </w:rPr>
  </w:style>
  <w:style w:type="paragraph" w:customStyle="1" w:styleId="xl215">
    <w:name w:val="xl215"/>
    <w:basedOn w:val="Normal"/>
    <w:rsid w:val="002117F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b/>
      <w:bCs/>
      <w:sz w:val="8"/>
      <w:szCs w:val="8"/>
      <w:lang w:eastAsia="sq-AL"/>
    </w:rPr>
  </w:style>
  <w:style w:type="paragraph" w:customStyle="1" w:styleId="xl216">
    <w:name w:val="xl216"/>
    <w:basedOn w:val="Normal"/>
    <w:rsid w:val="002117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8"/>
      <w:szCs w:val="8"/>
      <w:lang w:eastAsia="sq-AL"/>
    </w:rPr>
  </w:style>
  <w:style w:type="paragraph" w:customStyle="1" w:styleId="xl217">
    <w:name w:val="xl217"/>
    <w:basedOn w:val="Normal"/>
    <w:rsid w:val="002117FE"/>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jc w:val="center"/>
    </w:pPr>
    <w:rPr>
      <w:rFonts w:ascii="Arial" w:hAnsi="Arial" w:cs="Arial"/>
      <w:b/>
      <w:bCs/>
      <w:sz w:val="8"/>
      <w:szCs w:val="8"/>
      <w:lang w:eastAsia="sq-AL"/>
    </w:rPr>
  </w:style>
  <w:style w:type="paragraph" w:customStyle="1" w:styleId="xl218">
    <w:name w:val="xl218"/>
    <w:basedOn w:val="Normal"/>
    <w:rsid w:val="002117FE"/>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textAlignment w:val="center"/>
    </w:pPr>
    <w:rPr>
      <w:rFonts w:ascii="Arial" w:hAnsi="Arial" w:cs="Arial"/>
      <w:b/>
      <w:bCs/>
      <w:color w:val="FF0000"/>
      <w:sz w:val="8"/>
      <w:szCs w:val="8"/>
      <w:lang w:eastAsia="sq-AL"/>
    </w:rPr>
  </w:style>
  <w:style w:type="paragraph" w:customStyle="1" w:styleId="xl219">
    <w:name w:val="xl219"/>
    <w:basedOn w:val="Normal"/>
    <w:rsid w:val="002117FE"/>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jc w:val="center"/>
      <w:textAlignment w:val="center"/>
    </w:pPr>
    <w:rPr>
      <w:rFonts w:ascii="Arial" w:hAnsi="Arial" w:cs="Arial"/>
      <w:sz w:val="8"/>
      <w:szCs w:val="8"/>
      <w:lang w:eastAsia="sq-AL"/>
    </w:rPr>
  </w:style>
  <w:style w:type="paragraph" w:customStyle="1" w:styleId="xl220">
    <w:name w:val="xl220"/>
    <w:basedOn w:val="Normal"/>
    <w:rsid w:val="002117FE"/>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jc w:val="center"/>
    </w:pPr>
    <w:rPr>
      <w:rFonts w:ascii="Arial" w:hAnsi="Arial" w:cs="Arial"/>
      <w:sz w:val="8"/>
      <w:szCs w:val="8"/>
      <w:lang w:eastAsia="sq-AL"/>
    </w:rPr>
  </w:style>
  <w:style w:type="paragraph" w:customStyle="1" w:styleId="xl221">
    <w:name w:val="xl221"/>
    <w:basedOn w:val="Normal"/>
    <w:rsid w:val="002117FE"/>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jc w:val="center"/>
      <w:textAlignment w:val="center"/>
    </w:pPr>
    <w:rPr>
      <w:rFonts w:ascii="Arial" w:hAnsi="Arial" w:cs="Arial"/>
      <w:b/>
      <w:bCs/>
      <w:color w:val="FF0000"/>
      <w:sz w:val="8"/>
      <w:szCs w:val="8"/>
      <w:lang w:eastAsia="sq-AL"/>
    </w:rPr>
  </w:style>
  <w:style w:type="paragraph" w:customStyle="1" w:styleId="xl65">
    <w:name w:val="xl65"/>
    <w:basedOn w:val="Normal"/>
    <w:rsid w:val="00764695"/>
    <w:pPr>
      <w:shd w:val="clear" w:color="000000" w:fill="FFFFFF"/>
      <w:spacing w:before="100" w:beforeAutospacing="1" w:after="100" w:afterAutospacing="1"/>
    </w:pPr>
    <w:rPr>
      <w:lang w:eastAsia="sq-AL"/>
    </w:rPr>
  </w:style>
  <w:style w:type="paragraph" w:customStyle="1" w:styleId="xl66">
    <w:name w:val="xl66"/>
    <w:basedOn w:val="Normal"/>
    <w:rsid w:val="0076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q-AL"/>
    </w:rPr>
  </w:style>
  <w:style w:type="paragraph" w:customStyle="1" w:styleId="xl67">
    <w:name w:val="xl67"/>
    <w:basedOn w:val="Normal"/>
    <w:rsid w:val="00764695"/>
    <w:pPr>
      <w:spacing w:before="100" w:beforeAutospacing="1" w:after="100" w:afterAutospacing="1"/>
    </w:pPr>
    <w:rPr>
      <w:sz w:val="8"/>
      <w:szCs w:val="8"/>
      <w:lang w:eastAsia="sq-AL"/>
    </w:rPr>
  </w:style>
  <w:style w:type="paragraph" w:customStyle="1" w:styleId="xl68">
    <w:name w:val="xl68"/>
    <w:basedOn w:val="Normal"/>
    <w:rsid w:val="00764695"/>
    <w:pPr>
      <w:spacing w:before="100" w:beforeAutospacing="1" w:after="100" w:afterAutospacing="1"/>
    </w:pPr>
    <w:rPr>
      <w:b/>
      <w:bCs/>
      <w:sz w:val="8"/>
      <w:szCs w:val="8"/>
      <w:lang w:eastAsia="sq-AL"/>
    </w:rPr>
  </w:style>
  <w:style w:type="paragraph" w:customStyle="1" w:styleId="xl69">
    <w:name w:val="xl69"/>
    <w:basedOn w:val="Normal"/>
    <w:rsid w:val="0076469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8"/>
      <w:szCs w:val="8"/>
      <w:lang w:eastAsia="sq-AL"/>
    </w:rPr>
  </w:style>
  <w:style w:type="paragraph" w:customStyle="1" w:styleId="xl70">
    <w:name w:val="xl70"/>
    <w:basedOn w:val="Normal"/>
    <w:rsid w:val="0076469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8"/>
      <w:szCs w:val="8"/>
      <w:lang w:eastAsia="sq-AL"/>
    </w:rPr>
  </w:style>
  <w:style w:type="paragraph" w:customStyle="1" w:styleId="xl71">
    <w:name w:val="xl71"/>
    <w:basedOn w:val="Normal"/>
    <w:rsid w:val="0076469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8"/>
      <w:szCs w:val="8"/>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2987">
      <w:bodyDiv w:val="1"/>
      <w:marLeft w:val="0"/>
      <w:marRight w:val="0"/>
      <w:marTop w:val="0"/>
      <w:marBottom w:val="0"/>
      <w:divBdr>
        <w:top w:val="none" w:sz="0" w:space="0" w:color="auto"/>
        <w:left w:val="none" w:sz="0" w:space="0" w:color="auto"/>
        <w:bottom w:val="none" w:sz="0" w:space="0" w:color="auto"/>
        <w:right w:val="none" w:sz="0" w:space="0" w:color="auto"/>
      </w:divBdr>
    </w:div>
    <w:div w:id="483207001">
      <w:bodyDiv w:val="1"/>
      <w:marLeft w:val="0"/>
      <w:marRight w:val="0"/>
      <w:marTop w:val="0"/>
      <w:marBottom w:val="0"/>
      <w:divBdr>
        <w:top w:val="none" w:sz="0" w:space="0" w:color="auto"/>
        <w:left w:val="none" w:sz="0" w:space="0" w:color="auto"/>
        <w:bottom w:val="none" w:sz="0" w:space="0" w:color="auto"/>
        <w:right w:val="none" w:sz="0" w:space="0" w:color="auto"/>
      </w:divBdr>
    </w:div>
    <w:div w:id="640571919">
      <w:bodyDiv w:val="1"/>
      <w:marLeft w:val="0"/>
      <w:marRight w:val="0"/>
      <w:marTop w:val="0"/>
      <w:marBottom w:val="0"/>
      <w:divBdr>
        <w:top w:val="none" w:sz="0" w:space="0" w:color="auto"/>
        <w:left w:val="none" w:sz="0" w:space="0" w:color="auto"/>
        <w:bottom w:val="none" w:sz="0" w:space="0" w:color="auto"/>
        <w:right w:val="none" w:sz="0" w:space="0" w:color="auto"/>
      </w:divBdr>
    </w:div>
    <w:div w:id="679508867">
      <w:bodyDiv w:val="1"/>
      <w:marLeft w:val="0"/>
      <w:marRight w:val="0"/>
      <w:marTop w:val="0"/>
      <w:marBottom w:val="0"/>
      <w:divBdr>
        <w:top w:val="none" w:sz="0" w:space="0" w:color="auto"/>
        <w:left w:val="none" w:sz="0" w:space="0" w:color="auto"/>
        <w:bottom w:val="none" w:sz="0" w:space="0" w:color="auto"/>
        <w:right w:val="none" w:sz="0" w:space="0" w:color="auto"/>
      </w:divBdr>
    </w:div>
    <w:div w:id="1094590934">
      <w:bodyDiv w:val="1"/>
      <w:marLeft w:val="0"/>
      <w:marRight w:val="0"/>
      <w:marTop w:val="0"/>
      <w:marBottom w:val="0"/>
      <w:divBdr>
        <w:top w:val="none" w:sz="0" w:space="0" w:color="auto"/>
        <w:left w:val="none" w:sz="0" w:space="0" w:color="auto"/>
        <w:bottom w:val="none" w:sz="0" w:space="0" w:color="auto"/>
        <w:right w:val="none" w:sz="0" w:space="0" w:color="auto"/>
      </w:divBdr>
    </w:div>
    <w:div w:id="1455249820">
      <w:bodyDiv w:val="1"/>
      <w:marLeft w:val="0"/>
      <w:marRight w:val="0"/>
      <w:marTop w:val="0"/>
      <w:marBottom w:val="0"/>
      <w:divBdr>
        <w:top w:val="none" w:sz="0" w:space="0" w:color="auto"/>
        <w:left w:val="none" w:sz="0" w:space="0" w:color="auto"/>
        <w:bottom w:val="none" w:sz="0" w:space="0" w:color="auto"/>
        <w:right w:val="none" w:sz="0" w:space="0" w:color="auto"/>
      </w:divBdr>
    </w:div>
    <w:div w:id="1941601270">
      <w:bodyDiv w:val="1"/>
      <w:marLeft w:val="0"/>
      <w:marRight w:val="0"/>
      <w:marTop w:val="0"/>
      <w:marBottom w:val="0"/>
      <w:divBdr>
        <w:top w:val="none" w:sz="0" w:space="0" w:color="auto"/>
        <w:left w:val="none" w:sz="0" w:space="0" w:color="auto"/>
        <w:bottom w:val="none" w:sz="0" w:space="0" w:color="auto"/>
        <w:right w:val="none" w:sz="0" w:space="0" w:color="auto"/>
      </w:divBdr>
    </w:div>
    <w:div w:id="19617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qbz.gov.al/eli/ligj/2004/11/25/9322/4e9d0f51-cae5-400f-b80c-079223153802;q=strategjia%20e%20sigurise%20kombetare" TargetMode="External"/><Relationship Id="rId18" Type="http://schemas.openxmlformats.org/officeDocument/2006/relationships/chart" Target="charts/chart3.xm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2.xm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qbz.gov.al/eli/vendim/2016/11/02/765/c65efc53-4d4a-47ef-a3d2-eac388f52611;q=Plani%20i%20veprimit%202013-2016" TargetMode="External"/><Relationship Id="rId23" Type="http://schemas.openxmlformats.org/officeDocument/2006/relationships/chart" Target="charts/chart8.xml"/><Relationship Id="rId28" Type="http://schemas.openxmlformats.org/officeDocument/2006/relationships/chart" Target="charts/chart10.xml"/><Relationship Id="rId10" Type="http://schemas.openxmlformats.org/officeDocument/2006/relationships/webSettings" Target="webSettings.xml"/><Relationship Id="rId19" Type="http://schemas.openxmlformats.org/officeDocument/2006/relationships/chart" Target="charts/chart4.xm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kryeministria.al/strategjia-kombetare-per-zhvillim-dhe-integrim-2015-2020/" TargetMode="External"/><Relationship Id="rId22" Type="http://schemas.openxmlformats.org/officeDocument/2006/relationships/chart" Target="charts/chart7.xml"/><Relationship Id="rId27" Type="http://schemas.openxmlformats.org/officeDocument/2006/relationships/chart" Target="charts/chart9.xml"/><Relationship Id="rId30" Type="http://schemas.openxmlformats.org/officeDocument/2006/relationships/chart" Target="charts/chart12.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cms/sites/default/files/documents/Tesat_Report_2022_0.pdf" TargetMode="External"/><Relationship Id="rId2" Type="http://schemas.openxmlformats.org/officeDocument/2006/relationships/hyperlink" Target="https://www.europol.europa.eu/cms/sites/default/files/documents/Tesat_Report_2021_0.pdf" TargetMode="External"/><Relationship Id="rId1" Type="http://schemas.openxmlformats.org/officeDocument/2006/relationships/hyperlink" Target="https://neighbourhood-enlargement.ec.europa.eu/system/files/2022-10/Albania%20Report%202022.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1" Type="http://schemas.openxmlformats.org/officeDocument/2006/relationships/oleObject" Target="C:/Users/ermira.bukaci/Desktop/VKM-fundit/14.2.2023/Plani%20i%20Veprimit%20p&#235;r%20Luft&#235;n%20Kund&#235;r%20Terrorizmit%202023-2025(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C:/Users/ermira.bukaci/Desktop/VKM-fundit/14.2.2023/Plani%20i%20Veprimit%20p&#235;r%20Luft&#235;n%20Kund&#235;r%20Terrorizmit%202023-2025(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C:/Users/ermira.bukaci/Desktop/VKM-fundit/14.2.2023/Plani%20i%20Veprimit%20p&#235;r%20Parandalimin%20dhe%20Kund&#235;rshtimin%20e%20Ekstremizmit%20t&#235;%20Dhunsh&#235;m%202023-2025(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C:/Users/ermira.bukaci/Desktop/VKM-fundit/14.2.2023/Plani%20i%20Veprimit%20p&#235;r%20Parandalimin%20dhe%20Kund&#235;rshtimin%20e%20Ekstremizmit%20t&#235;%20Dhunsh&#235;m%202023-202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0" u="none" strike="noStrike" kern="1200" spc="0" baseline="0">
                <a:solidFill>
                  <a:schemeClr val="tx1">
                    <a:lumMod val="65000"/>
                    <a:lumOff val="35000"/>
                  </a:schemeClr>
                </a:solidFill>
                <a:latin typeface="+mn-lt"/>
                <a:ea typeface="+mn-ea"/>
                <a:cs typeface="+mn-cs"/>
              </a:defRPr>
            </a:pPr>
            <a:r>
              <a:rPr lang="en-US" sz="1400" b="1">
                <a:latin typeface="+mn-lt"/>
              </a:rPr>
              <a:t>KOSTO E PLANIT TË VEPRIMIT NDARJA E SHPENZIMEVE</a:t>
            </a:r>
          </a:p>
        </c:rich>
      </c:tx>
      <c:layout>
        <c:manualLayout>
          <c:xMode val="edge"/>
          <c:yMode val="edge"/>
          <c:x val="0.16839521331020063"/>
          <c:y val="3.258039064135388E-2"/>
        </c:manualLayout>
      </c:layout>
      <c:overlay val="0"/>
      <c:spPr>
        <a:noFill/>
        <a:ln w="25400">
          <a:noFill/>
        </a:ln>
      </c:sp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0F9-4721-96AE-00B7665F9A1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F9-4721-96AE-00B7665F9A1D}"/>
              </c:ext>
            </c:extLst>
          </c:dPt>
          <c:dLbls>
            <c:dLbl>
              <c:idx val="0"/>
              <c:layout>
                <c:manualLayout>
                  <c:x val="1.4528404288446995E-2"/>
                  <c:y val="-0.19830813326248337"/>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bg1"/>
                        </a:solidFill>
                        <a:latin typeface="+mn-lt"/>
                        <a:ea typeface="+mn-ea"/>
                        <a:cs typeface="+mn-cs"/>
                      </a:defRPr>
                    </a:pPr>
                    <a:fld id="{E27CA202-3A2B-4E74-B04C-85C4B96E40D9}" type="CATEGORYNAME">
                      <a:rPr lang="en-US">
                        <a:solidFill>
                          <a:schemeClr val="bg1"/>
                        </a:solidFill>
                      </a:rPr>
                      <a:pPr>
                        <a:defRPr sz="1200" b="1" i="0" u="none" strike="noStrike" kern="1200" baseline="0">
                          <a:solidFill>
                            <a:schemeClr val="bg1"/>
                          </a:solidFill>
                          <a:latin typeface="+mn-lt"/>
                          <a:ea typeface="+mn-ea"/>
                          <a:cs typeface="+mn-cs"/>
                        </a:defRPr>
                      </a:pPr>
                      <a:t>[CATEGORY NAME]</a:t>
                    </a:fld>
                    <a:endParaRPr lang="en-US">
                      <a:solidFill>
                        <a:schemeClr val="bg1"/>
                      </a:solidFill>
                    </a:endParaRPr>
                  </a:p>
                  <a:p>
                    <a:pPr>
                      <a:defRPr sz="1200" b="1" i="0" u="none" strike="noStrike" kern="1200" baseline="0">
                        <a:solidFill>
                          <a:schemeClr val="bg1"/>
                        </a:solidFill>
                        <a:latin typeface="+mn-lt"/>
                        <a:ea typeface="+mn-ea"/>
                        <a:cs typeface="+mn-cs"/>
                      </a:defRPr>
                    </a:pPr>
                    <a:r>
                      <a:rPr lang="en-US" baseline="0">
                        <a:solidFill>
                          <a:schemeClr val="bg1"/>
                        </a:solidFill>
                      </a:rPr>
                      <a:t> 99%</a:t>
                    </a:r>
                  </a:p>
                </c:rich>
              </c:tx>
              <c:spPr>
                <a:noFill/>
                <a:ln w="25400">
                  <a:noFill/>
                </a:ln>
              </c:spPr>
              <c:dLblPos val="bestFit"/>
              <c:showLegendKey val="0"/>
              <c:showVal val="0"/>
              <c:showCatName val="1"/>
              <c:showSerName val="0"/>
              <c:showPercent val="1"/>
              <c:showBubbleSize val="0"/>
              <c:extLst>
                <c:ext xmlns:c15="http://schemas.microsoft.com/office/drawing/2012/chart" uri="{CE6537A1-D6FC-4f65-9D91-7224C49458BB}">
                  <c15:layout>
                    <c:manualLayout>
                      <c:w val="0.30204675556703203"/>
                      <c:h val="0.19247340613906719"/>
                    </c:manualLayout>
                  </c15:layout>
                  <c15:dlblFieldTable/>
                  <c15:showDataLabelsRange val="0"/>
                </c:ext>
                <c:ext xmlns:c16="http://schemas.microsoft.com/office/drawing/2014/chart" uri="{C3380CC4-5D6E-409C-BE32-E72D297353CC}">
                  <c16:uniqueId val="{00000001-60F9-4721-96AE-00B7665F9A1D}"/>
                </c:ext>
              </c:extLst>
            </c:dLbl>
            <c:dLbl>
              <c:idx val="1"/>
              <c:layout>
                <c:manualLayout>
                  <c:x val="0.22703474353841355"/>
                  <c:y val="0.14844081606363621"/>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tx1">
                            <a:lumMod val="75000"/>
                            <a:lumOff val="25000"/>
                          </a:schemeClr>
                        </a:solidFill>
                        <a:latin typeface="+mn-lt"/>
                        <a:ea typeface="+mn-ea"/>
                        <a:cs typeface="+mn-cs"/>
                      </a:defRPr>
                    </a:pPr>
                    <a:r>
                      <a:rPr lang="en-US" sz="1200"/>
                      <a:t>Financim i Huaj</a:t>
                    </a:r>
                    <a:r>
                      <a:rPr lang="en-US" sz="1200" baseline="0"/>
                      <a:t> </a:t>
                    </a:r>
                  </a:p>
                  <a:p>
                    <a:pPr>
                      <a:defRPr sz="1200" b="1" i="0" u="none" strike="noStrike" kern="1200" baseline="0">
                        <a:solidFill>
                          <a:schemeClr val="tx1">
                            <a:lumMod val="75000"/>
                            <a:lumOff val="25000"/>
                          </a:schemeClr>
                        </a:solidFill>
                        <a:latin typeface="+mn-lt"/>
                        <a:ea typeface="+mn-ea"/>
                        <a:cs typeface="+mn-cs"/>
                      </a:defRPr>
                    </a:pPr>
                    <a:r>
                      <a:rPr lang="en-US" sz="1200" baseline="0"/>
                      <a:t>1%</a:t>
                    </a:r>
                  </a:p>
                </c:rich>
              </c:tx>
              <c:spPr>
                <a:noFill/>
                <a:ln w="25400">
                  <a:noFill/>
                </a:ln>
              </c:spPr>
              <c:dLblPos val="bestFit"/>
              <c:showLegendKey val="0"/>
              <c:showVal val="0"/>
              <c:showCatName val="1"/>
              <c:showSerName val="0"/>
              <c:showPercent val="1"/>
              <c:showBubbleSize val="0"/>
              <c:extLst>
                <c:ext xmlns:c15="http://schemas.microsoft.com/office/drawing/2012/chart" uri="{CE6537A1-D6FC-4f65-9D91-7224C49458BB}">
                  <c15:layout>
                    <c:manualLayout>
                      <c:w val="0.2624732400362208"/>
                      <c:h val="0.14857675874827281"/>
                    </c:manualLayout>
                  </c15:layout>
                  <c15:showDataLabelsRange val="0"/>
                </c:ext>
                <c:ext xmlns:c16="http://schemas.microsoft.com/office/drawing/2014/chart" uri="{C3380CC4-5D6E-409C-BE32-E72D297353CC}">
                  <c16:uniqueId val="{00000003-60F9-4721-96AE-00B7665F9A1D}"/>
                </c:ext>
              </c:extLst>
            </c:dLbl>
            <c:dLbl>
              <c:idx val="2"/>
              <c:layout>
                <c:manualLayout>
                  <c:x val="-6.7574864227943232E-2"/>
                  <c:y val="-3.698666794443673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60F9-4721-96AE-00B7665F9A1D}"/>
                </c:ext>
              </c:extLst>
            </c:dLbl>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Luftën Kundër Terrorizmit 2023-2025 dhe QKEDH per MFE.xlsx]Qëllimi i Politikave per MFE'!$G$99:$G$101</c:f>
              <c:strCache>
                <c:ptCount val="2"/>
                <c:pt idx="0">
                  <c:v>PBA 2023-2025</c:v>
                </c:pt>
                <c:pt idx="1">
                  <c:v>Financim I Huaj</c:v>
                </c:pt>
              </c:strCache>
              <c:extLst/>
            </c:strRef>
          </c:cat>
          <c:val>
            <c:numRef>
              <c:f>'[Plani i Veprimit për Luftën Kundër Terrorizmit 2023-2025 dhe QKEDH per MFE.xlsx]Qëllimi i Politikave per MFE'!$H$99:$H$101</c:f>
              <c:numCache>
                <c:formatCode>#,##0</c:formatCode>
                <c:ptCount val="2"/>
                <c:pt idx="0">
                  <c:v>2361390601.75</c:v>
                </c:pt>
                <c:pt idx="1">
                  <c:v>2927313</c:v>
                </c:pt>
              </c:numCache>
              <c:extLst/>
            </c:numRef>
          </c:val>
          <c:extLst>
            <c:ext xmlns:c16="http://schemas.microsoft.com/office/drawing/2014/chart" uri="{C3380CC4-5D6E-409C-BE32-E72D297353CC}">
              <c16:uniqueId val="{00000005-60F9-4721-96AE-00B7665F9A1D}"/>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Kosto të lidhura me qëllimin e politikave</a:t>
            </a:r>
            <a:r>
              <a:rPr lang="en-US" sz="1400" b="1" i="0" u="none" strike="noStrike" kern="1200" spc="0" baseline="0">
                <a:solidFill>
                  <a:sysClr val="windowText" lastClr="000000">
                    <a:lumMod val="65000"/>
                    <a:lumOff val="35000"/>
                  </a:sysClr>
                </a:solidFill>
                <a:latin typeface="+mn-lt"/>
                <a:ea typeface="+mn-ea"/>
                <a:cs typeface="+mn-cs"/>
              </a:rPr>
              <a:t> </a:t>
            </a:r>
            <a:r>
              <a:rPr lang="en-US" sz="1200" i="1" baseline="0"/>
              <a:t>(në lekë)</a:t>
            </a:r>
            <a:r>
              <a:rPr lang="en-US" sz="1200" i="1"/>
              <a:t> </a:t>
            </a:r>
            <a:endParaRPr lang="en-US" i="1"/>
          </a:p>
        </c:rich>
      </c:tx>
      <c:overlay val="0"/>
      <c:spPr>
        <a:noFill/>
        <a:ln>
          <a:noFill/>
        </a:ln>
        <a:effectLst/>
      </c:spPr>
    </c:title>
    <c:autoTitleDeleted val="0"/>
    <c:plotArea>
      <c:layout>
        <c:manualLayout>
          <c:layoutTarget val="inner"/>
          <c:xMode val="edge"/>
          <c:yMode val="edge"/>
          <c:x val="1.8739491190242225E-2"/>
          <c:y val="0.16851034101328832"/>
          <c:w val="0.93470649604381706"/>
          <c:h val="0.76389247092727086"/>
        </c:manualLayout>
      </c:layout>
      <c:barChart>
        <c:barDir val="col"/>
        <c:grouping val="percentStacked"/>
        <c:varyColors val="0"/>
        <c:ser>
          <c:idx val="0"/>
          <c:order val="0"/>
          <c:spPr>
            <a:solidFill>
              <a:schemeClr val="accent1"/>
            </a:solidFill>
            <a:ln>
              <a:noFill/>
            </a:ln>
            <a:effectLst/>
          </c:spPr>
          <c:invertIfNegative val="0"/>
          <c:dLbls>
            <c:dLbl>
              <c:idx val="0"/>
              <c:layout>
                <c:manualLayout>
                  <c:x val="0"/>
                  <c:y val="0.366118807759036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0E-4585-B751-762EBCFD5606}"/>
                </c:ext>
              </c:extLst>
            </c:dLbl>
            <c:dLbl>
              <c:idx val="1"/>
              <c:layout>
                <c:manualLayout>
                  <c:x val="4.4077132436627841E-3"/>
                  <c:y val="0.321618179191639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0E-4585-B751-762EBCFD5606}"/>
                </c:ext>
              </c:extLst>
            </c:dLbl>
            <c:dLbl>
              <c:idx val="2"/>
              <c:layout>
                <c:manualLayout>
                  <c:x val="1.0284664235213136E-2"/>
                  <c:y val="0.252844480496572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0E-4585-B751-762EBCFD5606}"/>
                </c:ext>
              </c:extLst>
            </c:dLbl>
            <c:dLbl>
              <c:idx val="3"/>
              <c:layout>
                <c:manualLayout>
                  <c:x val="1.4692377478875678E-3"/>
                  <c:y val="0.1678887350497238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0E-4585-B751-762EBCFD5606}"/>
                </c:ext>
              </c:extLst>
            </c:dLbl>
            <c:dLbl>
              <c:idx val="4"/>
              <c:layout>
                <c:manualLayout>
                  <c:x val="2.9384754957751894E-3"/>
                  <c:y val="0.105183303886574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0E-4585-B751-762EBCFD5606}"/>
                </c:ext>
              </c:extLst>
            </c:dLbl>
            <c:dLbl>
              <c:idx val="5"/>
              <c:layout>
                <c:manualLayout>
                  <c:x val="4.4077710876686063E-3"/>
                  <c:y val="2.022755843972578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8.6038562516297531E-2"/>
                      <c:h val="4.0424855177848815E-2"/>
                    </c:manualLayout>
                  </c15:layout>
                </c:ext>
                <c:ext xmlns:c16="http://schemas.microsoft.com/office/drawing/2014/chart" uri="{C3380CC4-5D6E-409C-BE32-E72D297353CC}">
                  <c16:uniqueId val="{00000005-150E-4585-B751-762EBCFD5606}"/>
                </c:ext>
              </c:extLst>
            </c:dLbl>
            <c:dLbl>
              <c:idx val="6"/>
              <c:layout>
                <c:manualLayout>
                  <c:x val="1.4692377478875947E-3"/>
                  <c:y val="-4.85461402553418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0E-4585-B751-762EBCFD5606}"/>
                </c:ext>
              </c:extLst>
            </c:dLbl>
            <c:dLbl>
              <c:idx val="7"/>
              <c:layout>
                <c:manualLayout>
                  <c:x val="0"/>
                  <c:y val="-9.7092280510683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50E-4585-B751-762EBCFD5606}"/>
                </c:ext>
              </c:extLst>
            </c:dLbl>
            <c:dLbl>
              <c:idx val="8"/>
              <c:layout>
                <c:manualLayout>
                  <c:x val="2.9384754957751894E-3"/>
                  <c:y val="-0.13552464154616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50E-4585-B751-762EBCFD5606}"/>
                </c:ext>
              </c:extLst>
            </c:dLbl>
            <c:dLbl>
              <c:idx val="9"/>
              <c:layout>
                <c:manualLayout>
                  <c:x val="4.4077132436627841E-3"/>
                  <c:y val="-0.212389363617120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50E-4585-B751-762EBCFD5606}"/>
                </c:ext>
              </c:extLst>
            </c:dLbl>
            <c:dLbl>
              <c:idx val="10"/>
              <c:layout>
                <c:manualLayout>
                  <c:x val="-2.9384754957751894E-3"/>
                  <c:y val="-0.262958259716435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50E-4585-B751-762EBCFD5606}"/>
                </c:ext>
              </c:extLst>
            </c:dLbl>
            <c:dLbl>
              <c:idx val="11"/>
              <c:layout>
                <c:manualLayout>
                  <c:x val="-4.4077132436628917E-3"/>
                  <c:y val="-0.313527155815749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50E-4585-B751-762EBCFD5606}"/>
                </c:ext>
              </c:extLst>
            </c:dLbl>
            <c:dLbl>
              <c:idx val="12"/>
              <c:layout>
                <c:manualLayout>
                  <c:x val="-2.9384754957751894E-3"/>
                  <c:y val="-0.351959516851228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50E-4585-B751-762EBCFD560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'[Plani i Veprimit për Luftën Kundër Terrorizmit 2023-2025 dhe QKEDH per MFE.xlsx]Qëllimi i Politikave per MFE'!$J$98:$J$110</c:f>
              <c:strCache>
                <c:ptCount val="13"/>
                <c:pt idx="0">
                  <c:v>QP I</c:v>
                </c:pt>
                <c:pt idx="1">
                  <c:v>QP II</c:v>
                </c:pt>
                <c:pt idx="2">
                  <c:v>QP III</c:v>
                </c:pt>
                <c:pt idx="3">
                  <c:v>QP IV</c:v>
                </c:pt>
                <c:pt idx="4">
                  <c:v>QP V</c:v>
                </c:pt>
                <c:pt idx="5">
                  <c:v>QP  VI</c:v>
                </c:pt>
                <c:pt idx="6">
                  <c:v>QP VII</c:v>
                </c:pt>
                <c:pt idx="7">
                  <c:v>QP VIII</c:v>
                </c:pt>
                <c:pt idx="8">
                  <c:v>QP IX</c:v>
                </c:pt>
                <c:pt idx="9">
                  <c:v>QP X</c:v>
                </c:pt>
                <c:pt idx="10">
                  <c:v>QP XI</c:v>
                </c:pt>
                <c:pt idx="11">
                  <c:v>QP XII</c:v>
                </c:pt>
                <c:pt idx="12">
                  <c:v>QP XIII</c:v>
                </c:pt>
              </c:strCache>
            </c:strRef>
          </c:cat>
          <c:val>
            <c:numRef>
              <c:f>'[Plani i Veprimit për Luftën Kundër Terrorizmit 2023-2025 dhe QKEDH per MFE.xlsx]Qëllimi i Politikave per MFE'!$K$98:$K$110</c:f>
              <c:numCache>
                <c:formatCode>#,##0</c:formatCode>
                <c:ptCount val="13"/>
                <c:pt idx="0">
                  <c:v>369067600.60000002</c:v>
                </c:pt>
                <c:pt idx="1">
                  <c:v>458503800</c:v>
                </c:pt>
                <c:pt idx="2">
                  <c:v>303019200</c:v>
                </c:pt>
                <c:pt idx="3">
                  <c:v>37500000</c:v>
                </c:pt>
                <c:pt idx="4">
                  <c:v>434250478.94999999</c:v>
                </c:pt>
                <c:pt idx="5">
                  <c:v>634935215.19999993</c:v>
                </c:pt>
                <c:pt idx="6">
                  <c:v>51185500</c:v>
                </c:pt>
                <c:pt idx="7">
                  <c:v>12780000</c:v>
                </c:pt>
                <c:pt idx="8">
                  <c:v>22396520</c:v>
                </c:pt>
                <c:pt idx="9">
                  <c:v>2700000</c:v>
                </c:pt>
                <c:pt idx="10">
                  <c:v>13932000</c:v>
                </c:pt>
                <c:pt idx="11">
                  <c:v>6598000</c:v>
                </c:pt>
                <c:pt idx="12">
                  <c:v>16092000</c:v>
                </c:pt>
              </c:numCache>
            </c:numRef>
          </c:val>
          <c:extLst>
            <c:ext xmlns:c16="http://schemas.microsoft.com/office/drawing/2014/chart" uri="{C3380CC4-5D6E-409C-BE32-E72D297353CC}">
              <c16:uniqueId val="{0000000D-150E-4585-B751-762EBCFD5606}"/>
            </c:ext>
          </c:extLst>
        </c:ser>
        <c:ser>
          <c:idx val="1"/>
          <c:order val="1"/>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E-150E-4585-B751-762EBCFD5606}"/>
                </c:ext>
              </c:extLst>
            </c:dLbl>
            <c:dLbl>
              <c:idx val="1"/>
              <c:delete val="1"/>
              <c:extLst>
                <c:ext xmlns:c15="http://schemas.microsoft.com/office/drawing/2012/chart" uri="{CE6537A1-D6FC-4f65-9D91-7224C49458BB}"/>
                <c:ext xmlns:c16="http://schemas.microsoft.com/office/drawing/2014/chart" uri="{C3380CC4-5D6E-409C-BE32-E72D297353CC}">
                  <c16:uniqueId val="{0000000F-150E-4585-B751-762EBCFD5606}"/>
                </c:ext>
              </c:extLst>
            </c:dLbl>
            <c:dLbl>
              <c:idx val="2"/>
              <c:delete val="1"/>
              <c:extLst>
                <c:ext xmlns:c15="http://schemas.microsoft.com/office/drawing/2012/chart" uri="{CE6537A1-D6FC-4f65-9D91-7224C49458BB}"/>
                <c:ext xmlns:c16="http://schemas.microsoft.com/office/drawing/2014/chart" uri="{C3380CC4-5D6E-409C-BE32-E72D297353CC}">
                  <c16:uniqueId val="{00000010-150E-4585-B751-762EBCFD5606}"/>
                </c:ext>
              </c:extLst>
            </c:dLbl>
            <c:dLbl>
              <c:idx val="3"/>
              <c:delete val="1"/>
              <c:extLst>
                <c:ext xmlns:c15="http://schemas.microsoft.com/office/drawing/2012/chart" uri="{CE6537A1-D6FC-4f65-9D91-7224C49458BB}"/>
                <c:ext xmlns:c16="http://schemas.microsoft.com/office/drawing/2014/chart" uri="{C3380CC4-5D6E-409C-BE32-E72D297353CC}">
                  <c16:uniqueId val="{00000011-150E-4585-B751-762EBCFD5606}"/>
                </c:ext>
              </c:extLst>
            </c:dLbl>
            <c:dLbl>
              <c:idx val="5"/>
              <c:delete val="1"/>
              <c:extLst>
                <c:ext xmlns:c15="http://schemas.microsoft.com/office/drawing/2012/chart" uri="{CE6537A1-D6FC-4f65-9D91-7224C49458BB}"/>
                <c:ext xmlns:c16="http://schemas.microsoft.com/office/drawing/2014/chart" uri="{C3380CC4-5D6E-409C-BE32-E72D297353CC}">
                  <c16:uniqueId val="{00000012-150E-4585-B751-762EBCFD5606}"/>
                </c:ext>
              </c:extLst>
            </c:dLbl>
            <c:dLbl>
              <c:idx val="6"/>
              <c:delete val="1"/>
              <c:extLst>
                <c:ext xmlns:c15="http://schemas.microsoft.com/office/drawing/2012/chart" uri="{CE6537A1-D6FC-4f65-9D91-7224C49458BB}"/>
                <c:ext xmlns:c16="http://schemas.microsoft.com/office/drawing/2014/chart" uri="{C3380CC4-5D6E-409C-BE32-E72D297353CC}">
                  <c16:uniqueId val="{00000013-150E-4585-B751-762EBCFD5606}"/>
                </c:ext>
              </c:extLst>
            </c:dLbl>
            <c:dLbl>
              <c:idx val="7"/>
              <c:delete val="1"/>
              <c:extLst>
                <c:ext xmlns:c15="http://schemas.microsoft.com/office/drawing/2012/chart" uri="{CE6537A1-D6FC-4f65-9D91-7224C49458BB}"/>
                <c:ext xmlns:c16="http://schemas.microsoft.com/office/drawing/2014/chart" uri="{C3380CC4-5D6E-409C-BE32-E72D297353CC}">
                  <c16:uniqueId val="{00000014-150E-4585-B751-762EBCFD5606}"/>
                </c:ext>
              </c:extLst>
            </c:dLbl>
            <c:dLbl>
              <c:idx val="9"/>
              <c:delete val="1"/>
              <c:extLst>
                <c:ext xmlns:c15="http://schemas.microsoft.com/office/drawing/2012/chart" uri="{CE6537A1-D6FC-4f65-9D91-7224C49458BB}"/>
                <c:ext xmlns:c16="http://schemas.microsoft.com/office/drawing/2014/chart" uri="{C3380CC4-5D6E-409C-BE32-E72D297353CC}">
                  <c16:uniqueId val="{00000015-150E-4585-B751-762EBCFD5606}"/>
                </c:ext>
              </c:extLst>
            </c:dLbl>
            <c:dLbl>
              <c:idx val="10"/>
              <c:delete val="1"/>
              <c:extLst>
                <c:ext xmlns:c15="http://schemas.microsoft.com/office/drawing/2012/chart" uri="{CE6537A1-D6FC-4f65-9D91-7224C49458BB}"/>
                <c:ext xmlns:c16="http://schemas.microsoft.com/office/drawing/2014/chart" uri="{C3380CC4-5D6E-409C-BE32-E72D297353CC}">
                  <c16:uniqueId val="{00000016-150E-4585-B751-762EBCFD5606}"/>
                </c:ext>
              </c:extLst>
            </c:dLbl>
            <c:dLbl>
              <c:idx val="11"/>
              <c:delete val="1"/>
              <c:extLst>
                <c:ext xmlns:c15="http://schemas.microsoft.com/office/drawing/2012/chart" uri="{CE6537A1-D6FC-4f65-9D91-7224C49458BB}"/>
                <c:ext xmlns:c16="http://schemas.microsoft.com/office/drawing/2014/chart" uri="{C3380CC4-5D6E-409C-BE32-E72D297353CC}">
                  <c16:uniqueId val="{00000017-150E-4585-B751-762EBCFD56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 i Veprimit për Luftën Kundër Terrorizmit 2023-2025 dhe QKEDH per MFE.xlsx]Qëllimi i Politikave per MFE'!$J$98:$J$110</c:f>
              <c:strCache>
                <c:ptCount val="13"/>
                <c:pt idx="0">
                  <c:v>QP I</c:v>
                </c:pt>
                <c:pt idx="1">
                  <c:v>QP II</c:v>
                </c:pt>
                <c:pt idx="2">
                  <c:v>QP III</c:v>
                </c:pt>
                <c:pt idx="3">
                  <c:v>QP IV</c:v>
                </c:pt>
                <c:pt idx="4">
                  <c:v>QP V</c:v>
                </c:pt>
                <c:pt idx="5">
                  <c:v>QP  VI</c:v>
                </c:pt>
                <c:pt idx="6">
                  <c:v>QP VII</c:v>
                </c:pt>
                <c:pt idx="7">
                  <c:v>QP VIII</c:v>
                </c:pt>
                <c:pt idx="8">
                  <c:v>QP IX</c:v>
                </c:pt>
                <c:pt idx="9">
                  <c:v>QP X</c:v>
                </c:pt>
                <c:pt idx="10">
                  <c:v>QP XI</c:v>
                </c:pt>
                <c:pt idx="11">
                  <c:v>QP XII</c:v>
                </c:pt>
                <c:pt idx="12">
                  <c:v>QP XIII</c:v>
                </c:pt>
              </c:strCache>
            </c:strRef>
          </c:cat>
          <c:val>
            <c:numRef>
              <c:f>'[Plani i Veprimit për Luftën Kundër Terrorizmit 2023-2025 dhe QKEDH per MFE.xlsx]Qëllimi i Politikave per MFE'!$L$98:$L$110</c:f>
              <c:numCache>
                <c:formatCode>#,##0</c:formatCode>
                <c:ptCount val="13"/>
                <c:pt idx="0">
                  <c:v>0</c:v>
                </c:pt>
                <c:pt idx="1">
                  <c:v>0</c:v>
                </c:pt>
                <c:pt idx="2">
                  <c:v>0</c:v>
                </c:pt>
                <c:pt idx="3">
                  <c:v>0</c:v>
                </c:pt>
                <c:pt idx="4">
                  <c:v>500000</c:v>
                </c:pt>
                <c:pt idx="5">
                  <c:v>0</c:v>
                </c:pt>
                <c:pt idx="6">
                  <c:v>0</c:v>
                </c:pt>
                <c:pt idx="7">
                  <c:v>0</c:v>
                </c:pt>
                <c:pt idx="8">
                  <c:v>500000</c:v>
                </c:pt>
                <c:pt idx="9">
                  <c:v>0</c:v>
                </c:pt>
                <c:pt idx="10">
                  <c:v>0</c:v>
                </c:pt>
                <c:pt idx="11">
                  <c:v>0</c:v>
                </c:pt>
                <c:pt idx="12">
                  <c:v>0</c:v>
                </c:pt>
              </c:numCache>
            </c:numRef>
          </c:val>
          <c:extLst>
            <c:ext xmlns:c16="http://schemas.microsoft.com/office/drawing/2014/chart" uri="{C3380CC4-5D6E-409C-BE32-E72D297353CC}">
              <c16:uniqueId val="{00000018-150E-4585-B751-762EBCFD5606}"/>
            </c:ext>
          </c:extLst>
        </c:ser>
        <c:dLbls>
          <c:showLegendKey val="0"/>
          <c:showVal val="0"/>
          <c:showCatName val="0"/>
          <c:showSerName val="0"/>
          <c:showPercent val="0"/>
          <c:showBubbleSize val="0"/>
        </c:dLbls>
        <c:gapWidth val="150"/>
        <c:overlap val="100"/>
        <c:axId val="-1656096816"/>
        <c:axId val="-1656105520"/>
      </c:barChart>
      <c:catAx>
        <c:axId val="-165609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656105520"/>
        <c:crosses val="autoZero"/>
        <c:auto val="1"/>
        <c:lblAlgn val="ctr"/>
        <c:lblOffset val="100"/>
        <c:noMultiLvlLbl val="0"/>
      </c:catAx>
      <c:valAx>
        <c:axId val="-165610552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65609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a:latin typeface="Arial Black" panose="020B0A04020102020204" pitchFamily="34" charset="0"/>
              </a:rPr>
              <a:t>KOSTO E PLANIT TË VEPRIMIT NDARJA E SHPENZIMEVE</a:t>
            </a:r>
          </a:p>
        </c:rich>
      </c:tx>
      <c:layout>
        <c:manualLayout>
          <c:xMode val="edge"/>
          <c:yMode val="edge"/>
          <c:x val="0.1670933904346294"/>
          <c:y val="3.4109517132276272E-2"/>
        </c:manualLayout>
      </c:layout>
      <c:overlay val="0"/>
      <c:spPr>
        <a:noFill/>
        <a:ln w="25400">
          <a:noFill/>
        </a:ln>
      </c:sp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6B-40CB-8DEB-78677A3397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6B-40CB-8DEB-78677A339767}"/>
              </c:ext>
            </c:extLst>
          </c:dPt>
          <c:dLbls>
            <c:dLbl>
              <c:idx val="0"/>
              <c:layout>
                <c:manualLayout>
                  <c:x val="0.25614882477039774"/>
                  <c:y val="-9.4426059756229114E-2"/>
                </c:manualLayout>
              </c:layout>
              <c:spPr>
                <a:noFill/>
                <a:ln w="25400">
                  <a:noFill/>
                </a:ln>
              </c:spPr>
              <c:txPr>
                <a:bodyPr rot="0" spcFirstLastPara="1" vertOverflow="ellipsis" vert="horz" wrap="square" lIns="38100" tIns="19050" rIns="38100" bIns="19050" anchor="ctr" anchorCtr="1">
                  <a:no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960015540226145"/>
                      <c:h val="0.14863668068888647"/>
                    </c:manualLayout>
                  </c15:layout>
                </c:ext>
                <c:ext xmlns:c16="http://schemas.microsoft.com/office/drawing/2014/chart" uri="{C3380CC4-5D6E-409C-BE32-E72D297353CC}">
                  <c16:uniqueId val="{00000001-196B-40CB-8DEB-78677A339767}"/>
                </c:ext>
              </c:extLst>
            </c:dLbl>
            <c:dLbl>
              <c:idx val="1"/>
              <c:layout>
                <c:manualLayout>
                  <c:x val="-0.219488527789448"/>
                  <c:y val="0.11027651002223449"/>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lumMod val="75000"/>
                            <a:lumOff val="25000"/>
                          </a:schemeClr>
                        </a:solidFill>
                        <a:latin typeface="+mn-lt"/>
                        <a:ea typeface="+mn-ea"/>
                        <a:cs typeface="+mn-cs"/>
                      </a:defRPr>
                    </a:pPr>
                    <a:r>
                      <a:rPr lang="en-US" sz="1100"/>
                      <a:t>Financim i Huaj</a:t>
                    </a:r>
                    <a:r>
                      <a:rPr lang="en-US" sz="1100" baseline="0"/>
                      <a:t>
</a:t>
                    </a:r>
                    <a:fld id="{1D7A8F81-6A22-4392-8AD8-E824DA81EE80}" type="PERCENTAGE">
                      <a:rPr lang="en-US" sz="1100" baseline="0"/>
                      <a:pPr>
                        <a:defRPr sz="1100" b="1" i="0" u="none" strike="noStrike" kern="1200" baseline="0">
                          <a:solidFill>
                            <a:schemeClr val="tx1">
                              <a:lumMod val="75000"/>
                              <a:lumOff val="25000"/>
                            </a:schemeClr>
                          </a:solidFill>
                          <a:latin typeface="+mn-lt"/>
                          <a:ea typeface="+mn-ea"/>
                          <a:cs typeface="+mn-cs"/>
                        </a:defRPr>
                      </a:pPr>
                      <a:t>[PERCENTAGE]</a:t>
                    </a:fld>
                    <a:endParaRPr lang="en-US" sz="1100" baseline="0"/>
                  </a:p>
                </c:rich>
              </c:tx>
              <c:spPr>
                <a:noFill/>
                <a:ln w="25400">
                  <a:noFill/>
                </a:ln>
              </c:spPr>
              <c:dLblPos val="bestFit"/>
              <c:showLegendKey val="0"/>
              <c:showVal val="0"/>
              <c:showCatName val="1"/>
              <c:showSerName val="0"/>
              <c:showPercent val="1"/>
              <c:showBubbleSize val="0"/>
              <c:extLst>
                <c:ext xmlns:c15="http://schemas.microsoft.com/office/drawing/2012/chart" uri="{CE6537A1-D6FC-4f65-9D91-7224C49458BB}">
                  <c15:layout>
                    <c:manualLayout>
                      <c:w val="0.37861954002737608"/>
                      <c:h val="0.15699750906932811"/>
                    </c:manualLayout>
                  </c15:layout>
                  <c15:dlblFieldTable/>
                  <c15:showDataLabelsRange val="0"/>
                </c:ext>
                <c:ext xmlns:c16="http://schemas.microsoft.com/office/drawing/2014/chart" uri="{C3380CC4-5D6E-409C-BE32-E72D297353CC}">
                  <c16:uniqueId val="{00000003-196B-40CB-8DEB-78677A339767}"/>
                </c:ext>
              </c:extLst>
            </c:dLbl>
            <c:dLbl>
              <c:idx val="2"/>
              <c:layout>
                <c:manualLayout>
                  <c:x val="-6.7574864227943232E-2"/>
                  <c:y val="-3.698666794443673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196B-40CB-8DEB-78677A339767}"/>
                </c:ext>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Luftën Kundër Terrorizmit 2022-2025 për sistem (1).xlsx]Qëllimi i Politikave'!$G$99:$G$101</c:f>
              <c:strCache>
                <c:ptCount val="2"/>
                <c:pt idx="0">
                  <c:v>PBA 2023-2025</c:v>
                </c:pt>
                <c:pt idx="1">
                  <c:v>Financim I Huaj</c:v>
                </c:pt>
              </c:strCache>
              <c:extLst/>
            </c:strRef>
          </c:cat>
          <c:val>
            <c:numRef>
              <c:f>'[Plani i Veprimit për Luftën Kundër Terrorizmit 2022-2025 për sistem (1).xlsx]Qëllimi i Politikave'!$H$99:$H$101</c:f>
              <c:numCache>
                <c:formatCode>#,##0</c:formatCode>
                <c:ptCount val="2"/>
                <c:pt idx="0">
                  <c:v>2326949515.1999998</c:v>
                </c:pt>
                <c:pt idx="1">
                  <c:v>0</c:v>
                </c:pt>
              </c:numCache>
              <c:extLst/>
            </c:numRef>
          </c:val>
          <c:extLst>
            <c:ext xmlns:c16="http://schemas.microsoft.com/office/drawing/2014/chart" uri="{C3380CC4-5D6E-409C-BE32-E72D297353CC}">
              <c16:uniqueId val="{00000005-196B-40CB-8DEB-78677A339767}"/>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r>
              <a:rPr lang="en-US" sz="1000">
                <a:latin typeface="Arial Black" panose="020B0A04020102020204" pitchFamily="34" charset="0"/>
              </a:rPr>
              <a:t>NATYRA EKONOMIKE E KOSTOVE TË PLANIT TË VEPRIMIT</a:t>
            </a:r>
          </a:p>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endParaRPr lang="en-US" sz="1000">
              <a:latin typeface="Arial Black" panose="020B0A04020102020204" pitchFamily="34" charset="0"/>
            </a:endParaRPr>
          </a:p>
        </c:rich>
      </c:tx>
      <c:layout>
        <c:manualLayout>
          <c:xMode val="edge"/>
          <c:yMode val="edge"/>
          <c:x val="0.19001938741402266"/>
          <c:y val="5.243333051211739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126129065464423"/>
          <c:y val="0.20856641927089595"/>
          <c:w val="0.69597209112432845"/>
          <c:h val="0.62031130500868215"/>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989E-4259-AF98-E42743F2B4A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989E-4259-AF98-E42743F2B4AD}"/>
              </c:ext>
            </c:extLst>
          </c:dPt>
          <c:dLbls>
            <c:dLbl>
              <c:idx val="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989E-4259-AF98-E42743F2B4AD}"/>
                </c:ext>
              </c:extLst>
            </c:dLbl>
            <c:dLbl>
              <c:idx val="1"/>
              <c:layout>
                <c:manualLayout>
                  <c:x val="-0.23839441962065844"/>
                  <c:y val="3.4573037869349996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89E-4259-AF98-E42743F2B4A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Luftën Kundër Terrorizmit 2022-2025 për sistem (1).xlsx]Qëllimi i Politikave'!$G$112:$G$113</c:f>
              <c:strCache>
                <c:ptCount val="2"/>
                <c:pt idx="0">
                  <c:v>Kosto Korente </c:v>
                </c:pt>
                <c:pt idx="1">
                  <c:v>Kosto kapitale</c:v>
                </c:pt>
              </c:strCache>
            </c:strRef>
          </c:cat>
          <c:val>
            <c:numRef>
              <c:f>'[Plani i Veprimit për Luftën Kundër Terrorizmit 2022-2025 për sistem (1).xlsx]Qëllimi i Politikave'!$H$112:$H$113</c:f>
              <c:numCache>
                <c:formatCode>#,##0</c:formatCode>
                <c:ptCount val="2"/>
                <c:pt idx="0">
                  <c:v>2326949515.1999998</c:v>
                </c:pt>
                <c:pt idx="1">
                  <c:v>0</c:v>
                </c:pt>
              </c:numCache>
            </c:numRef>
          </c:val>
          <c:extLst>
            <c:ext xmlns:c16="http://schemas.microsoft.com/office/drawing/2014/chart" uri="{C3380CC4-5D6E-409C-BE32-E72D297353CC}">
              <c16:uniqueId val="{00000004-989E-4259-AF98-E42743F2B4AD}"/>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a:t>NATYRA EKONOMIKE E KOSTOVE TË PLANIT TË VEPRIMIT</a:t>
            </a:r>
          </a:p>
          <a:p>
            <a:pPr>
              <a:defRPr sz="1200" b="1" i="0" u="none" strike="noStrike" kern="1200" baseline="0">
                <a:solidFill>
                  <a:schemeClr val="tx1">
                    <a:lumMod val="65000"/>
                    <a:lumOff val="35000"/>
                  </a:schemeClr>
                </a:solidFill>
                <a:latin typeface="+mn-lt"/>
                <a:ea typeface="+mn-ea"/>
                <a:cs typeface="+mn-cs"/>
              </a:defRPr>
            </a:pPr>
            <a:endParaRPr lang="en-US" sz="1200"/>
          </a:p>
        </c:rich>
      </c:tx>
      <c:layout>
        <c:manualLayout>
          <c:xMode val="edge"/>
          <c:yMode val="edge"/>
          <c:x val="0.1900193957236827"/>
          <c:y val="5.2433497715899703E-2"/>
        </c:manualLayout>
      </c:layout>
      <c:overlay val="0"/>
      <c:spPr>
        <a:noFill/>
        <a:ln>
          <a:noFill/>
        </a:ln>
        <a:effectLst/>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7974E-2"/>
          <c:y val="0.18718592964824118"/>
          <c:w val="0.77352582478264886"/>
          <c:h val="0.69057108319475335"/>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3C29-4F7D-B267-C3F25CC4E03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3C29-4F7D-B267-C3F25CC4E03A}"/>
              </c:ext>
            </c:extLst>
          </c:dPt>
          <c:dLbls>
            <c:dLbl>
              <c:idx val="0"/>
              <c:layout>
                <c:manualLayout>
                  <c:x val="-1.1754474279466045E-2"/>
                  <c:y val="-0.2916951684212923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C29-4F7D-B267-C3F25CC4E03A}"/>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2"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'Qëllimi i Politikave'!$G$30:$G$31</c:f>
              <c:strCache>
                <c:ptCount val="2"/>
                <c:pt idx="0">
                  <c:v>Kosto Korente </c:v>
                </c:pt>
                <c:pt idx="1">
                  <c:v>Kosto kapitale</c:v>
                </c:pt>
              </c:strCache>
            </c:strRef>
          </c:cat>
          <c:val>
            <c:numRef>
              <c:f>'Qëllimi i Politikave'!$H$30:$H$31</c:f>
              <c:numCache>
                <c:formatCode>#,##0</c:formatCode>
                <c:ptCount val="2"/>
                <c:pt idx="0">
                  <c:v>51243879.399999999</c:v>
                </c:pt>
                <c:pt idx="1">
                  <c:v>1350000</c:v>
                </c:pt>
              </c:numCache>
            </c:numRef>
          </c:val>
          <c:extLst>
            <c:ext xmlns:c16="http://schemas.microsoft.com/office/drawing/2014/chart" uri="{C3380CC4-5D6E-409C-BE32-E72D297353CC}">
              <c16:uniqueId val="{00000004-3C29-4F7D-B267-C3F25CC4E03A}"/>
            </c:ext>
          </c:extLst>
        </c:ser>
        <c:dLbls>
          <c:showLegendKey val="0"/>
          <c:showVal val="0"/>
          <c:showCatName val="0"/>
          <c:showSerName val="0"/>
          <c:showPercent val="0"/>
          <c:showBubbleSize val="0"/>
          <c:showLeaderLines val="1"/>
        </c:dLbls>
      </c:pie3DChart>
      <c:spPr>
        <a:noFill/>
        <a:ln w="25393">
          <a:noFill/>
        </a:ln>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2"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latin typeface="+mn-lt"/>
              </a:rPr>
              <a:t>KOSTO E PLANIT TË VEPRIMIT NDARJA E SHPENZIMEVE</a:t>
            </a:r>
          </a:p>
        </c:rich>
      </c:tx>
      <c:overlay val="0"/>
      <c:spPr>
        <a:noFill/>
        <a:ln w="25400">
          <a:noFill/>
        </a:ln>
      </c:sp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61F-454C-ADFC-58EE954D720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61F-454C-ADFC-58EE954D720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61F-454C-ADFC-58EE954D720F}"/>
              </c:ext>
            </c:extLst>
          </c:dPt>
          <c:dLbls>
            <c:dLbl>
              <c:idx val="0"/>
              <c:layout>
                <c:manualLayout>
                  <c:x val="0.11605501866000401"/>
                  <c:y val="3.3189192829210373E-5"/>
                </c:manualLayout>
              </c:layout>
              <c:spPr>
                <a:noFill/>
                <a:ln w="25400">
                  <a:noFill/>
                </a:ln>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451657591106006"/>
                      <c:h val="0.1084719022217519"/>
                    </c:manualLayout>
                  </c15:layout>
                </c:ext>
                <c:ext xmlns:c16="http://schemas.microsoft.com/office/drawing/2014/chart" uri="{C3380CC4-5D6E-409C-BE32-E72D297353CC}">
                  <c16:uniqueId val="{00000001-161F-454C-ADFC-58EE954D720F}"/>
                </c:ext>
              </c:extLst>
            </c:dLbl>
            <c:dLbl>
              <c:idx val="1"/>
              <c:layout>
                <c:manualLayout>
                  <c:x val="-0.14857759996929257"/>
                  <c:y val="8.143834265677082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r>
                      <a:rPr lang="en-US"/>
                      <a:t>Financim i Huaj </a:t>
                    </a:r>
                    <a:r>
                      <a:rPr lang="en-US" baseline="0"/>
                      <a:t>
</a:t>
                    </a:r>
                    <a:fld id="{681C989E-72CB-42A1-B14E-2A267C8CCED6}" type="PERCENTAGE">
                      <a:rPr lang="en-US" baseline="0"/>
                      <a:pPr>
                        <a:defRPr sz="900" b="1" i="0" u="none" strike="noStrike" kern="1200" baseline="0">
                          <a:solidFill>
                            <a:schemeClr val="tx1">
                              <a:lumMod val="75000"/>
                              <a:lumOff val="25000"/>
                            </a:schemeClr>
                          </a:solidFill>
                          <a:latin typeface="+mn-lt"/>
                          <a:ea typeface="+mn-ea"/>
                          <a:cs typeface="+mn-cs"/>
                        </a:defRPr>
                      </a:pPr>
                      <a:t>[PERCENTAGE]</a:t>
                    </a:fld>
                    <a:endParaRPr lang="en-US" baseline="0"/>
                  </a:p>
                </c:rich>
              </c:tx>
              <c:spPr>
                <a:noFill/>
                <a:ln w="25400">
                  <a:noFill/>
                </a:ln>
              </c:spPr>
              <c:dLblPos val="bestFit"/>
              <c:showLegendKey val="0"/>
              <c:showVal val="0"/>
              <c:showCatName val="1"/>
              <c:showSerName val="0"/>
              <c:showPercent val="1"/>
              <c:showBubbleSize val="0"/>
              <c:extLst>
                <c:ext xmlns:c15="http://schemas.microsoft.com/office/drawing/2012/chart" uri="{CE6537A1-D6FC-4f65-9D91-7224C49458BB}">
                  <c15:layout>
                    <c:manualLayout>
                      <c:w val="0.20729144675661387"/>
                      <c:h val="0.10723404152978129"/>
                    </c:manualLayout>
                  </c15:layout>
                  <c15:dlblFieldTable/>
                  <c15:showDataLabelsRange val="0"/>
                </c:ext>
                <c:ext xmlns:c16="http://schemas.microsoft.com/office/drawing/2014/chart" uri="{C3380CC4-5D6E-409C-BE32-E72D297353CC}">
                  <c16:uniqueId val="{00000003-161F-454C-ADFC-58EE954D720F}"/>
                </c:ext>
              </c:extLst>
            </c:dLbl>
            <c:dLbl>
              <c:idx val="2"/>
              <c:layout>
                <c:manualLayout>
                  <c:x val="8.6727629933172873E-2"/>
                  <c:y val="-5.171450689828690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61F-454C-ADFC-58EE954D720F}"/>
                </c:ext>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Parandalimin dhe Kundërshtimin e Ekstremizmit të Dhunshëm 2023-2025 (1).xlsx]Qëllimi i Politikave'!$G$28:$G$29</c:f>
              <c:strCache>
                <c:ptCount val="2"/>
                <c:pt idx="0">
                  <c:v>PBA 2023-2025</c:v>
                </c:pt>
                <c:pt idx="1">
                  <c:v>Financim I Huaj</c:v>
                </c:pt>
              </c:strCache>
            </c:strRef>
          </c:cat>
          <c:val>
            <c:numRef>
              <c:f>'[Plani i Veprimit për Parandalimin dhe Kundërshtimin e Ekstremizmit të Dhunshëm 2023-2025 (1).xlsx]Qëllimi i Politikave'!$H$28:$H$29</c:f>
              <c:numCache>
                <c:formatCode>#,##0</c:formatCode>
                <c:ptCount val="2"/>
                <c:pt idx="0">
                  <c:v>34441086.549999997</c:v>
                </c:pt>
                <c:pt idx="1">
                  <c:v>2927313</c:v>
                </c:pt>
              </c:numCache>
            </c:numRef>
          </c:val>
          <c:extLst>
            <c:ext xmlns:c16="http://schemas.microsoft.com/office/drawing/2014/chart" uri="{C3380CC4-5D6E-409C-BE32-E72D297353CC}">
              <c16:uniqueId val="{00000006-161F-454C-ADFC-58EE954D720F}"/>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a:t>NATYRA EKONOMIKE E KOSTOVE TË PLANIT TË VEPRIMIT</a:t>
            </a:r>
          </a:p>
          <a:p>
            <a:pPr>
              <a:defRPr sz="1200" b="1" i="0" u="none" strike="noStrike" kern="1200" baseline="0">
                <a:solidFill>
                  <a:schemeClr val="tx1">
                    <a:lumMod val="65000"/>
                    <a:lumOff val="35000"/>
                  </a:schemeClr>
                </a:solidFill>
                <a:latin typeface="+mn-lt"/>
                <a:ea typeface="+mn-ea"/>
                <a:cs typeface="+mn-cs"/>
              </a:defRPr>
            </a:pPr>
            <a:endParaRPr lang="en-US" sz="1200"/>
          </a:p>
        </c:rich>
      </c:tx>
      <c:layout>
        <c:manualLayout>
          <c:xMode val="edge"/>
          <c:yMode val="edge"/>
          <c:x val="0.19001938741402266"/>
          <c:y val="5.243333051211739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549295774647974E-2"/>
          <c:y val="0.21180117100747017"/>
          <c:w val="0.77862275972070916"/>
          <c:h val="0.69649004643650314"/>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F600-45B7-9CCC-B5D8348706B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F600-45B7-9CCC-B5D8348706BE}"/>
              </c:ext>
            </c:extLst>
          </c:dPt>
          <c:dLbls>
            <c:dLbl>
              <c:idx val="0"/>
              <c:layout>
                <c:manualLayout>
                  <c:x val="-1.1754474279466045E-2"/>
                  <c:y val="-0.2916951684212923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600-45B7-9CCC-B5D8348706BE}"/>
                </c:ext>
              </c:extLst>
            </c:dLbl>
            <c:dLbl>
              <c:idx val="1"/>
              <c:layout>
                <c:manualLayout>
                  <c:x val="-4.7954180858741209E-2"/>
                  <c:y val="0.1537127397536846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600-45B7-9CCC-B5D8348706B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Parandalimin dhe Kundërshtimin e Ekstremizmit të Dhunshëm 2023-2025 (1).xlsx]Qëllimi i Politikave'!$G$34:$G$35</c:f>
              <c:strCache>
                <c:ptCount val="2"/>
                <c:pt idx="0">
                  <c:v>Kosto Korente </c:v>
                </c:pt>
                <c:pt idx="1">
                  <c:v>Kosto kapitale</c:v>
                </c:pt>
              </c:strCache>
            </c:strRef>
          </c:cat>
          <c:val>
            <c:numRef>
              <c:f>'[Plani i Veprimit për Parandalimin dhe Kundërshtimin e Ekstremizmit të Dhunshëm 2023-2025 (1).xlsx]Qëllimi i Politikave'!$H$34:$H$35</c:f>
              <c:numCache>
                <c:formatCode>#,##0</c:formatCode>
                <c:ptCount val="2"/>
                <c:pt idx="0">
                  <c:v>36368399.549999997</c:v>
                </c:pt>
                <c:pt idx="1">
                  <c:v>1000000</c:v>
                </c:pt>
              </c:numCache>
            </c:numRef>
          </c:val>
          <c:extLst>
            <c:ext xmlns:c16="http://schemas.microsoft.com/office/drawing/2014/chart" uri="{C3380CC4-5D6E-409C-BE32-E72D297353CC}">
              <c16:uniqueId val="{00000004-F600-45B7-9CCC-B5D8348706BE}"/>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sz="1400"/>
              <a:t>Kosto të lidhura me qëllimin e politikave </a:t>
            </a:r>
          </a:p>
        </c:rich>
      </c:tx>
      <c:layout>
        <c:manualLayout>
          <c:xMode val="edge"/>
          <c:yMode val="edge"/>
          <c:x val="0.18628094630063136"/>
          <c:y val="3.0458516629083335E-2"/>
        </c:manualLayout>
      </c:layout>
      <c:overlay val="0"/>
      <c:spPr>
        <a:noFill/>
        <a:ln>
          <a:noFill/>
        </a:ln>
        <a:effectLst/>
      </c:spPr>
    </c:title>
    <c:autoTitleDeleted val="0"/>
    <c:plotArea>
      <c:layout>
        <c:manualLayout>
          <c:layoutTarget val="inner"/>
          <c:xMode val="edge"/>
          <c:yMode val="edge"/>
          <c:x val="0.13921698651702499"/>
          <c:y val="0.17494248503166934"/>
          <c:w val="0.70844388286912752"/>
          <c:h val="0.60805835242477335"/>
        </c:manualLayout>
      </c:layout>
      <c:barChart>
        <c:barDir val="col"/>
        <c:grouping val="percentStacked"/>
        <c:varyColors val="0"/>
        <c:ser>
          <c:idx val="0"/>
          <c:order val="0"/>
          <c:tx>
            <c:strRef>
              <c:f>'Qëllimi i Politikave'!$K$27</c:f>
              <c:strCache>
                <c:ptCount val="1"/>
                <c:pt idx="0">
                  <c:v>Kosto Korente</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Politikave'!$J$28:$J$30</c:f>
              <c:strCache>
                <c:ptCount val="3"/>
                <c:pt idx="0">
                  <c:v>Qëllimi i Politikës I</c:v>
                </c:pt>
                <c:pt idx="1">
                  <c:v>Qëllimi i Politikës II</c:v>
                </c:pt>
                <c:pt idx="2">
                  <c:v>Qëllimi i Politikës III</c:v>
                </c:pt>
              </c:strCache>
            </c:strRef>
          </c:cat>
          <c:val>
            <c:numRef>
              <c:f>'Qëllimi i Politikave'!$K$28:$K$30</c:f>
              <c:numCache>
                <c:formatCode>#,##0</c:formatCode>
                <c:ptCount val="3"/>
                <c:pt idx="0">
                  <c:v>14617600.6</c:v>
                </c:pt>
                <c:pt idx="1">
                  <c:v>9496678.9499999993</c:v>
                </c:pt>
                <c:pt idx="2">
                  <c:v>11896520</c:v>
                </c:pt>
              </c:numCache>
            </c:numRef>
          </c:val>
          <c:extLst>
            <c:ext xmlns:c16="http://schemas.microsoft.com/office/drawing/2014/chart" uri="{C3380CC4-5D6E-409C-BE32-E72D297353CC}">
              <c16:uniqueId val="{00000000-D9F0-4F3F-A196-72D3F490B4EA}"/>
            </c:ext>
          </c:extLst>
        </c:ser>
        <c:ser>
          <c:idx val="1"/>
          <c:order val="1"/>
          <c:tx>
            <c:strRef>
              <c:f>'Qëllimi i Politikave'!$L$27</c:f>
              <c:strCache>
                <c:ptCount val="1"/>
                <c:pt idx="0">
                  <c:v>Kosto Kapitale</c:v>
                </c:pt>
              </c:strCache>
            </c:strRef>
          </c:tx>
          <c:spPr>
            <a:solidFill>
              <a:schemeClr val="accent2">
                <a:alpha val="70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D9F0-4F3F-A196-72D3F490B4EA}"/>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Politikave'!$J$28:$J$30</c:f>
              <c:strCache>
                <c:ptCount val="3"/>
                <c:pt idx="0">
                  <c:v>Qëllimi i Politikës I</c:v>
                </c:pt>
                <c:pt idx="1">
                  <c:v>Qëllimi i Politikës II</c:v>
                </c:pt>
                <c:pt idx="2">
                  <c:v>Qëllimi i Politikës III</c:v>
                </c:pt>
              </c:strCache>
            </c:strRef>
          </c:cat>
          <c:val>
            <c:numRef>
              <c:f>'Qëllimi i Politikave'!$L$28:$L$30</c:f>
              <c:numCache>
                <c:formatCode>#,##0</c:formatCode>
                <c:ptCount val="3"/>
                <c:pt idx="0">
                  <c:v>0</c:v>
                </c:pt>
                <c:pt idx="1">
                  <c:v>500000</c:v>
                </c:pt>
                <c:pt idx="2">
                  <c:v>500000</c:v>
                </c:pt>
              </c:numCache>
            </c:numRef>
          </c:val>
          <c:extLst>
            <c:ext xmlns:c16="http://schemas.microsoft.com/office/drawing/2014/chart" uri="{C3380CC4-5D6E-409C-BE32-E72D297353CC}">
              <c16:uniqueId val="{00000002-D9F0-4F3F-A196-72D3F490B4EA}"/>
            </c:ext>
          </c:extLst>
        </c:ser>
        <c:dLbls>
          <c:showLegendKey val="0"/>
          <c:showVal val="0"/>
          <c:showCatName val="0"/>
          <c:showSerName val="0"/>
          <c:showPercent val="0"/>
          <c:showBubbleSize val="0"/>
        </c:dLbls>
        <c:gapWidth val="50"/>
        <c:overlap val="100"/>
        <c:axId val="-1661596352"/>
        <c:axId val="-1661595808"/>
      </c:barChart>
      <c:catAx>
        <c:axId val="-1661596352"/>
        <c:scaling>
          <c:orientation val="minMax"/>
        </c:scaling>
        <c:delete val="0"/>
        <c:axPos val="b"/>
        <c:numFmt formatCode="General" sourceLinked="1"/>
        <c:majorTickMark val="none"/>
        <c:minorTickMark val="none"/>
        <c:tickLblPos val="nextTo"/>
        <c:spPr>
          <a:noFill/>
          <a:ln w="9524"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crossAx val="-1661595808"/>
        <c:crosses val="autoZero"/>
        <c:auto val="1"/>
        <c:lblAlgn val="ctr"/>
        <c:lblOffset val="100"/>
        <c:noMultiLvlLbl val="0"/>
      </c:catAx>
      <c:valAx>
        <c:axId val="-1661595808"/>
        <c:scaling>
          <c:orientation val="minMax"/>
        </c:scaling>
        <c:delete val="1"/>
        <c:axPos val="l"/>
        <c:numFmt formatCode="0%" sourceLinked="1"/>
        <c:majorTickMark val="out"/>
        <c:minorTickMark val="none"/>
        <c:tickLblPos val="nextTo"/>
        <c:crossAx val="-1661596352"/>
        <c:crosses val="autoZero"/>
        <c:crossBetween val="between"/>
      </c:valAx>
      <c:spPr>
        <a:noFill/>
        <a:ln w="25396">
          <a:noFill/>
        </a:ln>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NATYRA EKONOMIKE E KOSTOVE TË PLANIT TË VEPRIMIT</a:t>
            </a:r>
          </a:p>
          <a:p>
            <a:pPr>
              <a:defRPr sz="1600" b="1" i="0" u="none" strike="noStrike" kern="1200" baseline="0">
                <a:solidFill>
                  <a:schemeClr val="tx1">
                    <a:lumMod val="65000"/>
                    <a:lumOff val="35000"/>
                  </a:schemeClr>
                </a:solidFill>
                <a:latin typeface="+mn-lt"/>
                <a:ea typeface="+mn-ea"/>
                <a:cs typeface="+mn-cs"/>
              </a:defRPr>
            </a:pPr>
            <a:endParaRPr lang="en-US"/>
          </a:p>
        </c:rich>
      </c:tx>
      <c:layout>
        <c:manualLayout>
          <c:xMode val="edge"/>
          <c:yMode val="edge"/>
          <c:x val="0.19001938741402266"/>
          <c:y val="5.243333051211739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0-B3CC-43F5-94BE-C2C3A6E0699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B3CC-43F5-94BE-C2C3A6E06997}"/>
              </c:ext>
            </c:extLst>
          </c:dPt>
          <c:dLbls>
            <c:dLbl>
              <c:idx val="1"/>
              <c:layout>
                <c:manualLayout>
                  <c:x val="5.3459614660848398E-3"/>
                  <c:y val="6.511676552669730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3CC-43F5-94BE-C2C3A6E0699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Luftën Kundër Terrorizmit 2023-2025(1).xlsx]Qëllimi i Politikave'!$G$112:$G$113</c:f>
              <c:strCache>
                <c:ptCount val="2"/>
                <c:pt idx="0">
                  <c:v>Kosto Korente </c:v>
                </c:pt>
                <c:pt idx="1">
                  <c:v>Kosto kapitale</c:v>
                </c:pt>
              </c:strCache>
            </c:strRef>
          </c:cat>
          <c:val>
            <c:numRef>
              <c:f>'[Plani i Veprimit për Luftën Kundër Terrorizmit 2023-2025(1).xlsx]Qëllimi i Politikave'!$H$112:$H$113</c:f>
              <c:numCache>
                <c:formatCode>#,##0</c:formatCode>
                <c:ptCount val="2"/>
                <c:pt idx="0">
                  <c:v>2326949515.1999998</c:v>
                </c:pt>
                <c:pt idx="1">
                  <c:v>0</c:v>
                </c:pt>
              </c:numCache>
            </c:numRef>
          </c:val>
          <c:extLst>
            <c:ext xmlns:c16="http://schemas.microsoft.com/office/drawing/2014/chart" uri="{C3380CC4-5D6E-409C-BE32-E72D297353CC}">
              <c16:uniqueId val="{00000002-B3CC-43F5-94BE-C2C3A6E06997}"/>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Kosto të lidhura me qëllimin e politikave</a:t>
            </a:r>
            <a:r>
              <a:rPr lang="en-US" sz="1400" b="1" i="0" u="none" strike="noStrike" kern="1200" spc="0" baseline="0">
                <a:solidFill>
                  <a:sysClr val="windowText" lastClr="000000">
                    <a:lumMod val="65000"/>
                    <a:lumOff val="35000"/>
                  </a:sysClr>
                </a:solidFill>
                <a:latin typeface="+mn-lt"/>
                <a:ea typeface="+mn-ea"/>
                <a:cs typeface="+mn-cs"/>
              </a:rPr>
              <a:t> </a:t>
            </a:r>
            <a:r>
              <a:rPr lang="en-US" sz="1200" i="1" baseline="0"/>
              <a:t>(në lekë)</a:t>
            </a:r>
            <a:r>
              <a:rPr lang="en-US" sz="1200" i="1"/>
              <a:t> </a:t>
            </a:r>
            <a:endParaRPr lang="en-US" i="1"/>
          </a:p>
        </c:rich>
      </c:tx>
      <c:overlay val="0"/>
      <c:spPr>
        <a:noFill/>
        <a:ln>
          <a:noFill/>
        </a:ln>
        <a:effectLst/>
      </c:spPr>
    </c:title>
    <c:autoTitleDeleted val="0"/>
    <c:plotArea>
      <c:layout>
        <c:manualLayout>
          <c:layoutTarget val="inner"/>
          <c:xMode val="edge"/>
          <c:yMode val="edge"/>
          <c:x val="1.8739491190242225E-2"/>
          <c:y val="8.717938376068933E-2"/>
          <c:w val="0.93470649604381706"/>
          <c:h val="0.84522334171051561"/>
        </c:manualLayout>
      </c:layout>
      <c:barChart>
        <c:barDir val="col"/>
        <c:grouping val="percentStacked"/>
        <c:varyColors val="0"/>
        <c:ser>
          <c:idx val="0"/>
          <c:order val="0"/>
          <c:spPr>
            <a:solidFill>
              <a:schemeClr val="accent1"/>
            </a:solidFill>
            <a:ln>
              <a:noFill/>
            </a:ln>
            <a:effectLst/>
          </c:spPr>
          <c:invertIfNegative val="0"/>
          <c:dLbls>
            <c:dLbl>
              <c:idx val="0"/>
              <c:layout>
                <c:manualLayout>
                  <c:x val="0"/>
                  <c:y val="0.366118807759036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3D-489C-8307-BFDCAE966D45}"/>
                </c:ext>
              </c:extLst>
            </c:dLbl>
            <c:dLbl>
              <c:idx val="1"/>
              <c:layout>
                <c:manualLayout>
                  <c:x val="4.4077132436627841E-3"/>
                  <c:y val="0.321618179191639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3D-489C-8307-BFDCAE966D45}"/>
                </c:ext>
              </c:extLst>
            </c:dLbl>
            <c:dLbl>
              <c:idx val="2"/>
              <c:layout>
                <c:manualLayout>
                  <c:x val="1.0284664235213136E-2"/>
                  <c:y val="0.252844480496572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F3D-489C-8307-BFDCAE966D45}"/>
                </c:ext>
              </c:extLst>
            </c:dLbl>
            <c:dLbl>
              <c:idx val="3"/>
              <c:layout>
                <c:manualLayout>
                  <c:x val="1.4692377478875678E-3"/>
                  <c:y val="0.1678887350497238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F3D-489C-8307-BFDCAE966D45}"/>
                </c:ext>
              </c:extLst>
            </c:dLbl>
            <c:dLbl>
              <c:idx val="4"/>
              <c:layout>
                <c:manualLayout>
                  <c:x val="2.9384754957751894E-3"/>
                  <c:y val="0.105183303886574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F3D-489C-8307-BFDCAE966D45}"/>
                </c:ext>
              </c:extLst>
            </c:dLbl>
            <c:dLbl>
              <c:idx val="5"/>
              <c:layout>
                <c:manualLayout>
                  <c:x val="4.4077710876686063E-3"/>
                  <c:y val="2.022755843972578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8.6038562516297531E-2"/>
                      <c:h val="4.0424855177848815E-2"/>
                    </c:manualLayout>
                  </c15:layout>
                </c:ext>
                <c:ext xmlns:c16="http://schemas.microsoft.com/office/drawing/2014/chart" uri="{C3380CC4-5D6E-409C-BE32-E72D297353CC}">
                  <c16:uniqueId val="{00000005-3F3D-489C-8307-BFDCAE966D45}"/>
                </c:ext>
              </c:extLst>
            </c:dLbl>
            <c:dLbl>
              <c:idx val="6"/>
              <c:layout>
                <c:manualLayout>
                  <c:x val="1.4692377478875947E-3"/>
                  <c:y val="-4.85461402553418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F3D-489C-8307-BFDCAE966D45}"/>
                </c:ext>
              </c:extLst>
            </c:dLbl>
            <c:dLbl>
              <c:idx val="7"/>
              <c:layout>
                <c:manualLayout>
                  <c:x val="0"/>
                  <c:y val="-9.7092280510683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F3D-489C-8307-BFDCAE966D45}"/>
                </c:ext>
              </c:extLst>
            </c:dLbl>
            <c:dLbl>
              <c:idx val="8"/>
              <c:layout>
                <c:manualLayout>
                  <c:x val="2.9384754957751894E-3"/>
                  <c:y val="-0.13552464154616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F3D-489C-8307-BFDCAE966D45}"/>
                </c:ext>
              </c:extLst>
            </c:dLbl>
            <c:dLbl>
              <c:idx val="9"/>
              <c:layout>
                <c:manualLayout>
                  <c:x val="4.4077132436627841E-3"/>
                  <c:y val="-0.212389363617120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F3D-489C-8307-BFDCAE966D45}"/>
                </c:ext>
              </c:extLst>
            </c:dLbl>
            <c:dLbl>
              <c:idx val="10"/>
              <c:layout>
                <c:manualLayout>
                  <c:x val="-2.9384754957751894E-3"/>
                  <c:y val="-0.262958259716435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F3D-489C-8307-BFDCAE966D45}"/>
                </c:ext>
              </c:extLst>
            </c:dLbl>
            <c:dLbl>
              <c:idx val="11"/>
              <c:layout>
                <c:manualLayout>
                  <c:x val="-4.4077132436628917E-3"/>
                  <c:y val="-0.313527155815749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F3D-489C-8307-BFDCAE966D45}"/>
                </c:ext>
              </c:extLst>
            </c:dLbl>
            <c:dLbl>
              <c:idx val="12"/>
              <c:layout>
                <c:manualLayout>
                  <c:x val="-2.9384754957751894E-3"/>
                  <c:y val="-0.351959516851228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F3D-489C-8307-BFDCAE966D4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'[Plani i Veprimit për Luftën Kundër Terrorizmit 2023-2025(1).xlsx]Qëllimi i Politikave'!$J$98:$J$110</c:f>
              <c:strCache>
                <c:ptCount val="13"/>
                <c:pt idx="0">
                  <c:v>Qëllimi i Politikës I</c:v>
                </c:pt>
                <c:pt idx="1">
                  <c:v>Qëllimi i Politikës II</c:v>
                </c:pt>
                <c:pt idx="2">
                  <c:v>Qëllimi i Politikës III</c:v>
                </c:pt>
                <c:pt idx="3">
                  <c:v>Qëllimi i Politikës IV</c:v>
                </c:pt>
                <c:pt idx="4">
                  <c:v>Qëllimi i Politikës V</c:v>
                </c:pt>
                <c:pt idx="5">
                  <c:v>Qëllimi i Politikës VI</c:v>
                </c:pt>
                <c:pt idx="6">
                  <c:v>Qëllimi i Politikës VII</c:v>
                </c:pt>
                <c:pt idx="7">
                  <c:v>Qëllimi i Politikës VIII</c:v>
                </c:pt>
                <c:pt idx="8">
                  <c:v>Qëllimi i Politikës IX</c:v>
                </c:pt>
                <c:pt idx="9">
                  <c:v>Qëllimi i Politikës X</c:v>
                </c:pt>
                <c:pt idx="10">
                  <c:v>Qëllimi i Politikës XI</c:v>
                </c:pt>
                <c:pt idx="11">
                  <c:v>Qëllimi i Politikës  XII</c:v>
                </c:pt>
                <c:pt idx="12">
                  <c:v>Qëllimi i Politikës XIII</c:v>
                </c:pt>
              </c:strCache>
            </c:strRef>
          </c:cat>
          <c:val>
            <c:numRef>
              <c:f>'[Plani i Veprimit për Luftën Kundër Terrorizmit 2023-2025(1).xlsx]Qëllimi i Politikave'!$K$98:$K$110</c:f>
              <c:numCache>
                <c:formatCode>#,##0</c:formatCode>
                <c:ptCount val="13"/>
                <c:pt idx="0">
                  <c:v>354450000</c:v>
                </c:pt>
                <c:pt idx="1">
                  <c:v>458503800</c:v>
                </c:pt>
                <c:pt idx="2">
                  <c:v>303019200</c:v>
                </c:pt>
                <c:pt idx="3">
                  <c:v>37500000</c:v>
                </c:pt>
                <c:pt idx="4">
                  <c:v>424753800</c:v>
                </c:pt>
                <c:pt idx="5">
                  <c:v>634935215.19999993</c:v>
                </c:pt>
                <c:pt idx="6">
                  <c:v>51185500</c:v>
                </c:pt>
                <c:pt idx="7">
                  <c:v>12780000</c:v>
                </c:pt>
                <c:pt idx="8">
                  <c:v>10500000</c:v>
                </c:pt>
                <c:pt idx="9">
                  <c:v>2700000</c:v>
                </c:pt>
                <c:pt idx="10">
                  <c:v>13932000</c:v>
                </c:pt>
                <c:pt idx="11">
                  <c:v>6598000</c:v>
                </c:pt>
                <c:pt idx="12">
                  <c:v>16092000</c:v>
                </c:pt>
              </c:numCache>
            </c:numRef>
          </c:val>
          <c:extLst>
            <c:ext xmlns:c16="http://schemas.microsoft.com/office/drawing/2014/chart" uri="{C3380CC4-5D6E-409C-BE32-E72D297353CC}">
              <c16:uniqueId val="{00000000-6A1C-42D3-B41C-F2E4F4479BA2}"/>
            </c:ext>
          </c:extLst>
        </c:ser>
        <c:ser>
          <c:idx val="1"/>
          <c:order val="1"/>
          <c:spPr>
            <a:solidFill>
              <a:schemeClr val="accent2"/>
            </a:solidFill>
            <a:ln>
              <a:noFill/>
            </a:ln>
            <a:effectLst/>
          </c:spPr>
          <c:invertIfNegative val="0"/>
          <c:cat>
            <c:strRef>
              <c:f>'[Plani i Veprimit për Luftën Kundër Terrorizmit 2023-2025(1).xlsx]Qëllimi i Politikave'!$J$98:$J$110</c:f>
              <c:strCache>
                <c:ptCount val="13"/>
                <c:pt idx="0">
                  <c:v>Qëllimi i Politikës I</c:v>
                </c:pt>
                <c:pt idx="1">
                  <c:v>Qëllimi i Politikës II</c:v>
                </c:pt>
                <c:pt idx="2">
                  <c:v>Qëllimi i Politikës III</c:v>
                </c:pt>
                <c:pt idx="3">
                  <c:v>Qëllimi i Politikës IV</c:v>
                </c:pt>
                <c:pt idx="4">
                  <c:v>Qëllimi i Politikës V</c:v>
                </c:pt>
                <c:pt idx="5">
                  <c:v>Qëllimi i Politikës VI</c:v>
                </c:pt>
                <c:pt idx="6">
                  <c:v>Qëllimi i Politikës VII</c:v>
                </c:pt>
                <c:pt idx="7">
                  <c:v>Qëllimi i Politikës VIII</c:v>
                </c:pt>
                <c:pt idx="8">
                  <c:v>Qëllimi i Politikës IX</c:v>
                </c:pt>
                <c:pt idx="9">
                  <c:v>Qëllimi i Politikës X</c:v>
                </c:pt>
                <c:pt idx="10">
                  <c:v>Qëllimi i Politikës XI</c:v>
                </c:pt>
                <c:pt idx="11">
                  <c:v>Qëllimi i Politikës  XII</c:v>
                </c:pt>
                <c:pt idx="12">
                  <c:v>Qëllimi i Politikës XIII</c:v>
                </c:pt>
              </c:strCache>
            </c:strRef>
          </c:cat>
          <c:val>
            <c:numRef>
              <c:f>'[Plani i Veprimit për Luftën Kundër Terrorizmit 2023-2025(1).xlsx]Qëllimi i Politikave'!$L$98:$L$110</c:f>
              <c:numCache>
                <c:formatCode>#,##0</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1-6A1C-42D3-B41C-F2E4F4479BA2}"/>
            </c:ext>
          </c:extLst>
        </c:ser>
        <c:dLbls>
          <c:showLegendKey val="0"/>
          <c:showVal val="0"/>
          <c:showCatName val="0"/>
          <c:showSerName val="0"/>
          <c:showPercent val="0"/>
          <c:showBubbleSize val="0"/>
        </c:dLbls>
        <c:gapWidth val="150"/>
        <c:overlap val="100"/>
        <c:axId val="-1581683552"/>
        <c:axId val="-1581685728"/>
      </c:barChart>
      <c:catAx>
        <c:axId val="-1581683552"/>
        <c:scaling>
          <c:orientation val="minMax"/>
        </c:scaling>
        <c:delete val="0"/>
        <c:axPos val="b"/>
        <c:numFmt formatCode="General" sourceLinked="1"/>
        <c:majorTickMark val="none"/>
        <c:minorTickMark val="none"/>
        <c:tickLblPos val="nextTo"/>
        <c:spPr>
          <a:noFill/>
          <a:ln w="635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581685728"/>
        <c:crosses val="autoZero"/>
        <c:auto val="1"/>
        <c:lblAlgn val="ctr"/>
        <c:lblOffset val="100"/>
        <c:noMultiLvlLbl val="0"/>
      </c:catAx>
      <c:valAx>
        <c:axId val="-158168572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581683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 E PLANIT TË VEPRIMIT NDARJA E SHPENZIMEVE</a:t>
            </a:r>
          </a:p>
        </c:rich>
      </c:tx>
      <c:overlay val="0"/>
      <c:spPr>
        <a:noFill/>
        <a:ln w="25400">
          <a:noFill/>
        </a:ln>
      </c:sp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0-59E5-4378-8DD9-3A8B04A4F3E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59E5-4378-8DD9-3A8B04A4F3E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59E5-4378-8DD9-3A8B04A4F3E6}"/>
              </c:ext>
            </c:extLst>
          </c:dPt>
          <c:dLbls>
            <c:dLbl>
              <c:idx val="0"/>
              <c:layout>
                <c:manualLayout>
                  <c:x val="-4.126815688413308E-2"/>
                  <c:y val="0.11187041501154849"/>
                </c:manualLayout>
              </c:layout>
              <c:spPr>
                <a:noFill/>
                <a:ln w="25400">
                  <a:noFill/>
                </a:ln>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5804201775076251"/>
                      <c:h val="5.6547534240709275E-2"/>
                    </c:manualLayout>
                  </c15:layout>
                </c:ext>
                <c:ext xmlns:c16="http://schemas.microsoft.com/office/drawing/2014/chart" uri="{C3380CC4-5D6E-409C-BE32-E72D297353CC}">
                  <c16:uniqueId val="{00000000-59E5-4378-8DD9-3A8B04A4F3E6}"/>
                </c:ext>
              </c:extLst>
            </c:dLbl>
            <c:dLbl>
              <c:idx val="1"/>
              <c:layout>
                <c:manualLayout>
                  <c:x val="-0.11423229643356166"/>
                  <c:y val="2.0350842037235001E-2"/>
                </c:manualLayout>
              </c:layout>
              <c:spPr>
                <a:noFill/>
                <a:ln w="25400">
                  <a:noFill/>
                </a:ln>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644286470358765"/>
                      <c:h val="6.4472829864322789E-2"/>
                    </c:manualLayout>
                  </c15:layout>
                </c:ext>
                <c:ext xmlns:c16="http://schemas.microsoft.com/office/drawing/2014/chart" uri="{C3380CC4-5D6E-409C-BE32-E72D297353CC}">
                  <c16:uniqueId val="{00000001-59E5-4378-8DD9-3A8B04A4F3E6}"/>
                </c:ext>
              </c:extLst>
            </c:dLbl>
            <c:dLbl>
              <c:idx val="2"/>
              <c:layout>
                <c:manualLayout>
                  <c:x val="8.6727629933172873E-2"/>
                  <c:y val="-5.171450689828690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9E5-4378-8DD9-3A8B04A4F3E6}"/>
                </c:ext>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Parandalimin dhe Kundërshtimin e Ekstremizmit të Dhunshëm 2023-2025(1).xlsx]Qëllimi i Politikave'!$G$28:$G$29</c:f>
              <c:strCache>
                <c:ptCount val="2"/>
                <c:pt idx="0">
                  <c:v>PBA 2023-2025</c:v>
                </c:pt>
                <c:pt idx="1">
                  <c:v>Financim I Huaj</c:v>
                </c:pt>
              </c:strCache>
            </c:strRef>
          </c:cat>
          <c:val>
            <c:numRef>
              <c:f>'[Plani i Veprimit për Parandalimin dhe Kundërshtimin e Ekstremizmit të Dhunshëm 2023-2025(1).xlsx]Qëllimi i Politikave'!$H$28:$H$29</c:f>
              <c:numCache>
                <c:formatCode>#,##0</c:formatCode>
                <c:ptCount val="2"/>
                <c:pt idx="0">
                  <c:v>34083486.549999997</c:v>
                </c:pt>
                <c:pt idx="1">
                  <c:v>2927313</c:v>
                </c:pt>
              </c:numCache>
            </c:numRef>
          </c:val>
          <c:extLst>
            <c:ext xmlns:c16="http://schemas.microsoft.com/office/drawing/2014/chart" uri="{C3380CC4-5D6E-409C-BE32-E72D297353CC}">
              <c16:uniqueId val="{00000003-59E5-4378-8DD9-3A8B04A4F3E6}"/>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NATYRA EKONOMIKE E KOSTOVE TË PLANIT TË VEPRIMIT</a:t>
            </a:r>
          </a:p>
          <a:p>
            <a:pPr>
              <a:defRPr sz="1600" b="1" i="0" u="none" strike="noStrike" kern="1200" baseline="0">
                <a:solidFill>
                  <a:schemeClr val="tx1">
                    <a:lumMod val="65000"/>
                    <a:lumOff val="35000"/>
                  </a:schemeClr>
                </a:solidFill>
                <a:latin typeface="+mn-lt"/>
                <a:ea typeface="+mn-ea"/>
                <a:cs typeface="+mn-cs"/>
              </a:defRPr>
            </a:pPr>
            <a:endParaRPr lang="en-US"/>
          </a:p>
        </c:rich>
      </c:tx>
      <c:layout>
        <c:manualLayout>
          <c:xMode val="edge"/>
          <c:yMode val="edge"/>
          <c:x val="0.19001938741402266"/>
          <c:y val="5.243333051211739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0-B3CC-43F5-94BE-C2C3A6E0699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B3CC-43F5-94BE-C2C3A6E06997}"/>
              </c:ext>
            </c:extLst>
          </c:dPt>
          <c:dLbls>
            <c:dLbl>
              <c:idx val="0"/>
              <c:layout>
                <c:manualLayout>
                  <c:x val="-1.1754474279466045E-2"/>
                  <c:y val="-0.29169516842129234"/>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3CC-43F5-94BE-C2C3A6E0699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 i Veprimit për Parandalimin dhe Kundërshtimin e Ekstremizmit të Dhunshëm 2023-2025(1).xlsx]Qëllimi i Politikave'!$G$34:$G$35</c:f>
              <c:strCache>
                <c:ptCount val="2"/>
                <c:pt idx="0">
                  <c:v>Kosto Korente </c:v>
                </c:pt>
                <c:pt idx="1">
                  <c:v>Kosto kapitale</c:v>
                </c:pt>
              </c:strCache>
            </c:strRef>
          </c:cat>
          <c:val>
            <c:numRef>
              <c:f>'[Plani i Veprimit për Parandalimin dhe Kundërshtimin e Ekstremizmit të Dhunshëm 2023-2025(1).xlsx]Qëllimi i Politikave'!$H$34:$H$35</c:f>
              <c:numCache>
                <c:formatCode>#,##0</c:formatCode>
                <c:ptCount val="2"/>
                <c:pt idx="0">
                  <c:v>36010799.549999997</c:v>
                </c:pt>
                <c:pt idx="1">
                  <c:v>1000000</c:v>
                </c:pt>
              </c:numCache>
            </c:numRef>
          </c:val>
          <c:extLst>
            <c:ext xmlns:c16="http://schemas.microsoft.com/office/drawing/2014/chart" uri="{C3380CC4-5D6E-409C-BE32-E72D297353CC}">
              <c16:uniqueId val="{00000002-B3CC-43F5-94BE-C2C3A6E06997}"/>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Nr_x002e__x0020_akti>
    <Data_x0020_e_x0020_Krijimit xmlns="0e656187-b300-4fb0-8bf4-3a50f872073c">2023-02-15T12:47:31Z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2023-02-14T23:00:00Z</Date_x0020_protokolli>
    <Titulli xmlns="0e656187-b300-4fb0-8bf4-3a50f872073c">Për miratimin e Strategjisë Ndërsektoriale për Parandalimin e Ekstremizmit të Dhunshëm dhe Luftën kundër Terrorizmit 2023–2025 dhe të planeve të veprimit 2023–2025</Titulli>
    <Modifikuesi xmlns="0e656187-b300-4fb0-8bf4-3a50f872073c">jorina.kryeziu</Modifikuesi>
    <Nr_x002e__x0020_prot_x0020_QBZ xmlns="0e656187-b300-4fb0-8bf4-3a50f872073c">264</Nr_x002e__x0020_prot_x0020_QBZ>
    <Data_x0020_e_x0020_Modifikimit xmlns="0e656187-b300-4fb0-8bf4-3a50f872073c">2023-02-16T13:04:44Z</Data_x0020_e_x0020_Modifikimit>
    <Dekretuar xmlns="0e656187-b300-4fb0-8bf4-3a50f872073c">false</Dekretuar>
    <Data xmlns="0e656187-b300-4fb0-8bf4-3a50f872073c">2023-02-13T23:00:00Z</Data>
    <Nr_x002e__x0020_protokolli_x0020_i_x0020_aktit xmlns="0e656187-b300-4fb0-8bf4-3a50f872073c">645/1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7BF711EA3F34D17B708A201A9EE67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7BF711EA3F34D17B708A201A9EE67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751E06-CED0-462C-B980-2AD2AB924CB8}">
  <ds:schemaRefs>
    <ds:schemaRef ds:uri="http://www.w3.org/XML/1998/namespace"/>
    <ds:schemaRef ds:uri="http://schemas.openxmlformats.org/package/2006/metadata/core-properties"/>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CB6B978-FFF4-4660-8E5B-5033590EBE34}">
  <ds:schemaRefs>
    <ds:schemaRef ds:uri="http://schemas.microsoft.com/sharepoint/v3/contenttype/forms"/>
  </ds:schemaRefs>
</ds:datastoreItem>
</file>

<file path=customXml/itemProps3.xml><?xml version="1.0" encoding="utf-8"?>
<ds:datastoreItem xmlns:ds="http://schemas.openxmlformats.org/officeDocument/2006/customXml" ds:itemID="{3A45E3C5-3EFC-4183-AE2E-265A0B52E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189274-5A67-41F8-BB1A-01F9651480FB}">
  <ds:schemaRefs>
    <ds:schemaRef ds:uri="http://schemas.openxmlformats.org/officeDocument/2006/bibliography"/>
  </ds:schemaRefs>
</ds:datastoreItem>
</file>

<file path=customXml/itemProps5.xml><?xml version="1.0" encoding="utf-8"?>
<ds:datastoreItem xmlns:ds="http://schemas.openxmlformats.org/officeDocument/2006/customXml" ds:itemID="{44D06F81-30D4-40FF-907F-BC0814E1BBF6}">
  <ds:schemaRefs>
    <ds:schemaRef ds:uri="http://schemas.microsoft.com/sharepoint/v3/contenttype/forms"/>
  </ds:schemaRefs>
</ds:datastoreItem>
</file>

<file path=customXml/itemProps6.xml><?xml version="1.0" encoding="utf-8"?>
<ds:datastoreItem xmlns:ds="http://schemas.openxmlformats.org/officeDocument/2006/customXml" ds:itemID="{A5F924A3-40B3-48A3-9DDB-F717A9549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118</Pages>
  <Words>69840</Words>
  <Characters>398092</Characters>
  <Application>Microsoft Office Word</Application>
  <DocSecurity>0</DocSecurity>
  <Lines>3317</Lines>
  <Paragraphs>933</Paragraphs>
  <ScaleCrop>false</ScaleCrop>
  <HeadingPairs>
    <vt:vector size="2" baseType="variant">
      <vt:variant>
        <vt:lpstr>Title</vt:lpstr>
      </vt:variant>
      <vt:variant>
        <vt:i4>1</vt:i4>
      </vt:variant>
    </vt:vector>
  </HeadingPairs>
  <TitlesOfParts>
    <vt:vector size="1" baseType="lpstr">
      <vt:lpstr>Për miratimin e Strategjisë Ndërsektoriale për Parandalimin e Ekstremizmit të Dhunshëm dhe Luftën kundër Terrorizmit 2023–2025 dhe të planeve të veprimit 2023–2025</vt:lpstr>
    </vt:vector>
  </TitlesOfParts>
  <Company/>
  <LinksUpToDate>false</LinksUpToDate>
  <CharactersWithSpaces>466999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Ndërsektoriale për Parandalimin e Ekstremizmit të Dhunshëm dhe Luftën kundër Terrorizmit 2023–2025 dhe të planeve të veprimit 2023–2025</dc:title>
  <dc:creator>Ermira Bukaci</dc:creator>
  <cp:lastModifiedBy>Amarilda Muja</cp:lastModifiedBy>
  <cp:revision>89</cp:revision>
  <dcterms:created xsi:type="dcterms:W3CDTF">2023-02-15T12:56:00Z</dcterms:created>
  <dcterms:modified xsi:type="dcterms:W3CDTF">2023-02-16T14:01:00Z</dcterms:modified>
</cp:coreProperties>
</file>